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890A4" w14:textId="77777777" w:rsidR="00A24B48" w:rsidRDefault="00000000">
      <w:pPr>
        <w:pStyle w:val="Title"/>
      </w:pPr>
      <w:r>
        <w:t>SakSat</w:t>
      </w:r>
      <w:r>
        <w:noBreakHyphen/>
        <w:t>1 — Georgia’s First CubeSat Mission</w:t>
      </w:r>
    </w:p>
    <w:p w14:paraId="1FF1B5ED" w14:textId="77777777" w:rsidR="00A24B48" w:rsidRDefault="00000000">
      <w:r>
        <w:t>Date: 21 Apr 2025</w:t>
      </w:r>
    </w:p>
    <w:p w14:paraId="16DD107A" w14:textId="77777777" w:rsidR="00A24B48" w:rsidRDefault="00000000">
      <w:r>
        <w:rPr>
          <w:i/>
        </w:rPr>
        <w:t xml:space="preserve">This briefing package </w:t>
      </w:r>
      <w:proofErr w:type="spellStart"/>
      <w:r>
        <w:rPr>
          <w:i/>
        </w:rPr>
        <w:t>summarises</w:t>
      </w:r>
      <w:proofErr w:type="spellEnd"/>
      <w:r>
        <w:rPr>
          <w:i/>
        </w:rPr>
        <w:t xml:space="preserve"> SakSat</w:t>
      </w:r>
      <w:r>
        <w:rPr>
          <w:i/>
        </w:rPr>
        <w:noBreakHyphen/>
        <w:t>1, a 1U CubeSat programme led by Kutaisi International University (KIU) to place Georgia’s inaugural satellite in Low</w:t>
      </w:r>
      <w:r>
        <w:rPr>
          <w:i/>
        </w:rPr>
        <w:noBreakHyphen/>
        <w:t xml:space="preserve">Earth Orbit via the UNOOSA–JAXA </w:t>
      </w:r>
      <w:proofErr w:type="spellStart"/>
      <w:r>
        <w:rPr>
          <w:i/>
        </w:rPr>
        <w:t>KiboCUBE</w:t>
      </w:r>
      <w:proofErr w:type="spellEnd"/>
      <w:r>
        <w:rPr>
          <w:i/>
        </w:rPr>
        <w:t xml:space="preserve"> initiative. It is intended for university leadership, national agencies, and potential sponsors to demonstrate the project’s strategic value, feasibility, and investment readiness.</w:t>
      </w:r>
    </w:p>
    <w:p w14:paraId="39CDE7D2" w14:textId="77777777" w:rsidR="00A24B48" w:rsidRDefault="00000000">
      <w:pPr>
        <w:pStyle w:val="Heading1"/>
      </w:pPr>
      <w:r>
        <w:t>1. Vision &amp; Strategic Value</w:t>
      </w:r>
    </w:p>
    <w:p w14:paraId="2B43326A" w14:textId="56CD39F4" w:rsidR="00A24B48" w:rsidRDefault="00000000">
      <w:r>
        <w:t>• Position Georgia as an emerging space nation by achieving an orbital first within a $20 k hardware budget.</w:t>
      </w:r>
    </w:p>
    <w:p w14:paraId="4BF1DF27" w14:textId="60591A66" w:rsidR="00A24B48" w:rsidRDefault="00000000">
      <w:r>
        <w:t xml:space="preserve">• </w:t>
      </w:r>
      <w:r w:rsidR="000C335A" w:rsidRPr="000C335A">
        <w:t>Deliver environmental and educational benefits via nine AI-enhanced missions (listed below)</w:t>
      </w:r>
      <w:r>
        <w:t>.</w:t>
      </w:r>
    </w:p>
    <w:p w14:paraId="190AC26C" w14:textId="524B262D" w:rsidR="00A24B48" w:rsidRDefault="00000000">
      <w:r>
        <w:t xml:space="preserve">• </w:t>
      </w:r>
      <w:r w:rsidR="000C335A" w:rsidRPr="000C335A">
        <w:t>Create hands-on research and capstone opportunities for KIU Computer Science and Mathematics students</w:t>
      </w:r>
      <w:r>
        <w:t>.</w:t>
      </w:r>
    </w:p>
    <w:p w14:paraId="4CD16840" w14:textId="2F417196" w:rsidR="00A24B48" w:rsidRDefault="00000000">
      <w:r>
        <w:t xml:space="preserve">• </w:t>
      </w:r>
      <w:r w:rsidR="000C335A" w:rsidRPr="000C335A">
        <w:t>Align with UN Sustainable Development Goals (SDG 4 Quality Education, SDG 9 Industry &amp; Innovation, SDG 13 Climate Action)</w:t>
      </w:r>
      <w:r w:rsidR="000C335A">
        <w:t xml:space="preserve"> </w:t>
      </w:r>
      <w:r>
        <w:t>and strengthen Georgia’s international profile.</w:t>
      </w:r>
    </w:p>
    <w:p w14:paraId="18992FE0" w14:textId="38BAB48F" w:rsidR="00A24B48" w:rsidRDefault="00000000">
      <w:pPr>
        <w:pStyle w:val="Heading1"/>
      </w:pPr>
      <w:r>
        <w:t xml:space="preserve">2. </w:t>
      </w:r>
      <w:r w:rsidR="000C335A">
        <w:t>Potential Missions</w:t>
      </w:r>
    </w:p>
    <w:p w14:paraId="79BD4D6E" w14:textId="77777777" w:rsidR="000C335A" w:rsidRDefault="000C335A" w:rsidP="000C335A">
      <w:r>
        <w:t>1) Weekly NDVI health maps of Georgia's vineyards and orchards.</w:t>
      </w:r>
    </w:p>
    <w:p w14:paraId="6E5063DA" w14:textId="77777777" w:rsidR="000C335A" w:rsidRDefault="000C335A" w:rsidP="000C335A">
      <w:r>
        <w:t xml:space="preserve"> 2) Real-time wildfire and smoke plume alerts for early response.</w:t>
      </w:r>
    </w:p>
    <w:p w14:paraId="1D139BCE" w14:textId="77777777" w:rsidR="000C335A" w:rsidRDefault="000C335A" w:rsidP="000C335A">
      <w:r>
        <w:t xml:space="preserve"> 3) Automated flood-extent mapping after heavy rains.</w:t>
      </w:r>
    </w:p>
    <w:p w14:paraId="144D002F" w14:textId="77777777" w:rsidR="000C335A" w:rsidRDefault="000C335A" w:rsidP="000C335A">
      <w:r>
        <w:t xml:space="preserve"> 4) Landslide-precursor monitoring on Caucasus slopes.</w:t>
      </w:r>
    </w:p>
    <w:p w14:paraId="690CD673" w14:textId="77777777" w:rsidR="000C335A" w:rsidRDefault="000C335A" w:rsidP="000C335A">
      <w:r>
        <w:t xml:space="preserve"> 5) IoT gateway relaying data from remote avalanche, weather, or seismic sensors.</w:t>
      </w:r>
    </w:p>
    <w:p w14:paraId="2C8BEFA4" w14:textId="77777777" w:rsidR="000C335A" w:rsidRDefault="000C335A" w:rsidP="000C335A">
      <w:r>
        <w:t xml:space="preserve"> 6) Black Sea maritime traffic tracking via AIS with anomaly detection for illegal fishing.</w:t>
      </w:r>
    </w:p>
    <w:p w14:paraId="0F7535B5" w14:textId="77777777" w:rsidR="000C335A" w:rsidRDefault="000C335A" w:rsidP="000C335A">
      <w:r>
        <w:t xml:space="preserve"> 7) Land-use-change and deforestation tracking through onboard image classification.</w:t>
      </w:r>
    </w:p>
    <w:p w14:paraId="1E9A0D0A" w14:textId="77777777" w:rsidR="000C335A" w:rsidRDefault="000C335A" w:rsidP="000C335A">
      <w:r>
        <w:t xml:space="preserve"> 8) Black Sea ocean-color and algal-bloom monitoring for public-health insight.</w:t>
      </w:r>
    </w:p>
    <w:p w14:paraId="6F91C769" w14:textId="0300A54A" w:rsidR="000C335A" w:rsidRDefault="000C335A" w:rsidP="000C335A">
      <w:r>
        <w:t xml:space="preserve"> 9) Amateur-radio beacon and student uplink channel that lets school teams run code on</w:t>
      </w:r>
      <w:r>
        <w:t xml:space="preserve"> </w:t>
      </w:r>
      <w:r>
        <w:t>orbit.</w:t>
      </w:r>
    </w:p>
    <w:p w14:paraId="68435090" w14:textId="52354BD2" w:rsidR="000C335A" w:rsidRPr="000C335A" w:rsidRDefault="000C335A" w:rsidP="000C335A">
      <w:pPr>
        <w:pStyle w:val="Heading1"/>
      </w:pPr>
      <w:r>
        <w:lastRenderedPageBreak/>
        <w:t>3</w:t>
      </w:r>
      <w:r>
        <w:t>. Mission Snapshot</w:t>
      </w:r>
    </w:p>
    <w:tbl>
      <w:tblPr>
        <w:tblStyle w:val="TableGrid"/>
        <w:tblW w:w="9378" w:type="dxa"/>
        <w:tblLayout w:type="fixed"/>
        <w:tblLook w:val="04A0" w:firstRow="1" w:lastRow="0" w:firstColumn="1" w:lastColumn="0" w:noHBand="0" w:noVBand="1"/>
      </w:tblPr>
      <w:tblGrid>
        <w:gridCol w:w="4321"/>
        <w:gridCol w:w="5057"/>
      </w:tblGrid>
      <w:tr w:rsidR="00A24B48" w14:paraId="120FC81D" w14:textId="77777777" w:rsidTr="000C335A">
        <w:tc>
          <w:tcPr>
            <w:tcW w:w="4321" w:type="dxa"/>
          </w:tcPr>
          <w:p w14:paraId="47CE68EF" w14:textId="77777777" w:rsidR="00A24B48" w:rsidRDefault="00000000">
            <w:pPr>
              <w:spacing w:after="0" w:line="240" w:lineRule="auto"/>
              <w:rPr>
                <w:rFonts w:ascii="Cambria" w:eastAsia="MS Mincho" w:hAnsi="Cambria"/>
              </w:rPr>
            </w:pPr>
            <w:r>
              <w:rPr>
                <w:rFonts w:eastAsia="MS Mincho"/>
              </w:rPr>
              <w:t>Parameter</w:t>
            </w:r>
          </w:p>
        </w:tc>
        <w:tc>
          <w:tcPr>
            <w:tcW w:w="5057" w:type="dxa"/>
          </w:tcPr>
          <w:p w14:paraId="549C7A61" w14:textId="77777777" w:rsidR="00A24B48" w:rsidRDefault="00000000">
            <w:pPr>
              <w:spacing w:after="0" w:line="240" w:lineRule="auto"/>
              <w:rPr>
                <w:rFonts w:ascii="Cambria" w:eastAsia="MS Mincho" w:hAnsi="Cambria"/>
              </w:rPr>
            </w:pPr>
            <w:r>
              <w:rPr>
                <w:rFonts w:eastAsia="MS Mincho"/>
              </w:rPr>
              <w:t>Baseline</w:t>
            </w:r>
          </w:p>
        </w:tc>
      </w:tr>
      <w:tr w:rsidR="00A24B48" w14:paraId="6B26F87E" w14:textId="77777777" w:rsidTr="000C335A">
        <w:tc>
          <w:tcPr>
            <w:tcW w:w="4321" w:type="dxa"/>
          </w:tcPr>
          <w:p w14:paraId="027CB118" w14:textId="77777777" w:rsidR="00A24B48" w:rsidRDefault="00000000">
            <w:pPr>
              <w:spacing w:after="0" w:line="240" w:lineRule="auto"/>
              <w:rPr>
                <w:rFonts w:ascii="Cambria" w:eastAsia="MS Mincho" w:hAnsi="Cambria"/>
              </w:rPr>
            </w:pPr>
            <w:r>
              <w:rPr>
                <w:rFonts w:eastAsia="MS Mincho"/>
              </w:rPr>
              <w:t>Form factor / Mass</w:t>
            </w:r>
          </w:p>
        </w:tc>
        <w:tc>
          <w:tcPr>
            <w:tcW w:w="5057" w:type="dxa"/>
          </w:tcPr>
          <w:p w14:paraId="04A28DCF" w14:textId="77777777" w:rsidR="00A24B48" w:rsidRDefault="00000000">
            <w:pPr>
              <w:spacing w:after="0" w:line="240" w:lineRule="auto"/>
              <w:rPr>
                <w:rFonts w:ascii="Cambria" w:eastAsia="MS Mincho" w:hAnsi="Cambria"/>
              </w:rPr>
            </w:pPr>
            <w:r>
              <w:rPr>
                <w:rFonts w:eastAsia="MS Mincho"/>
              </w:rPr>
              <w:t>1U CubeSat (10×10×10 cm) / 1.2 kg</w:t>
            </w:r>
          </w:p>
        </w:tc>
      </w:tr>
      <w:tr w:rsidR="00A24B48" w14:paraId="0523796C" w14:textId="77777777" w:rsidTr="000C335A">
        <w:tc>
          <w:tcPr>
            <w:tcW w:w="4321" w:type="dxa"/>
          </w:tcPr>
          <w:p w14:paraId="5117F6BE" w14:textId="77777777" w:rsidR="00A24B48" w:rsidRDefault="00000000">
            <w:pPr>
              <w:spacing w:after="0" w:line="240" w:lineRule="auto"/>
              <w:rPr>
                <w:rFonts w:ascii="Cambria" w:eastAsia="MS Mincho" w:hAnsi="Cambria"/>
              </w:rPr>
            </w:pPr>
            <w:r>
              <w:rPr>
                <w:rFonts w:eastAsia="MS Mincho"/>
              </w:rPr>
              <w:t>Orbit &amp; Launch</w:t>
            </w:r>
          </w:p>
        </w:tc>
        <w:tc>
          <w:tcPr>
            <w:tcW w:w="5057" w:type="dxa"/>
          </w:tcPr>
          <w:p w14:paraId="1F61C732" w14:textId="77777777" w:rsidR="00A24B48" w:rsidRDefault="00000000">
            <w:pPr>
              <w:spacing w:after="0" w:line="240" w:lineRule="auto"/>
              <w:rPr>
                <w:rFonts w:ascii="Cambria" w:eastAsia="MS Mincho" w:hAnsi="Cambria"/>
              </w:rPr>
            </w:pPr>
            <w:r>
              <w:rPr>
                <w:rFonts w:eastAsia="MS Mincho"/>
              </w:rPr>
              <w:t>400 km circular, 51.6° inc. via ISS deploy (UNOOSA </w:t>
            </w:r>
            <w:proofErr w:type="spellStart"/>
            <w:r>
              <w:rPr>
                <w:rFonts w:eastAsia="MS Mincho"/>
              </w:rPr>
              <w:t>KiboCUBE</w:t>
            </w:r>
            <w:proofErr w:type="spellEnd"/>
            <w:r>
              <w:rPr>
                <w:rFonts w:eastAsia="MS Mincho"/>
              </w:rPr>
              <w:t>) — launch cost €0</w:t>
            </w:r>
          </w:p>
        </w:tc>
      </w:tr>
      <w:tr w:rsidR="00A24B48" w14:paraId="06995217" w14:textId="77777777" w:rsidTr="000C335A">
        <w:tc>
          <w:tcPr>
            <w:tcW w:w="4321" w:type="dxa"/>
          </w:tcPr>
          <w:p w14:paraId="3CF5D6D0" w14:textId="77777777" w:rsidR="00A24B48" w:rsidRDefault="00000000">
            <w:pPr>
              <w:spacing w:after="0" w:line="240" w:lineRule="auto"/>
              <w:rPr>
                <w:rFonts w:ascii="Cambria" w:eastAsia="MS Mincho" w:hAnsi="Cambria"/>
              </w:rPr>
            </w:pPr>
            <w:r>
              <w:rPr>
                <w:rFonts w:eastAsia="MS Mincho"/>
              </w:rPr>
              <w:t>Primary Payload</w:t>
            </w:r>
          </w:p>
        </w:tc>
        <w:tc>
          <w:tcPr>
            <w:tcW w:w="5057" w:type="dxa"/>
          </w:tcPr>
          <w:p w14:paraId="3E3EB457" w14:textId="0AFD3E9F" w:rsidR="00A24B48" w:rsidRDefault="000C335A">
            <w:pPr>
              <w:spacing w:after="0" w:line="240" w:lineRule="auto"/>
              <w:rPr>
                <w:rFonts w:ascii="Cambria" w:eastAsia="MS Mincho" w:hAnsi="Cambria"/>
              </w:rPr>
            </w:pPr>
            <w:r w:rsidRPr="000C335A">
              <w:rPr>
                <w:rFonts w:eastAsia="MS Mincho"/>
              </w:rPr>
              <w:t>Multispectral camera (visible + near-infrared) plus NVIDIA Jetson Nano for edge AI</w:t>
            </w:r>
          </w:p>
        </w:tc>
      </w:tr>
      <w:tr w:rsidR="00A24B48" w14:paraId="46472D9F" w14:textId="77777777" w:rsidTr="000C335A">
        <w:tc>
          <w:tcPr>
            <w:tcW w:w="4321" w:type="dxa"/>
          </w:tcPr>
          <w:p w14:paraId="42EEDFB9" w14:textId="77777777" w:rsidR="00A24B48" w:rsidRDefault="00000000">
            <w:pPr>
              <w:spacing w:after="0" w:line="240" w:lineRule="auto"/>
              <w:rPr>
                <w:rFonts w:ascii="Cambria" w:eastAsia="MS Mincho" w:hAnsi="Cambria"/>
              </w:rPr>
            </w:pPr>
            <w:r>
              <w:rPr>
                <w:rFonts w:eastAsia="MS Mincho"/>
              </w:rPr>
              <w:t>Comm Link</w:t>
            </w:r>
          </w:p>
        </w:tc>
        <w:tc>
          <w:tcPr>
            <w:tcW w:w="5057" w:type="dxa"/>
          </w:tcPr>
          <w:p w14:paraId="61098BDB" w14:textId="77777777" w:rsidR="00A24B48" w:rsidRDefault="00000000">
            <w:pPr>
              <w:spacing w:after="0" w:line="240" w:lineRule="auto"/>
              <w:rPr>
                <w:rFonts w:ascii="Cambria" w:eastAsia="MS Mincho" w:hAnsi="Cambria"/>
              </w:rPr>
            </w:pPr>
            <w:r>
              <w:rPr>
                <w:rFonts w:eastAsia="MS Mincho"/>
              </w:rPr>
              <w:t>UHF 437 MHz downlink (9 600 bps) / VHF 145 MHz uplink (1 200 bps) — amateur bands</w:t>
            </w:r>
          </w:p>
        </w:tc>
      </w:tr>
      <w:tr w:rsidR="00A24B48" w14:paraId="16943850" w14:textId="77777777" w:rsidTr="000C335A">
        <w:tc>
          <w:tcPr>
            <w:tcW w:w="4321" w:type="dxa"/>
          </w:tcPr>
          <w:p w14:paraId="33ADF72B" w14:textId="77777777" w:rsidR="00A24B48" w:rsidRDefault="00000000">
            <w:pPr>
              <w:spacing w:after="0" w:line="240" w:lineRule="auto"/>
              <w:rPr>
                <w:rFonts w:ascii="Cambria" w:eastAsia="MS Mincho" w:hAnsi="Cambria"/>
              </w:rPr>
            </w:pPr>
            <w:r>
              <w:rPr>
                <w:rFonts w:eastAsia="MS Mincho"/>
              </w:rPr>
              <w:t>Ground Segment</w:t>
            </w:r>
          </w:p>
        </w:tc>
        <w:tc>
          <w:tcPr>
            <w:tcW w:w="5057" w:type="dxa"/>
          </w:tcPr>
          <w:p w14:paraId="33EFEE42" w14:textId="77777777" w:rsidR="00A24B48" w:rsidRDefault="00000000">
            <w:pPr>
              <w:spacing w:after="0" w:line="240" w:lineRule="auto"/>
              <w:rPr>
                <w:rFonts w:ascii="Cambria" w:eastAsia="MS Mincho" w:hAnsi="Cambria"/>
              </w:rPr>
            </w:pPr>
            <w:r>
              <w:rPr>
                <w:rFonts w:eastAsia="MS Mincho"/>
              </w:rPr>
              <w:t>New SatNOGS station on KIU roof (DIY rotator + SDR) + global SatNOGS network</w:t>
            </w:r>
          </w:p>
        </w:tc>
      </w:tr>
      <w:tr w:rsidR="00A24B48" w14:paraId="56B352D9" w14:textId="77777777" w:rsidTr="000C335A">
        <w:tc>
          <w:tcPr>
            <w:tcW w:w="4321" w:type="dxa"/>
          </w:tcPr>
          <w:p w14:paraId="4F4122D6" w14:textId="77777777" w:rsidR="00A24B48" w:rsidRDefault="00000000">
            <w:pPr>
              <w:spacing w:after="0" w:line="240" w:lineRule="auto"/>
              <w:rPr>
                <w:rFonts w:ascii="Cambria" w:eastAsia="MS Mincho" w:hAnsi="Cambria"/>
              </w:rPr>
            </w:pPr>
            <w:r>
              <w:rPr>
                <w:rFonts w:eastAsia="MS Mincho"/>
              </w:rPr>
              <w:t>Mission Duration</w:t>
            </w:r>
          </w:p>
        </w:tc>
        <w:tc>
          <w:tcPr>
            <w:tcW w:w="5057" w:type="dxa"/>
          </w:tcPr>
          <w:p w14:paraId="10E25A6A" w14:textId="77777777" w:rsidR="00A24B48" w:rsidRDefault="00000000">
            <w:pPr>
              <w:spacing w:after="0" w:line="240" w:lineRule="auto"/>
              <w:rPr>
                <w:rFonts w:ascii="Cambria" w:eastAsia="MS Mincho" w:hAnsi="Cambria"/>
              </w:rPr>
            </w:pPr>
            <w:r>
              <w:rPr>
                <w:rFonts w:eastAsia="MS Mincho"/>
              </w:rPr>
              <w:t>24 months (natural re</w:t>
            </w:r>
            <w:r>
              <w:rPr>
                <w:rFonts w:eastAsia="MS Mincho"/>
              </w:rPr>
              <w:noBreakHyphen/>
              <w:t>entry &lt; 3 yrs)</w:t>
            </w:r>
          </w:p>
        </w:tc>
      </w:tr>
      <w:tr w:rsidR="00A24B48" w14:paraId="1AD7F0ED" w14:textId="77777777" w:rsidTr="000C335A">
        <w:tc>
          <w:tcPr>
            <w:tcW w:w="4321" w:type="dxa"/>
          </w:tcPr>
          <w:p w14:paraId="387E2D78" w14:textId="77777777" w:rsidR="00A24B48" w:rsidRDefault="00000000">
            <w:pPr>
              <w:spacing w:after="0" w:line="240" w:lineRule="auto"/>
              <w:rPr>
                <w:rFonts w:ascii="Cambria" w:eastAsia="MS Mincho" w:hAnsi="Cambria"/>
              </w:rPr>
            </w:pPr>
            <w:r>
              <w:rPr>
                <w:rFonts w:eastAsia="MS Mincho"/>
              </w:rPr>
              <w:t>Total Hardware Budget</w:t>
            </w:r>
          </w:p>
        </w:tc>
        <w:tc>
          <w:tcPr>
            <w:tcW w:w="5057" w:type="dxa"/>
          </w:tcPr>
          <w:p w14:paraId="5BA317E1" w14:textId="6729905F" w:rsidR="00A24B48" w:rsidRDefault="00000000">
            <w:pPr>
              <w:spacing w:after="0" w:line="240" w:lineRule="auto"/>
              <w:rPr>
                <w:rFonts w:ascii="Cambria" w:eastAsia="MS Mincho" w:hAnsi="Cambria"/>
              </w:rPr>
            </w:pPr>
            <w:r>
              <w:rPr>
                <w:rFonts w:eastAsia="MS Mincho"/>
              </w:rPr>
              <w:t>&lt; US$20 000 (satellite $13k + ground $1.5 k + tests $3 k buffer)</w:t>
            </w:r>
          </w:p>
        </w:tc>
      </w:tr>
    </w:tbl>
    <w:p w14:paraId="694273EF" w14:textId="1B40B8AD" w:rsidR="00A24B48" w:rsidRDefault="000C335A">
      <w:pPr>
        <w:pStyle w:val="Heading1"/>
      </w:pPr>
      <w:r>
        <w:t>4</w:t>
      </w:r>
      <w:r w:rsidR="00000000">
        <w:t>. Innovation Highlights</w:t>
      </w:r>
    </w:p>
    <w:p w14:paraId="35668EBD" w14:textId="1B54F081" w:rsidR="00A24B48" w:rsidRDefault="00000000">
      <w:r>
        <w:t xml:space="preserve">• </w:t>
      </w:r>
      <w:r w:rsidR="000C335A" w:rsidRPr="000C335A">
        <w:t>AI at the Edge – Jetson Nano runs neural networks on-orbit so we downlink insights, not gigabytes.</w:t>
      </w:r>
    </w:p>
    <w:p w14:paraId="3A7EA640" w14:textId="2FB031E9" w:rsidR="00A24B48" w:rsidRDefault="00000000">
      <w:r>
        <w:t xml:space="preserve">• </w:t>
      </w:r>
      <w:r w:rsidR="000C335A" w:rsidRPr="000C335A">
        <w:t>Multispectral Imaging – Visible plus NIR enables both agriculture and disaster-response products.</w:t>
      </w:r>
    </w:p>
    <w:p w14:paraId="27BCCAEE" w14:textId="6B91D476" w:rsidR="00A24B48" w:rsidRDefault="00000000">
      <w:r>
        <w:t xml:space="preserve">• </w:t>
      </w:r>
      <w:r w:rsidR="000C335A" w:rsidRPr="000C335A">
        <w:t>Ultra-low-cost Architecture – Entire spacecraft uses proven COTS components and open-source designs</w:t>
      </w:r>
    </w:p>
    <w:p w14:paraId="10C1D299" w14:textId="41FA13E7" w:rsidR="00A24B48" w:rsidRDefault="00000000">
      <w:r>
        <w:t xml:space="preserve">• </w:t>
      </w:r>
      <w:r w:rsidR="000C335A" w:rsidRPr="000C335A">
        <w:t>Open Ground Segment – SatNOGS-based station remains a long-term asset for university outreach.</w:t>
      </w:r>
    </w:p>
    <w:p w14:paraId="60A633B9" w14:textId="23C1F531" w:rsidR="000C335A" w:rsidRDefault="000C335A">
      <w:r>
        <w:t xml:space="preserve">• </w:t>
      </w:r>
      <w:r w:rsidRPr="000C335A">
        <w:t>Pure CS and Math Focus – Project roles map directly to coding, data science, and orbital</w:t>
      </w:r>
      <w:r>
        <w:t xml:space="preserve"> </w:t>
      </w:r>
      <w:r w:rsidRPr="000C335A">
        <w:t>math skills.</w:t>
      </w:r>
    </w:p>
    <w:p w14:paraId="76B8EBA7" w14:textId="7CFA9CA4" w:rsidR="00A24B48" w:rsidRDefault="000C335A">
      <w:pPr>
        <w:pStyle w:val="Heading1"/>
      </w:pPr>
      <w:r>
        <w:t>5</w:t>
      </w:r>
      <w:r w:rsidR="00000000">
        <w:t>. Technical &amp; Programmatic Readiness</w:t>
      </w:r>
    </w:p>
    <w:p w14:paraId="38965085" w14:textId="77777777" w:rsidR="000C335A" w:rsidRDefault="000C335A">
      <w:pPr>
        <w:pStyle w:val="Heading1"/>
        <w:rPr>
          <w:rFonts w:asciiTheme="minorHAnsi" w:eastAsiaTheme="minorEastAsia" w:hAnsiTheme="minorHAnsi" w:cstheme="minorBidi"/>
          <w:b w:val="0"/>
          <w:bCs w:val="0"/>
          <w:color w:val="auto"/>
          <w:sz w:val="22"/>
          <w:szCs w:val="22"/>
        </w:rPr>
      </w:pPr>
      <w:r w:rsidRPr="000C335A">
        <w:rPr>
          <w:rFonts w:asciiTheme="minorHAnsi" w:eastAsiaTheme="minorEastAsia" w:hAnsiTheme="minorHAnsi" w:cstheme="minorBidi"/>
          <w:b w:val="0"/>
          <w:bCs w:val="0"/>
          <w:color w:val="auto"/>
          <w:sz w:val="22"/>
          <w:szCs w:val="22"/>
        </w:rPr>
        <w:t>•</w:t>
      </w:r>
      <w:r>
        <w:rPr>
          <w:rFonts w:asciiTheme="minorHAnsi" w:eastAsiaTheme="minorEastAsia" w:hAnsiTheme="minorHAnsi" w:cstheme="minorBidi"/>
          <w:b w:val="0"/>
          <w:bCs w:val="0"/>
          <w:color w:val="auto"/>
          <w:sz w:val="22"/>
          <w:szCs w:val="22"/>
        </w:rPr>
        <w:t xml:space="preserve"> </w:t>
      </w:r>
      <w:r w:rsidRPr="000C335A">
        <w:rPr>
          <w:rFonts w:asciiTheme="minorHAnsi" w:eastAsiaTheme="minorEastAsia" w:hAnsiTheme="minorHAnsi" w:cstheme="minorBidi"/>
          <w:b w:val="0"/>
          <w:bCs w:val="0"/>
          <w:color w:val="auto"/>
          <w:sz w:val="22"/>
          <w:szCs w:val="22"/>
        </w:rPr>
        <w:t xml:space="preserve">Heritage Components: commercial CubeSat structure, power system, CC1120 radio, Jetson Nano. </w:t>
      </w:r>
    </w:p>
    <w:p w14:paraId="6BBD3CD2" w14:textId="77777777" w:rsidR="000C335A" w:rsidRDefault="000C335A">
      <w:pPr>
        <w:pStyle w:val="Heading1"/>
        <w:rPr>
          <w:rFonts w:asciiTheme="minorHAnsi" w:eastAsiaTheme="minorEastAsia" w:hAnsiTheme="minorHAnsi" w:cstheme="minorBidi"/>
          <w:b w:val="0"/>
          <w:bCs w:val="0"/>
          <w:color w:val="auto"/>
          <w:sz w:val="22"/>
          <w:szCs w:val="22"/>
        </w:rPr>
      </w:pPr>
      <w:r w:rsidRPr="000C335A">
        <w:rPr>
          <w:rFonts w:asciiTheme="minorHAnsi" w:eastAsiaTheme="minorEastAsia" w:hAnsiTheme="minorHAnsi" w:cstheme="minorBidi"/>
          <w:b w:val="0"/>
          <w:bCs w:val="0"/>
          <w:color w:val="auto"/>
          <w:sz w:val="22"/>
          <w:szCs w:val="22"/>
        </w:rPr>
        <w:t xml:space="preserve">• Mentor Network: Libre Space Foundation (ground comms) and </w:t>
      </w:r>
      <w:proofErr w:type="spellStart"/>
      <w:r w:rsidRPr="000C335A">
        <w:rPr>
          <w:rFonts w:asciiTheme="minorHAnsi" w:eastAsiaTheme="minorEastAsia" w:hAnsiTheme="minorHAnsi" w:cstheme="minorBidi"/>
          <w:b w:val="0"/>
          <w:bCs w:val="0"/>
          <w:color w:val="auto"/>
          <w:sz w:val="22"/>
          <w:szCs w:val="22"/>
        </w:rPr>
        <w:t>Kyutech</w:t>
      </w:r>
      <w:proofErr w:type="spellEnd"/>
      <w:r w:rsidRPr="000C335A">
        <w:rPr>
          <w:rFonts w:asciiTheme="minorHAnsi" w:eastAsiaTheme="minorEastAsia" w:hAnsiTheme="minorHAnsi" w:cstheme="minorBidi"/>
          <w:b w:val="0"/>
          <w:bCs w:val="0"/>
          <w:color w:val="auto"/>
          <w:sz w:val="22"/>
          <w:szCs w:val="22"/>
        </w:rPr>
        <w:t xml:space="preserve"> BIRDS alumni (system integration).</w:t>
      </w:r>
    </w:p>
    <w:p w14:paraId="4C3E0F1A" w14:textId="47CCC31F" w:rsidR="000C335A" w:rsidRDefault="000C335A" w:rsidP="000C335A">
      <w:pPr>
        <w:pStyle w:val="Heading1"/>
        <w:rPr>
          <w:rFonts w:asciiTheme="minorHAnsi" w:eastAsiaTheme="minorEastAsia" w:hAnsiTheme="minorHAnsi" w:cstheme="minorBidi"/>
          <w:b w:val="0"/>
          <w:bCs w:val="0"/>
          <w:color w:val="auto"/>
          <w:sz w:val="22"/>
          <w:szCs w:val="22"/>
        </w:rPr>
      </w:pPr>
      <w:r w:rsidRPr="000C335A">
        <w:rPr>
          <w:rFonts w:asciiTheme="minorHAnsi" w:eastAsiaTheme="minorEastAsia" w:hAnsiTheme="minorHAnsi" w:cstheme="minorBidi"/>
          <w:b w:val="0"/>
          <w:bCs w:val="0"/>
          <w:color w:val="auto"/>
          <w:sz w:val="22"/>
          <w:szCs w:val="22"/>
        </w:rPr>
        <w:t>• 24-month schedule drafted; key lead items can be ordered immediately after funding</w:t>
      </w:r>
    </w:p>
    <w:p w14:paraId="5A92A481" w14:textId="77777777" w:rsidR="000C335A" w:rsidRPr="000C335A" w:rsidRDefault="000C335A" w:rsidP="000C335A"/>
    <w:p w14:paraId="6B873124" w14:textId="186BAD54" w:rsidR="000C335A" w:rsidRDefault="000C335A" w:rsidP="000C335A">
      <w:pPr>
        <w:pStyle w:val="Heading1"/>
      </w:pPr>
      <w:r>
        <w:lastRenderedPageBreak/>
        <w:t>6</w:t>
      </w:r>
      <w:r>
        <w:t xml:space="preserve">. </w:t>
      </w:r>
      <w:r>
        <w:t>Risk Mitigation</w:t>
      </w:r>
    </w:p>
    <w:p w14:paraId="4B8E3E5A" w14:textId="77777777" w:rsidR="000C335A" w:rsidRPr="000C335A" w:rsidRDefault="000C335A" w:rsidP="000C335A"/>
    <w:p w14:paraId="34A70AFB" w14:textId="65BAF6AE" w:rsidR="000C335A" w:rsidRDefault="000C335A" w:rsidP="000C335A">
      <w:r w:rsidRPr="000C335A">
        <w:t>• Redundant watchdog timers and a simple fail-safe beacon.</w:t>
      </w:r>
    </w:p>
    <w:p w14:paraId="1A3105DF" w14:textId="509653AB" w:rsidR="000C335A" w:rsidRDefault="000C335A" w:rsidP="000C335A">
      <w:r w:rsidRPr="000C335A">
        <w:t>• Passive thermal design, single-string but flight-proven power system.</w:t>
      </w:r>
    </w:p>
    <w:p w14:paraId="7D9A8EBE" w14:textId="2AFAE680" w:rsidR="000C335A" w:rsidRDefault="000C335A" w:rsidP="000C335A">
      <w:r w:rsidRPr="000C335A">
        <w:t>• Multispectral camera and AI tasks can be gracefully degraded to lower-power modes.</w:t>
      </w:r>
    </w:p>
    <w:p w14:paraId="7FF7C7BB" w14:textId="77777777" w:rsidR="00145C15" w:rsidRPr="000C335A" w:rsidRDefault="00145C15" w:rsidP="000C335A"/>
    <w:p w14:paraId="7018636E" w14:textId="77777777" w:rsidR="00145C15" w:rsidRDefault="000C335A">
      <w:pPr>
        <w:pStyle w:val="Heading1"/>
      </w:pPr>
      <w:r>
        <w:t>7</w:t>
      </w:r>
      <w:r w:rsidR="00000000">
        <w:t>. Budget &amp; Co</w:t>
      </w:r>
      <w:r w:rsidR="00000000">
        <w:noBreakHyphen/>
        <w:t>Funding Opportunity</w:t>
      </w:r>
    </w:p>
    <w:p w14:paraId="4BE70E16" w14:textId="57EDCAC0" w:rsidR="00145C15" w:rsidRDefault="00145C15" w:rsidP="00145C15">
      <w:r w:rsidRPr="00145C15">
        <w:t xml:space="preserve">The entire programme requires 20,000 USD. Funds will cover spacecraft hardware, environmental testing, a ground station, and outreach materials. </w:t>
      </w:r>
    </w:p>
    <w:p w14:paraId="76415D8C" w14:textId="77777777" w:rsidR="00145C15" w:rsidRPr="00145C15" w:rsidRDefault="00145C15" w:rsidP="00145C15">
      <w:pPr>
        <w:rPr>
          <w:rFonts w:asciiTheme="majorHAnsi" w:eastAsiaTheme="majorEastAsia" w:hAnsiTheme="majorHAnsi" w:cstheme="majorBidi"/>
          <w:b/>
          <w:bCs/>
          <w:color w:val="365F91" w:themeColor="accent1" w:themeShade="BF"/>
          <w:sz w:val="28"/>
          <w:szCs w:val="28"/>
        </w:rPr>
      </w:pPr>
    </w:p>
    <w:p w14:paraId="7F6F03E8" w14:textId="6F98A5F1" w:rsidR="00A24B48" w:rsidRDefault="00145C15">
      <w:pPr>
        <w:pStyle w:val="Heading1"/>
      </w:pPr>
      <w:r>
        <w:t>8</w:t>
      </w:r>
      <w:r w:rsidR="00000000">
        <w:t>. Call to Action</w:t>
      </w:r>
    </w:p>
    <w:p w14:paraId="60F5CF7E" w14:textId="5DBBC1F5" w:rsidR="00A24B48" w:rsidRDefault="00145C15" w:rsidP="00145C15">
      <w:r w:rsidRPr="00145C15">
        <w:t>We invite KIU leadership, government agencies, and industry partners to endorse and fully fund SakSat1 so that we can finalize procurement in Q3 2025, complete assembly and testing in 2026, and launch in 2027. With your support, Georgia will fly its flag in space and inspire the next generation of Georgian computer scientists and mathematicians.</w:t>
      </w:r>
    </w:p>
    <w:sectPr w:rsidR="00A24B48">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F1078"/>
    <w:multiLevelType w:val="multilevel"/>
    <w:tmpl w:val="090EB8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4A7237"/>
    <w:multiLevelType w:val="multilevel"/>
    <w:tmpl w:val="DEA025A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9877849"/>
    <w:multiLevelType w:val="multilevel"/>
    <w:tmpl w:val="BE9611B8"/>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09C2B64"/>
    <w:multiLevelType w:val="multilevel"/>
    <w:tmpl w:val="D2E647E8"/>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6B776A8"/>
    <w:multiLevelType w:val="multilevel"/>
    <w:tmpl w:val="ADBA2F8E"/>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8EF1969"/>
    <w:multiLevelType w:val="multilevel"/>
    <w:tmpl w:val="2F40F4EA"/>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2E763FF"/>
    <w:multiLevelType w:val="multilevel"/>
    <w:tmpl w:val="FF8E7FDA"/>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563759522">
    <w:abstractNumId w:val="1"/>
  </w:num>
  <w:num w:numId="2" w16cid:durableId="223637436">
    <w:abstractNumId w:val="3"/>
  </w:num>
  <w:num w:numId="3" w16cid:durableId="1976058712">
    <w:abstractNumId w:val="2"/>
  </w:num>
  <w:num w:numId="4" w16cid:durableId="630131539">
    <w:abstractNumId w:val="6"/>
  </w:num>
  <w:num w:numId="5" w16cid:durableId="1778719661">
    <w:abstractNumId w:val="5"/>
  </w:num>
  <w:num w:numId="6" w16cid:durableId="1004934100">
    <w:abstractNumId w:val="4"/>
  </w:num>
  <w:num w:numId="7" w16cid:durableId="1066805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B48"/>
    <w:rsid w:val="000C335A"/>
    <w:rsid w:val="00145C15"/>
    <w:rsid w:val="00303A59"/>
    <w:rsid w:val="00A24B4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1818"/>
  <w15:docId w15:val="{EE3FF7B6-9014-4BE6-8F3D-960D91F1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semiHidden/>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2">
    <w:name w:val="List 2"/>
    <w:basedOn w:val="Normal"/>
    <w:uiPriority w:val="99"/>
    <w:unhideWhenUsed/>
    <w:qFormat/>
    <w:rsid w:val="00326F90"/>
    <w:pPr>
      <w:ind w:left="720" w:hanging="360"/>
      <w:contextualSpacing/>
    </w:pPr>
  </w:style>
  <w:style w:type="paragraph" w:styleId="List3">
    <w:name w:val="List 3"/>
    <w:basedOn w:val="Normal"/>
    <w:uiPriority w:val="99"/>
    <w:unhideWhenUsed/>
    <w:qFormat/>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IndexHeading">
    <w:name w:val="index heading"/>
    <w:basedOn w:val="Heading"/>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nika koghuashvili</cp:lastModifiedBy>
  <cp:revision>3</cp:revision>
  <dcterms:created xsi:type="dcterms:W3CDTF">2013-12-23T23:15:00Z</dcterms:created>
  <dcterms:modified xsi:type="dcterms:W3CDTF">2025-05-20T13:30:00Z</dcterms:modified>
  <dc:language>en-US</dc:language>
</cp:coreProperties>
</file>