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spacing w:val="40"/>
          <w:sz w:val="34"/>
          <w:szCs w:val="34"/>
        </w:rPr>
        <w:t xml:space="preserve">OPERATING AGREEMENT</w:t>
      </w:r>
    </w:p>
    <w:p>
      <w:pPr>
        <w:spacing w:after="240"/>
        <w:jc w:val="center"/>
      </w:pPr>
      <w:r>
        <w:rPr>
          <w:rFonts w:ascii="Calibri" w:cs="Calibri" w:eastAsia="Calibri" w:hAnsi="Calibri"/>
          <w:b/>
          <w:bCs/>
          <w:color w:val="B91C1C"/>
          <w:spacing w:val="60"/>
          <w:sz w:val="20"/>
          <w:szCs w:val="20"/>
        </w:rPr>
        <w:t xml:space="preserve">D R A F T</w:t>
      </w:r>
    </w:p>
    <w:p>
      <w:pPr>
        <w:spacing w:after="40"/>
        <w:jc w:val="center"/>
      </w:pPr>
      <w:r>
        <w:rPr>
          <w:rFonts w:ascii="Georgia" w:cs="Georgia" w:eastAsia="Georgia" w:hAnsi="Georgia"/>
          <w:sz w:val="22"/>
          <w:szCs w:val="22"/>
        </w:rPr>
        <w:t xml:space="preserve">of </w:t>
      </w:r>
      <w:r>
        <w:rPr>
          <w:rFonts w:ascii="Calibri" w:cs="Calibri" w:eastAsia="Calibri" w:hAnsi="Calibri"/>
          <w:color w:val="9A3412"/>
          <w:sz w:val="22"/>
          <w:szCs w:val="22"/>
          <w:highlight w:val="yellow"/>
          <w:highlightCs w:val="yellow"/>
        </w:rPr>
        <w:t xml:space="preserve">[PLLC NAME]</w:t>
      </w:r>
      <w:r>
        <w:rPr>
          <w:rFonts w:ascii="Georgia" w:cs="Georgia" w:eastAsia="Georgia" w:hAnsi="Georgia"/>
          <w:b/>
          <w:bCs/>
          <w:sz w:val="22"/>
          <w:szCs w:val="22"/>
        </w:rPr>
        <w:t xml:space="preserve">, PLLC</w:t>
      </w:r>
    </w:p>
    <w:p>
      <w:pPr>
        <w:spacing w:after="40"/>
        <w:jc w:val="center"/>
      </w:pPr>
      <w:r>
        <w:rPr>
          <w:rFonts w:ascii="Georgia" w:cs="Georgia" w:eastAsia="Georgia" w:hAnsi="Georgia"/>
          <w:i/>
          <w:iCs/>
          <w:sz w:val="21"/>
          <w:szCs w:val="21"/>
        </w:rPr>
        <w:t xml:space="preserve">A Washington Professional Limited Liability Company</w:t>
      </w:r>
    </w:p>
    <w:p>
      <w:pPr>
        <w:spacing w:after="260"/>
        <w:jc w:val="center"/>
      </w:pPr>
      <w:r>
        <w:rPr>
          <w:rFonts w:ascii="Calibri" w:cs="Calibri" w:eastAsia="Calibri" w:hAnsi="Calibri"/>
          <w:color w:val="6B7280"/>
          <w:sz w:val="18"/>
          <w:szCs w:val="18"/>
        </w:rPr>
        <w:t xml:space="preserve">Draft prepared 22 September 2026  ·  For attorney review before signature</w:t>
      </w:r>
    </w:p>
    <w:p>
      <w:pPr>
        <w:pBdr>
          <w:top w:val="single" w:color="D1D5DB" w:sz="2" w:space="6"/>
          <w:bottom w:val="single" w:color="D1D5DB" w:sz="2" w:space="6"/>
          <w:left w:val="single" w:color="9CA3AF" w:sz="12" w:space="6"/>
          <w:right w:val="single" w:color="D1D5DB" w:sz="2" w:space="6"/>
        </w:pBdr>
        <w:shd w:fill="F3F4F6" w:val="clear"/>
        <w:spacing w:after="200" w:before="160" w:line="264"/>
        <w:ind w:left="288" w:right="288"/>
      </w:pPr>
      <w:r>
        <w:rPr>
          <w:rFonts w:ascii="Calibri" w:cs="Calibri" w:eastAsia="Calibri" w:hAnsi="Calibri"/>
          <w:b/>
          <w:bCs/>
          <w:sz w:val="19"/>
          <w:szCs w:val="19"/>
        </w:rPr>
        <w:t xml:space="preserve">What this is.  </w:t>
      </w:r>
      <w:r>
        <w:rPr>
          <w:rFonts w:ascii="Calibri" w:cs="Calibri" w:eastAsia="Calibri" w:hAnsi="Calibri"/>
          <w:sz w:val="19"/>
          <w:szCs w:val="19"/>
        </w:rPr>
        <w:t xml:space="preserve">A working draft for a single-member Washington PLLC rendering mental health counseling. It is </w:t>
      </w:r>
      <w:r>
        <w:rPr>
          <w:rFonts w:ascii="Calibri" w:cs="Calibri" w:eastAsia="Calibri" w:hAnsi="Calibri"/>
          <w:b/>
          <w:bCs/>
          <w:sz w:val="19"/>
          <w:szCs w:val="19"/>
        </w:rPr>
        <w:t xml:space="preserve">not legal advice</w:t>
      </w:r>
      <w:r>
        <w:rPr>
          <w:rFonts w:ascii="Calibri" w:cs="Calibri" w:eastAsia="Calibri" w:hAnsi="Calibri"/>
          <w:sz w:val="19"/>
          <w:szCs w:val="19"/>
        </w:rPr>
        <w:t xml:space="preserve">, and it should not be signed as drafted.</w:t>
      </w:r>
    </w:p>
    <w:p>
      <w:pPr>
        <w:pBdr>
          <w:top w:val="single" w:color="D1D5DB" w:sz="2" w:space="6"/>
          <w:bottom w:val="single" w:color="D1D5DB" w:sz="2" w:space="6"/>
          <w:left w:val="single" w:color="9CA3AF" w:sz="12" w:space="6"/>
          <w:right w:val="single" w:color="D1D5DB" w:sz="2" w:space="6"/>
        </w:pBdr>
        <w:shd w:fill="F3F4F6" w:val="clear"/>
        <w:spacing w:after="200" w:before="160" w:line="264"/>
        <w:ind w:left="288" w:right="288"/>
      </w:pPr>
      <w:r>
        <w:rPr>
          <w:rFonts w:ascii="Calibri" w:cs="Calibri" w:eastAsia="Calibri" w:hAnsi="Calibri"/>
          <w:b/>
          <w:bCs/>
          <w:sz w:val="19"/>
          <w:szCs w:val="19"/>
        </w:rPr>
        <w:t xml:space="preserve">What it is for.  </w:t>
      </w:r>
      <w:r>
        <w:rPr>
          <w:rFonts w:ascii="Calibri" w:cs="Calibri" w:eastAsia="Calibri" w:hAnsi="Calibri"/>
          <w:sz w:val="19"/>
          <w:szCs w:val="19"/>
        </w:rPr>
        <w:t xml:space="preserve">Hand it to a Washington business attorney. Reviewing a draft costs far less than drafting from scratch. Highlighted items need your input; items marked </w:t>
      </w:r>
    </w:p>
    <w:p>
      <w:pPr>
        <w:pBdr>
          <w:top w:val="single" w:color="D1D5DB" w:sz="2" w:space="6"/>
          <w:bottom w:val="single" w:color="D1D5DB" w:sz="2" w:space="6"/>
          <w:left w:val="single" w:color="9CA3AF" w:sz="12" w:space="6"/>
          <w:right w:val="single" w:color="D1D5DB" w:sz="2" w:space="6"/>
        </w:pBdr>
        <w:shd w:fill="F3F4F6" w:val="clear"/>
        <w:spacing w:after="200" w:before="160" w:line="264"/>
        <w:ind w:left="288" w:right="288"/>
      </w:pPr>
      <w:r>
        <w:rPr>
          <w:rFonts w:ascii="Calibri" w:cs="Calibri" w:eastAsia="Calibri" w:hAnsi="Calibri"/>
          <w:b/>
          <w:bCs/>
          <w:sz w:val="19"/>
          <w:szCs w:val="19"/>
        </w:rPr>
        <w:t xml:space="preserve">Why a generic template will not do.  </w:t>
      </w:r>
      <w:r>
        <w:rPr>
          <w:rFonts w:ascii="Calibri" w:cs="Calibri" w:eastAsia="Calibri" w:hAnsi="Calibri"/>
          <w:sz w:val="19"/>
          <w:szCs w:val="19"/>
        </w:rPr>
        <w:t xml:space="preserve">Free LLC templates omit the three provisions that make this a PLLC: the licensure restriction on ownership, the transfer restriction, and records succession. RCW 18.100.050 requires owners to be “duly licensed or otherwise legally authorized to render the same professional services” — </w:t>
      </w:r>
      <w:r>
        <w:rPr>
          <w:rFonts w:ascii="Calibri" w:cs="Calibri" w:eastAsia="Calibri" w:hAnsi="Calibri"/>
          <w:b/>
          <w:bCs/>
          <w:sz w:val="19"/>
          <w:szCs w:val="19"/>
        </w:rPr>
        <w:t xml:space="preserve">but is silent on what happens on death, disqualification, or transfer to an unlicensed person</w:t>
      </w:r>
      <w:r>
        <w:rPr>
          <w:rFonts w:ascii="Calibri" w:cs="Calibri" w:eastAsia="Calibri" w:hAnsi="Calibri"/>
          <w:sz w:val="19"/>
          <w:szCs w:val="19"/>
        </w:rPr>
        <w:t xml:space="preserve">. That silence is what Articles 8 and 9 exist to fill.</w:t>
      </w:r>
    </w:p>
    <w:p>
      <w:pPr>
        <w:pBdr>
          <w:bottom w:val="single" w:color="9CA3AF" w:sz="6" w:space="1"/>
        </w:pBdr>
        <w:spacing w:after="220" w:before="220"/>
      </w:pPr>
      <w:r>
        <w:t xml:space="preserve"/>
      </w:r>
    </w:p>
    <w:p>
      <w:pPr>
        <w:pStyle w:val="Heading1"/>
        <w:spacing w:after="160" w:before="360"/>
      </w:pPr>
      <w:r>
        <w:rPr>
          <w:rFonts w:ascii="Georgia" w:cs="Georgia" w:eastAsia="Georgia" w:hAnsi="Georgia"/>
          <w:b/>
          <w:bCs/>
          <w:color w:val="1F2937"/>
          <w:sz w:val="24"/>
          <w:szCs w:val="24"/>
        </w:rPr>
        <w:t xml:space="preserve">ARTICLE 1 — FORMATION</w:t>
      </w:r>
    </w:p>
    <w:p>
      <w:pPr>
        <w:spacing w:after="140" w:line="276"/>
      </w:pPr>
      <w:r>
        <w:rPr>
          <w:rFonts w:ascii="Georgia" w:cs="Georgia" w:eastAsia="Georgia" w:hAnsi="Georgia"/>
          <w:b/>
          <w:bCs/>
          <w:sz w:val="21"/>
          <w:szCs w:val="21"/>
        </w:rPr>
        <w:t xml:space="preserve">1.1  Formation. </w:t>
      </w:r>
      <w:r>
        <w:rPr>
          <w:rFonts w:ascii="Georgia" w:cs="Georgia" w:eastAsia="Georgia" w:hAnsi="Georgia"/>
          <w:sz w:val="21"/>
          <w:szCs w:val="21"/>
        </w:rPr>
        <w:t xml:space="preserve">The Company was formed as a professional limited liability company under Chapter 25.15 RCW and Chapter 18.100 RCW by filing a Certificate of Formation with the Washington Secretary of State on </w:t>
      </w:r>
      <w:r>
        <w:rPr>
          <w:rFonts w:ascii="Calibri" w:cs="Calibri" w:eastAsia="Calibri" w:hAnsi="Calibri"/>
          <w:color w:val="9A3412"/>
          <w:sz w:val="21"/>
          <w:szCs w:val="21"/>
          <w:highlight w:val="yellow"/>
          <w:highlightCs w:val="yellow"/>
        </w:rPr>
        <w:t xml:space="preserve">[FORMATION DATE]</w:t>
      </w:r>
      <w:r>
        <w:rPr>
          <w:rFonts w:ascii="Georgia" w:cs="Georgia" w:eastAsia="Georgia" w:hAnsi="Georgia"/>
          <w:sz w:val="21"/>
          <w:szCs w:val="21"/>
        </w:rPr>
        <w:t xml:space="preserve">, UBI </w:t>
      </w:r>
      <w:r>
        <w:rPr>
          <w:rFonts w:ascii="Calibri" w:cs="Calibri" w:eastAsia="Calibri" w:hAnsi="Calibri"/>
          <w:color w:val="9A3412"/>
          <w:sz w:val="21"/>
          <w:szCs w:val="21"/>
          <w:highlight w:val="yellow"/>
          <w:highlightCs w:val="yellow"/>
        </w:rPr>
        <w:t xml:space="preserve">[UBI NUMBER]</w:t>
      </w:r>
      <w:r>
        <w:rPr>
          <w:rFonts w:ascii="Georgia" w:cs="Georgia" w:eastAsia="Georgia" w:hAnsi="Georgia"/>
          <w:sz w:val="21"/>
          <w:szCs w:val="21"/>
        </w:rPr>
        <w:t xml:space="preserve">.</w:t>
      </w:r>
    </w:p>
    <w:p>
      <w:pPr>
        <w:spacing w:after="140" w:line="276"/>
      </w:pPr>
      <w:r>
        <w:rPr>
          <w:rFonts w:ascii="Georgia" w:cs="Georgia" w:eastAsia="Georgia" w:hAnsi="Georgia"/>
          <w:b/>
          <w:bCs/>
          <w:sz w:val="21"/>
          <w:szCs w:val="21"/>
        </w:rPr>
        <w:t xml:space="preserve">1.2  Name. </w:t>
      </w:r>
      <w:r>
        <w:rPr>
          <w:rFonts w:ascii="Georgia" w:cs="Georgia" w:eastAsia="Georgia" w:hAnsi="Georgia"/>
          <w:sz w:val="21"/>
          <w:szCs w:val="21"/>
        </w:rPr>
        <w:t xml:space="preserve">The name of the Company is </w:t>
      </w:r>
      <w:r>
        <w:rPr>
          <w:rFonts w:ascii="Calibri" w:cs="Calibri" w:eastAsia="Calibri" w:hAnsi="Calibri"/>
          <w:color w:val="9A3412"/>
          <w:sz w:val="21"/>
          <w:szCs w:val="21"/>
          <w:highlight w:val="yellow"/>
          <w:highlightCs w:val="yellow"/>
        </w:rPr>
        <w:t xml:space="preserve">[PLLC NAME]</w:t>
      </w:r>
      <w:r>
        <w:rPr>
          <w:rFonts w:ascii="Georgia" w:cs="Georgia" w:eastAsia="Georgia" w:hAnsi="Georgia"/>
          <w:sz w:val="21"/>
          <w:szCs w:val="21"/>
        </w:rPr>
        <w:t xml:space="preserve">, PLLC.</w:t>
      </w:r>
    </w:p>
    <w:p>
      <w:pPr>
        <w:spacing w:after="140" w:line="276"/>
      </w:pPr>
      <w:r>
        <w:rPr>
          <w:rFonts w:ascii="Georgia" w:cs="Georgia" w:eastAsia="Georgia" w:hAnsi="Georgia"/>
          <w:b/>
          <w:bCs/>
          <w:sz w:val="21"/>
          <w:szCs w:val="21"/>
        </w:rPr>
        <w:t xml:space="preserve">1.3  Principal office. </w:t>
      </w:r>
      <w:r>
        <w:rPr>
          <w:rFonts w:ascii="Calibri" w:cs="Calibri" w:eastAsia="Calibri" w:hAnsi="Calibri"/>
          <w:color w:val="9A3412"/>
          <w:sz w:val="21"/>
          <w:szCs w:val="21"/>
          <w:highlight w:val="yellow"/>
          <w:highlightCs w:val="yellow"/>
        </w:rPr>
        <w:t xml:space="preserve">[APARTMENT STREET ADDRESS]</w:t>
      </w:r>
      <w:r>
        <w:rPr>
          <w:rFonts w:ascii="Georgia" w:cs="Georgia" w:eastAsia="Georgia" w:hAnsi="Georgia"/>
          <w:sz w:val="21"/>
          <w:szCs w:val="21"/>
        </w:rPr>
        <w:t xml:space="preserve">, Redmond, Washington </w:t>
      </w:r>
      <w:r>
        <w:rPr>
          <w:rFonts w:ascii="Calibri" w:cs="Calibri" w:eastAsia="Calibri" w:hAnsi="Calibri"/>
          <w:color w:val="9A3412"/>
          <w:sz w:val="21"/>
          <w:szCs w:val="21"/>
          <w:highlight w:val="yellow"/>
          <w:highlightCs w:val="yellow"/>
        </w:rPr>
        <w:t xml:space="preserve">[ZIP]</w:t>
      </w:r>
      <w:r>
        <w:rPr>
          <w:rFonts w:ascii="Georgia" w:cs="Georgia" w:eastAsia="Georgia" w:hAnsi="Georgia"/>
          <w:sz w:val="21"/>
          <w:szCs w:val="21"/>
        </w:rPr>
        <w:t xml:space="preserve">, which is the place where the Company’s records are kept. The Member may change it without amending this Agreement.</w:t>
      </w:r>
    </w:p>
    <w:p>
      <w:pPr>
        <w:spacing w:after="140" w:line="276"/>
      </w:pPr>
      <w:r>
        <w:rPr>
          <w:rFonts w:ascii="Georgia" w:cs="Georgia" w:eastAsia="Georgia" w:hAnsi="Georgia"/>
          <w:b/>
          <w:bCs/>
          <w:sz w:val="21"/>
          <w:szCs w:val="21"/>
        </w:rPr>
        <w:t xml:space="preserve">1.4  Registered agent. </w:t>
      </w:r>
      <w:r>
        <w:rPr>
          <w:rFonts w:ascii="Calibri" w:cs="Calibri" w:eastAsia="Calibri" w:hAnsi="Calibri"/>
          <w:color w:val="9A3412"/>
          <w:sz w:val="21"/>
          <w:szCs w:val="21"/>
          <w:highlight w:val="yellow"/>
          <w:highlightCs w:val="yellow"/>
        </w:rPr>
        <w:t xml:space="preserve">[MEMBER NAME]</w:t>
      </w:r>
      <w:r>
        <w:rPr>
          <w:rFonts w:ascii="Georgia" w:cs="Georgia" w:eastAsia="Georgia" w:hAnsi="Georgia"/>
          <w:sz w:val="21"/>
          <w:szCs w:val="21"/>
        </w:rPr>
        <w:t xml:space="preserve">, a Washington resident, at the address in §1.3, serving as noncommercial registered agent under RCW 23.95.430.</w:t>
      </w:r>
    </w:p>
    <w:p>
      <w:pPr>
        <w:spacing w:after="140" w:line="276"/>
      </w:pPr>
      <w:r>
        <w:rPr>
          <w:rFonts w:ascii="Georgia" w:cs="Georgia" w:eastAsia="Georgia" w:hAnsi="Georgia"/>
          <w:b/>
          <w:bCs/>
          <w:sz w:val="21"/>
          <w:szCs w:val="21"/>
        </w:rPr>
        <w:t xml:space="preserve">1.5  Term. </w:t>
      </w:r>
      <w:r>
        <w:rPr>
          <w:rFonts w:ascii="Georgia" w:cs="Georgia" w:eastAsia="Georgia" w:hAnsi="Georgia"/>
          <w:sz w:val="21"/>
          <w:szCs w:val="21"/>
        </w:rPr>
        <w:t xml:space="preserve">Perpetual, until dissolved under Article 9.</w:t>
      </w:r>
    </w:p>
    <w:p>
      <w:pPr>
        <w:spacing w:after="140" w:line="276"/>
      </w:pPr>
      <w:r>
        <w:rPr>
          <w:rFonts w:ascii="Georgia" w:cs="Georgia" w:eastAsia="Georgia" w:hAnsi="Georgia"/>
          <w:b/>
          <w:bCs/>
          <w:sz w:val="21"/>
          <w:szCs w:val="21"/>
        </w:rPr>
        <w:t xml:space="preserve">1.6  Effect of this Agreement. </w:t>
      </w:r>
      <w:r>
        <w:rPr>
          <w:rFonts w:ascii="Georgia" w:cs="Georgia" w:eastAsia="Georgia" w:hAnsi="Georgia"/>
          <w:sz w:val="21"/>
          <w:szCs w:val="21"/>
        </w:rPr>
        <w:t xml:space="preserve">Under RCW 25.15.018 this Agreement governs relations between the Member and the Company; Chapter 25.15 RCW governs anything this Agreement does not address. This Agreement is not filed with any public authority.</w:t>
      </w:r>
    </w:p>
    <w:p>
      <w:pPr>
        <w:pStyle w:val="Heading1"/>
        <w:spacing w:after="160" w:before="360"/>
      </w:pPr>
      <w:r>
        <w:rPr>
          <w:rFonts w:ascii="Georgia" w:cs="Georgia" w:eastAsia="Georgia" w:hAnsi="Georgia"/>
          <w:b/>
          <w:bCs/>
          <w:color w:val="1F2937"/>
          <w:sz w:val="24"/>
          <w:szCs w:val="24"/>
        </w:rPr>
        <w:t xml:space="preserve">ARTICLE 2 — PURPOSE</w:t>
      </w:r>
    </w:p>
    <w:p>
      <w:pPr>
        <w:spacing w:after="140" w:line="276"/>
      </w:pPr>
      <w:r>
        <w:rPr>
          <w:rFonts w:ascii="Georgia" w:cs="Georgia" w:eastAsia="Georgia" w:hAnsi="Georgia"/>
          <w:b/>
          <w:bCs/>
          <w:sz w:val="21"/>
          <w:szCs w:val="21"/>
        </w:rPr>
        <w:t xml:space="preserve">2.1  Professional purpose. </w:t>
      </w:r>
      <w:r>
        <w:rPr>
          <w:rFonts w:ascii="Georgia" w:cs="Georgia" w:eastAsia="Georgia" w:hAnsi="Georgia"/>
          <w:sz w:val="21"/>
          <w:szCs w:val="21"/>
        </w:rPr>
        <w:t xml:space="preserve">The Company is organized </w:t>
      </w:r>
      <w:r>
        <w:rPr>
          <w:rFonts w:ascii="Georgia" w:cs="Georgia" w:eastAsia="Georgia" w:hAnsi="Georgia"/>
          <w:b/>
          <w:bCs/>
          <w:sz w:val="21"/>
          <w:szCs w:val="21"/>
        </w:rPr>
        <w:t xml:space="preserve">solely to render the professional service of mental health counseling</w:t>
      </w:r>
      <w:r>
        <w:rPr>
          <w:rFonts w:ascii="Georgia" w:cs="Georgia" w:eastAsia="Georgia" w:hAnsi="Georgia"/>
          <w:sz w:val="21"/>
          <w:szCs w:val="21"/>
        </w:rPr>
        <w:t xml:space="preserve"> through persons licensed to do so in Washington, and to carry on activities incidental to that service. It shall not engage in any other business.</w:t>
      </w:r>
    </w:p>
    <w:p>
      <w:pPr>
        <w:spacing w:after="140" w:line="276"/>
      </w:pPr>
      <w:r>
        <w:rPr>
          <w:rFonts w:ascii="Georgia" w:cs="Georgia" w:eastAsia="Georgia" w:hAnsi="Georgia"/>
          <w:b/>
          <w:bCs/>
          <w:sz w:val="21"/>
          <w:szCs w:val="21"/>
        </w:rPr>
        <w:t xml:space="preserve">2.2  Limits of the professional relationship. </w:t>
      </w:r>
      <w:r>
        <w:rPr>
          <w:rFonts w:ascii="Georgia" w:cs="Georgia" w:eastAsia="Georgia" w:hAnsi="Georgia"/>
          <w:sz w:val="21"/>
          <w:szCs w:val="21"/>
        </w:rPr>
        <w:t xml:space="preserve">Nothing in this Agreement relieves the Member of any professional, ethical or licensure obligation. Forming the Company does not alter the Member’s personal responsibility for their own professional conduct, and does not shield the Member from liability for their own acts, errors or omissions in rendering professional services (RCW 25.15.046).</w:t>
      </w:r>
    </w:p>
    <w:p>
      <w:pPr>
        <w:spacing w:after="140" w:line="276"/>
      </w:pPr>
      <w:r>
        <w:rPr>
          <w:rFonts w:ascii="Georgia" w:cs="Georgia" w:eastAsia="Georgia" w:hAnsi="Georgia"/>
          <w:b/>
          <w:bCs/>
          <w:sz w:val="21"/>
          <w:szCs w:val="21"/>
        </w:rPr>
        <w:t xml:space="preserve">2.3  Supervision. </w:t>
      </w:r>
      <w:r>
        <w:rPr>
          <w:rFonts w:ascii="Georgia" w:cs="Georgia" w:eastAsia="Georgia" w:hAnsi="Georgia"/>
          <w:sz w:val="21"/>
          <w:szCs w:val="21"/>
        </w:rPr>
        <w:t xml:space="preserve">While the Member holds an associate credential (LMHCA), all clinical services rendered through the Company shall be performed under an approved supervisor meeting WAC 246-809-234. The Company shall not hold itself out as offering independent practice beyond the Member’s credential.</w:t>
      </w:r>
    </w:p>
    <w:p>
      <w:pPr>
        <w:pStyle w:val="Heading1"/>
        <w:spacing w:after="160" w:before="360"/>
      </w:pPr>
      <w:r>
        <w:rPr>
          <w:rFonts w:ascii="Georgia" w:cs="Georgia" w:eastAsia="Georgia" w:hAnsi="Georgia"/>
          <w:b/>
          <w:bCs/>
          <w:color w:val="1F2937"/>
          <w:sz w:val="24"/>
          <w:szCs w:val="24"/>
        </w:rPr>
        <w:t xml:space="preserve">ARTICLE 3 — MEMBER AND MEMBERSHIP INTEREST</w:t>
      </w:r>
    </w:p>
    <w:p>
      <w:pPr>
        <w:spacing w:after="140" w:line="276"/>
      </w:pPr>
      <w:r>
        <w:rPr>
          <w:rFonts w:ascii="Georgia" w:cs="Georgia" w:eastAsia="Georgia" w:hAnsi="Georgia"/>
          <w:b/>
          <w:bCs/>
          <w:sz w:val="21"/>
          <w:szCs w:val="21"/>
        </w:rPr>
        <w:t xml:space="preserve">3.1  Sole member. </w:t>
      </w:r>
      <w:r>
        <w:rPr>
          <w:rFonts w:ascii="Calibri" w:cs="Calibri" w:eastAsia="Calibri" w:hAnsi="Calibri"/>
          <w:color w:val="9A3412"/>
          <w:sz w:val="21"/>
          <w:szCs w:val="21"/>
          <w:highlight w:val="yellow"/>
          <w:highlightCs w:val="yellow"/>
        </w:rPr>
        <w:t xml:space="preserve">[MEMBER FULL LEGAL NAME]</w:t>
      </w:r>
      <w:r>
        <w:rPr>
          <w:rFonts w:ascii="Georgia" w:cs="Georgia" w:eastAsia="Georgia" w:hAnsi="Georgia"/>
          <w:sz w:val="21"/>
          <w:szCs w:val="21"/>
        </w:rPr>
        <w:t xml:space="preserve"> is the sole Member, holding a </w:t>
      </w:r>
      <w:r>
        <w:rPr>
          <w:rFonts w:ascii="Georgia" w:cs="Georgia" w:eastAsia="Georgia" w:hAnsi="Georgia"/>
          <w:b/>
          <w:bCs/>
          <w:sz w:val="21"/>
          <w:szCs w:val="21"/>
        </w:rPr>
        <w:t xml:space="preserve">100% membership interest</w:t>
      </w:r>
      <w:r>
        <w:rPr>
          <w:rFonts w:ascii="Georgia" w:cs="Georgia" w:eastAsia="Georgia" w:hAnsi="Georgia"/>
          <w:sz w:val="21"/>
          <w:szCs w:val="21"/>
        </w:rPr>
        <w:t xml:space="preserve">.</w:t>
      </w:r>
    </w:p>
    <w:p>
      <w:pPr>
        <w:spacing w:after="140" w:line="276"/>
      </w:pPr>
      <w:r>
        <w:rPr>
          <w:rFonts w:ascii="Georgia" w:cs="Georgia" w:eastAsia="Georgia" w:hAnsi="Georgia"/>
          <w:b/>
          <w:bCs/>
          <w:sz w:val="21"/>
          <w:szCs w:val="21"/>
        </w:rPr>
        <w:t xml:space="preserve">3.2  Professional qualification — condition of membership. </w:t>
      </w:r>
      <w:r>
        <w:rPr>
          <w:rFonts w:ascii="Georgia" w:cs="Georgia" w:eastAsia="Georgia" w:hAnsi="Georgia"/>
          <w:sz w:val="21"/>
          <w:szCs w:val="21"/>
        </w:rPr>
        <w:t xml:space="preserve">The Member represents that they are licensed to render mental health counseling in Washington, credential number </w:t>
      </w:r>
      <w:r>
        <w:rPr>
          <w:rFonts w:ascii="Calibri" w:cs="Calibri" w:eastAsia="Calibri" w:hAnsi="Calibri"/>
          <w:color w:val="9A3412"/>
          <w:sz w:val="21"/>
          <w:szCs w:val="21"/>
          <w:highlight w:val="yellow"/>
          <w:highlightCs w:val="yellow"/>
        </w:rPr>
        <w:t xml:space="preserve">[LMHCA NUMBER]</w:t>
      </w:r>
      <w:r>
        <w:rPr>
          <w:rFonts w:ascii="Georgia" w:cs="Georgia" w:eastAsia="Georgia" w:hAnsi="Georgia"/>
          <w:sz w:val="21"/>
          <w:szCs w:val="21"/>
        </w:rPr>
        <w:t xml:space="preserve">. </w:t>
      </w:r>
      <w:r>
        <w:rPr>
          <w:rFonts w:ascii="Georgia" w:cs="Georgia" w:eastAsia="Georgia" w:hAnsi="Georgia"/>
          <w:b/>
          <w:bCs/>
          <w:sz w:val="21"/>
          <w:szCs w:val="21"/>
        </w:rPr>
        <w:t xml:space="preserve">No person may be or become a Member unless duly licensed or otherwise legally authorized to render that same professional service in Washington</w:t>
      </w:r>
      <w:r>
        <w:rPr>
          <w:rFonts w:ascii="Georgia" w:cs="Georgia" w:eastAsia="Georgia" w:hAnsi="Georgia"/>
          <w:sz w:val="21"/>
          <w:szCs w:val="21"/>
        </w:rPr>
        <w:t xml:space="preserve"> (RCW 18.100.050).</w:t>
      </w:r>
    </w:p>
    <w:p>
      <w:pPr>
        <w:spacing w:after="140" w:line="276"/>
      </w:pPr>
      <w:r>
        <w:rPr>
          <w:rFonts w:ascii="Georgia" w:cs="Georgia" w:eastAsia="Georgia" w:hAnsi="Georgia"/>
          <w:b/>
          <w:bCs/>
          <w:sz w:val="21"/>
          <w:szCs w:val="21"/>
        </w:rPr>
        <w:t xml:space="preserve">3.3  Loss of licensure. </w:t>
      </w:r>
      <w:r>
        <w:rPr>
          <w:rFonts w:ascii="Georgia" w:cs="Georgia" w:eastAsia="Georgia" w:hAnsi="Georgia"/>
          <w:sz w:val="21"/>
          <w:szCs w:val="21"/>
        </w:rPr>
        <w:t xml:space="preserve">If the Member’s licence lapses, is suspended, revoked, or otherwise becomes ineffective, the Member shall </w:t>
      </w:r>
      <w:r>
        <w:rPr>
          <w:rFonts w:ascii="Georgia" w:cs="Georgia" w:eastAsia="Georgia" w:hAnsi="Georgia"/>
          <w:b/>
          <w:bCs/>
          <w:sz w:val="21"/>
          <w:szCs w:val="21"/>
        </w:rPr>
        <w:t xml:space="preserve">immediately cease rendering professional services through the Company</w:t>
      </w:r>
      <w:r>
        <w:rPr>
          <w:rFonts w:ascii="Georgia" w:cs="Georgia" w:eastAsia="Georgia" w:hAnsi="Georgia"/>
          <w:sz w:val="21"/>
          <w:szCs w:val="21"/>
        </w:rPr>
        <w:t xml:space="preserve"> and shall promptly either restore the licence or begin winding up under Article 9. The Member shall notify the Company’s professional liability insurer and, where required, the Department of Health.</w:t>
      </w:r>
    </w:p>
    <w:p>
      <w:pPr>
        <w:pStyle w:val="Heading1"/>
        <w:spacing w:after="160" w:before="360"/>
      </w:pPr>
      <w:r>
        <w:rPr>
          <w:rFonts w:ascii="Georgia" w:cs="Georgia" w:eastAsia="Georgia" w:hAnsi="Georgia"/>
          <w:b/>
          <w:bCs/>
          <w:color w:val="1F2937"/>
          <w:sz w:val="24"/>
          <w:szCs w:val="24"/>
        </w:rPr>
        <w:t xml:space="preserve">ARTICLE 4 — CAPITAL</w:t>
      </w:r>
    </w:p>
    <w:p>
      <w:pPr>
        <w:spacing w:after="140" w:line="276"/>
      </w:pPr>
      <w:r>
        <w:rPr>
          <w:rFonts w:ascii="Georgia" w:cs="Georgia" w:eastAsia="Georgia" w:hAnsi="Georgia"/>
          <w:b/>
          <w:bCs/>
          <w:sz w:val="21"/>
          <w:szCs w:val="21"/>
        </w:rPr>
        <w:t xml:space="preserve">4.1  Initial contribution. </w:t>
      </w:r>
      <w:r>
        <w:rPr>
          <w:rFonts w:ascii="Georgia" w:cs="Georgia" w:eastAsia="Georgia" w:hAnsi="Georgia"/>
          <w:sz w:val="21"/>
          <w:szCs w:val="21"/>
        </w:rPr>
        <w:t xml:space="preserve">The Member has contributed </w:t>
      </w:r>
      <w:r>
        <w:rPr>
          <w:rFonts w:ascii="Calibri" w:cs="Calibri" w:eastAsia="Calibri" w:hAnsi="Calibri"/>
          <w:color w:val="9A3412"/>
          <w:sz w:val="21"/>
          <w:szCs w:val="21"/>
          <w:highlight w:val="yellow"/>
          <w:highlightCs w:val="yellow"/>
        </w:rPr>
        <w:t xml:space="preserve">[$ AMOUNT]</w:t>
      </w:r>
      <w:r>
        <w:rPr>
          <w:rFonts w:ascii="Georgia" w:cs="Georgia" w:eastAsia="Georgia" w:hAnsi="Georgia"/>
          <w:sz w:val="21"/>
          <w:szCs w:val="21"/>
        </w:rPr>
        <w:t xml:space="preserve"> as set out in Schedule A, consisting of funds advanced personally before the Company’s bank account existed — entity filing fees, licensing fees, and initial subscriptions.</w:t>
      </w:r>
    </w:p>
    <w:p>
      <w:pPr>
        <w:spacing w:after="140" w:line="276"/>
      </w:pPr>
      <w:r>
        <w:rPr>
          <w:rFonts w:ascii="Georgia" w:cs="Georgia" w:eastAsia="Georgia" w:hAnsi="Georgia"/>
          <w:b/>
          <w:bCs/>
          <w:sz w:val="21"/>
          <w:szCs w:val="21"/>
        </w:rPr>
        <w:t xml:space="preserve">4.2  Additional contributions. </w:t>
      </w:r>
      <w:r>
        <w:rPr>
          <w:rFonts w:ascii="Georgia" w:cs="Georgia" w:eastAsia="Georgia" w:hAnsi="Georgia"/>
          <w:sz w:val="21"/>
          <w:szCs w:val="21"/>
        </w:rPr>
        <w:t xml:space="preserve">The Member may contribute additional capital at any time. No contribution is required. Each contribution shall be recorded in Schedule A with its date, amount and purpose.</w:t>
      </w:r>
    </w:p>
    <w:p>
      <w:pPr>
        <w:spacing w:after="140" w:line="276"/>
      </w:pPr>
      <w:r>
        <w:rPr>
          <w:rFonts w:ascii="Georgia" w:cs="Georgia" w:eastAsia="Georgia" w:hAnsi="Georgia"/>
          <w:b/>
          <w:bCs/>
          <w:sz w:val="21"/>
          <w:szCs w:val="21"/>
        </w:rPr>
        <w:t xml:space="preserve">4.3  No interest. </w:t>
      </w:r>
      <w:r>
        <w:rPr>
          <w:rFonts w:ascii="Georgia" w:cs="Georgia" w:eastAsia="Georgia" w:hAnsi="Georgia"/>
          <w:sz w:val="21"/>
          <w:szCs w:val="21"/>
        </w:rPr>
        <w:t xml:space="preserve">No interest accrues on capital contributions.</w:t>
      </w:r>
    </w:p>
    <w:p>
      <w:pPr>
        <w:spacing w:after="140" w:line="276"/>
      </w:pPr>
      <w:r>
        <w:rPr>
          <w:rFonts w:ascii="Georgia" w:cs="Georgia" w:eastAsia="Georgia" w:hAnsi="Georgia"/>
          <w:b/>
          <w:bCs/>
          <w:sz w:val="21"/>
          <w:szCs w:val="21"/>
        </w:rPr>
        <w:t xml:space="preserve">4.4  Capital account. </w:t>
      </w:r>
      <w:r>
        <w:rPr>
          <w:rFonts w:ascii="Georgia" w:cs="Georgia" w:eastAsia="Georgia" w:hAnsi="Georgia"/>
          <w:sz w:val="21"/>
          <w:szCs w:val="21"/>
        </w:rPr>
        <w:t xml:space="preserve">A capital account shall be maintained for the Member reflecting contributions, distributions, and allocated profits and losses.</w:t>
      </w:r>
    </w:p>
    <w:p>
      <w:pPr>
        <w:pStyle w:val="Heading1"/>
        <w:spacing w:after="160" w:before="360"/>
      </w:pPr>
      <w:r>
        <w:rPr>
          <w:rFonts w:ascii="Georgia" w:cs="Georgia" w:eastAsia="Georgia" w:hAnsi="Georgia"/>
          <w:b/>
          <w:bCs/>
          <w:color w:val="1F2937"/>
          <w:sz w:val="24"/>
          <w:szCs w:val="24"/>
        </w:rPr>
        <w:t xml:space="preserve">ARTICLE 5 — DISTRIBUTIONS, PROFITS AND LOSSES</w:t>
      </w:r>
    </w:p>
    <w:p>
      <w:pPr>
        <w:spacing w:after="140" w:line="276"/>
      </w:pPr>
      <w:r>
        <w:rPr>
          <w:rFonts w:ascii="Georgia" w:cs="Georgia" w:eastAsia="Georgia" w:hAnsi="Georgia"/>
          <w:b/>
          <w:bCs/>
          <w:sz w:val="21"/>
          <w:szCs w:val="21"/>
        </w:rPr>
        <w:t xml:space="preserve">5.1  Distributions. </w:t>
      </w:r>
      <w:r>
        <w:rPr>
          <w:rFonts w:ascii="Georgia" w:cs="Georgia" w:eastAsia="Georgia" w:hAnsi="Georgia"/>
          <w:sz w:val="21"/>
          <w:szCs w:val="21"/>
        </w:rPr>
        <w:t xml:space="preserve">The Member may take distributions at any time, to the extent the Company remains able to pay its debts as they come due and its assets exceed its liabilities (RCW 25.15.231).</w:t>
      </w:r>
    </w:p>
    <w:p>
      <w:pPr>
        <w:spacing w:after="140" w:line="276"/>
      </w:pPr>
      <w:r>
        <w:rPr>
          <w:rFonts w:ascii="Georgia" w:cs="Georgia" w:eastAsia="Georgia" w:hAnsi="Georgia"/>
          <w:b/>
          <w:bCs/>
          <w:sz w:val="21"/>
          <w:szCs w:val="21"/>
        </w:rPr>
        <w:t xml:space="preserve">5.2  Distributions are not compensation. </w:t>
      </w:r>
      <w:r>
        <w:rPr>
          <w:rFonts w:ascii="Georgia" w:cs="Georgia" w:eastAsia="Georgia" w:hAnsi="Georgia"/>
          <w:sz w:val="21"/>
          <w:szCs w:val="21"/>
        </w:rPr>
        <w:t xml:space="preserve">Distributions shall be recorded as such and transferred from the Company’s account to the Member’s personal account. They shall not be taken as direct payment of personal expenses from Company funds.</w:t>
      </w:r>
    </w:p>
    <w:p>
      <w:pPr>
        <w:spacing w:after="140" w:line="276"/>
      </w:pPr>
      <w:r>
        <w:rPr>
          <w:rFonts w:ascii="Georgia" w:cs="Georgia" w:eastAsia="Georgia" w:hAnsi="Georgia"/>
          <w:b/>
          <w:bCs/>
          <w:sz w:val="21"/>
          <w:szCs w:val="21"/>
        </w:rPr>
        <w:t xml:space="preserve">5.3  Allocation. </w:t>
      </w:r>
      <w:r>
        <w:rPr>
          <w:rFonts w:ascii="Georgia" w:cs="Georgia" w:eastAsia="Georgia" w:hAnsi="Georgia"/>
          <w:sz w:val="21"/>
          <w:szCs w:val="21"/>
        </w:rPr>
        <w:t xml:space="preserve">All profits and losses are allocated entirely to the Member.</w:t>
      </w:r>
    </w:p>
    <w:p>
      <w:pPr>
        <w:spacing w:after="140" w:line="276"/>
      </w:pPr>
      <w:r>
        <w:rPr>
          <w:rFonts w:ascii="Georgia" w:cs="Georgia" w:eastAsia="Georgia" w:hAnsi="Georgia"/>
          <w:b/>
          <w:bCs/>
          <w:sz w:val="21"/>
          <w:szCs w:val="21"/>
        </w:rPr>
        <w:t xml:space="preserve">5.4  Tax treatment. </w:t>
      </w:r>
      <w:r>
        <w:rPr>
          <w:rFonts w:ascii="Georgia" w:cs="Georgia" w:eastAsia="Georgia" w:hAnsi="Georgia"/>
          <w:sz w:val="21"/>
          <w:szCs w:val="21"/>
        </w:rPr>
        <w:t xml:space="preserve">The Company is a single-member limited liability company and is </w:t>
      </w:r>
      <w:r>
        <w:rPr>
          <w:rFonts w:ascii="Georgia" w:cs="Georgia" w:eastAsia="Georgia" w:hAnsi="Georgia"/>
          <w:b/>
          <w:bCs/>
          <w:sz w:val="21"/>
          <w:szCs w:val="21"/>
        </w:rPr>
        <w:t xml:space="preserve">disregarded as an entity separate from its owner</w:t>
      </w:r>
      <w:r>
        <w:rPr>
          <w:rFonts w:ascii="Georgia" w:cs="Georgia" w:eastAsia="Georgia" w:hAnsi="Georgia"/>
          <w:sz w:val="21"/>
          <w:szCs w:val="21"/>
        </w:rPr>
        <w:t xml:space="preserve"> for federal income tax purposes by default. The Member may elect other treatment.</w:t>
      </w:r>
    </w:p>
    <w:p>
      <w:pPr>
        <w:pStyle w:val="Heading1"/>
        <w:spacing w:after="160" w:before="360"/>
      </w:pPr>
      <w:r>
        <w:rPr>
          <w:rFonts w:ascii="Georgia" w:cs="Georgia" w:eastAsia="Georgia" w:hAnsi="Georgia"/>
          <w:b/>
          <w:bCs/>
          <w:color w:val="1F2937"/>
          <w:sz w:val="24"/>
          <w:szCs w:val="24"/>
        </w:rPr>
        <w:t xml:space="preserve">ARTICLE 6 — MANAGEMENT</w:t>
      </w:r>
    </w:p>
    <w:p>
      <w:pPr>
        <w:spacing w:after="140" w:line="276"/>
      </w:pPr>
      <w:r>
        <w:rPr>
          <w:rFonts w:ascii="Georgia" w:cs="Georgia" w:eastAsia="Georgia" w:hAnsi="Georgia"/>
          <w:b/>
          <w:bCs/>
          <w:sz w:val="21"/>
          <w:szCs w:val="21"/>
        </w:rPr>
        <w:t xml:space="preserve">6.1  Member-managed. </w:t>
      </w:r>
      <w:r>
        <w:rPr>
          <w:rFonts w:ascii="Georgia" w:cs="Georgia" w:eastAsia="Georgia" w:hAnsi="Georgia"/>
          <w:sz w:val="21"/>
          <w:szCs w:val="21"/>
        </w:rPr>
        <w:t xml:space="preserve">The Company is managed by its Member.</w:t>
      </w:r>
    </w:p>
    <w:p>
      <w:pPr>
        <w:spacing w:after="140" w:line="276"/>
      </w:pPr>
      <w:r>
        <w:rPr>
          <w:rFonts w:ascii="Georgia" w:cs="Georgia" w:eastAsia="Georgia" w:hAnsi="Georgia"/>
          <w:b/>
          <w:bCs/>
          <w:sz w:val="21"/>
          <w:szCs w:val="21"/>
        </w:rPr>
        <w:t xml:space="preserve">6.2  Authority. </w:t>
      </w:r>
      <w:r>
        <w:rPr>
          <w:rFonts w:ascii="Georgia" w:cs="Georgia" w:eastAsia="Georgia" w:hAnsi="Georgia"/>
          <w:sz w:val="21"/>
          <w:szCs w:val="21"/>
        </w:rPr>
        <w:t xml:space="preserve">The Member may take any action on behalf of the Company, including opening and operating bank accounts, entering contracts, engaging professionals, acquiring and disposing of property, and executing business associate agreements under HIPAA.</w:t>
      </w:r>
    </w:p>
    <w:p>
      <w:pPr>
        <w:spacing w:after="140" w:line="276"/>
      </w:pPr>
      <w:r>
        <w:rPr>
          <w:rFonts w:ascii="Georgia" w:cs="Georgia" w:eastAsia="Georgia" w:hAnsi="Georgia"/>
          <w:b/>
          <w:bCs/>
          <w:sz w:val="21"/>
          <w:szCs w:val="21"/>
        </w:rPr>
        <w:t xml:space="preserve">6.3  Standard of conduct. </w:t>
      </w:r>
      <w:r>
        <w:rPr>
          <w:rFonts w:ascii="Georgia" w:cs="Georgia" w:eastAsia="Georgia" w:hAnsi="Georgia"/>
          <w:sz w:val="21"/>
          <w:szCs w:val="21"/>
        </w:rPr>
        <w:t xml:space="preserve">The Member shall act in good faith and in the Company’s best interests, and shall not commingle Company and personal funds or property.</w:t>
      </w:r>
    </w:p>
    <w:p>
      <w:pPr>
        <w:pStyle w:val="Heading1"/>
        <w:spacing w:after="160" w:before="360"/>
      </w:pPr>
      <w:r>
        <w:rPr>
          <w:rFonts w:ascii="Georgia" w:cs="Georgia" w:eastAsia="Georgia" w:hAnsi="Georgia"/>
          <w:b/>
          <w:bCs/>
          <w:color w:val="1F2937"/>
          <w:sz w:val="24"/>
          <w:szCs w:val="24"/>
        </w:rPr>
        <w:t xml:space="preserve">ARTICLE 7 — RECORDS, ACCOUNTING AND SEPARATENESS</w:t>
      </w:r>
    </w:p>
    <w:p>
      <w:pPr>
        <w:spacing w:after="140" w:line="276"/>
      </w:pPr>
      <w:r>
        <w:rPr>
          <w:rFonts w:ascii="Georgia" w:cs="Georgia" w:eastAsia="Georgia" w:hAnsi="Georgia"/>
          <w:b/>
          <w:bCs/>
          <w:sz w:val="21"/>
          <w:szCs w:val="21"/>
        </w:rPr>
        <w:t xml:space="preserve">7.1  Fiscal year. </w:t>
      </w:r>
      <w:r>
        <w:rPr>
          <w:rFonts w:ascii="Georgia" w:cs="Georgia" w:eastAsia="Georgia" w:hAnsi="Georgia"/>
          <w:sz w:val="21"/>
          <w:szCs w:val="21"/>
        </w:rPr>
        <w:t xml:space="preserve">The calendar year. </w:t>
      </w:r>
      <w:r>
        <w:rPr>
          <w:rFonts w:ascii="Calibri" w:cs="Calibri" w:eastAsia="Calibri" w:hAnsi="Calibri"/>
          <w:color w:val="9A3412"/>
          <w:sz w:val="21"/>
          <w:szCs w:val="21"/>
          <w:highlight w:val="yellow"/>
          <w:highlightCs w:val="yellow"/>
        </w:rPr>
        <w:t xml:space="preserve">[CONFIRM]</w:t>
      </w:r>
    </w:p>
    <w:p>
      <w:pPr>
        <w:spacing w:after="140" w:line="276"/>
      </w:pPr>
      <w:r>
        <w:rPr>
          <w:rFonts w:ascii="Georgia" w:cs="Georgia" w:eastAsia="Georgia" w:hAnsi="Georgia"/>
          <w:b/>
          <w:bCs/>
          <w:sz w:val="21"/>
          <w:szCs w:val="21"/>
        </w:rPr>
        <w:t xml:space="preserve">7.2  Records. </w:t>
      </w:r>
      <w:r>
        <w:rPr>
          <w:rFonts w:ascii="Georgia" w:cs="Georgia" w:eastAsia="Georgia" w:hAnsi="Georgia"/>
          <w:sz w:val="21"/>
          <w:szCs w:val="21"/>
        </w:rPr>
        <w:t xml:space="preserve">The Company shall maintain at its principal office: this Agreement and amendments; the Certificate of Formation; tax returns; financial records; and minutes or written consents of material decisions.</w:t>
      </w:r>
    </w:p>
    <w:p>
      <w:pPr>
        <w:spacing w:after="140" w:line="276"/>
      </w:pPr>
      <w:r>
        <w:rPr>
          <w:rFonts w:ascii="Georgia" w:cs="Georgia" w:eastAsia="Georgia" w:hAnsi="Georgia"/>
          <w:b/>
          <w:bCs/>
          <w:sz w:val="21"/>
          <w:szCs w:val="21"/>
        </w:rPr>
        <w:t xml:space="preserve">7.3  Separateness covenants. </w:t>
      </w:r>
      <w:r>
        <w:rPr>
          <w:rFonts w:ascii="Georgia" w:cs="Georgia" w:eastAsia="Georgia" w:hAnsi="Georgia"/>
          <w:sz w:val="21"/>
          <w:szCs w:val="21"/>
        </w:rPr>
        <w:t xml:space="preserve">To preserve the Company’s status as an entity distinct from the Member, the Company shall:</w:t>
      </w:r>
    </w:p>
    <w:p>
      <w:pPr>
        <w:spacing w:after="100" w:line="264"/>
        <w:ind w:left="648" w:hanging="360"/>
      </w:pPr>
      <w:r>
        <w:rPr>
          <w:rFonts w:ascii="Georgia" w:cs="Georgia" w:eastAsia="Georgia" w:hAnsi="Georgia"/>
          <w:sz w:val="21"/>
          <w:szCs w:val="21"/>
        </w:rPr>
        <w:t xml:space="preserve">(a)  </w:t>
      </w:r>
      <w:r>
        <w:rPr>
          <w:rFonts w:ascii="Georgia" w:cs="Georgia" w:eastAsia="Georgia" w:hAnsi="Georgia"/>
          <w:sz w:val="21"/>
          <w:szCs w:val="21"/>
        </w:rPr>
        <w:t xml:space="preserve">maintain a bank account in its own name, separate from any personal account;</w:t>
      </w:r>
    </w:p>
    <w:p>
      <w:pPr>
        <w:spacing w:after="100" w:line="264"/>
        <w:ind w:left="648" w:hanging="360"/>
      </w:pPr>
      <w:r>
        <w:rPr>
          <w:rFonts w:ascii="Georgia" w:cs="Georgia" w:eastAsia="Georgia" w:hAnsi="Georgia"/>
          <w:sz w:val="21"/>
          <w:szCs w:val="21"/>
        </w:rPr>
        <w:t xml:space="preserve">(b)  </w:t>
      </w:r>
      <w:r>
        <w:rPr>
          <w:rFonts w:ascii="Georgia" w:cs="Georgia" w:eastAsia="Georgia" w:hAnsi="Georgia"/>
          <w:sz w:val="21"/>
          <w:szCs w:val="21"/>
        </w:rPr>
        <w:t xml:space="preserve">pay business expenses from Company funds and personal expenses from personal funds;</w:t>
      </w:r>
    </w:p>
    <w:p>
      <w:pPr>
        <w:spacing w:after="100" w:line="264"/>
        <w:ind w:left="648" w:hanging="360"/>
      </w:pPr>
      <w:r>
        <w:rPr>
          <w:rFonts w:ascii="Georgia" w:cs="Georgia" w:eastAsia="Georgia" w:hAnsi="Georgia"/>
          <w:sz w:val="21"/>
          <w:szCs w:val="21"/>
        </w:rPr>
        <w:t xml:space="preserve">(c)  </w:t>
      </w:r>
      <w:r>
        <w:rPr>
          <w:rFonts w:ascii="Georgia" w:cs="Georgia" w:eastAsia="Georgia" w:hAnsi="Georgia"/>
          <w:sz w:val="21"/>
          <w:szCs w:val="21"/>
        </w:rPr>
        <w:t xml:space="preserve">hold itself out to third parties under its own name;</w:t>
      </w:r>
    </w:p>
    <w:p>
      <w:pPr>
        <w:spacing w:after="100" w:line="264"/>
        <w:ind w:left="648" w:hanging="360"/>
      </w:pPr>
      <w:r>
        <w:rPr>
          <w:rFonts w:ascii="Georgia" w:cs="Georgia" w:eastAsia="Georgia" w:hAnsi="Georgia"/>
          <w:sz w:val="21"/>
          <w:szCs w:val="21"/>
        </w:rPr>
        <w:t xml:space="preserve">(d)  </w:t>
      </w:r>
      <w:r>
        <w:rPr>
          <w:rFonts w:ascii="Georgia" w:cs="Georgia" w:eastAsia="Georgia" w:hAnsi="Georgia"/>
          <w:sz w:val="21"/>
          <w:szCs w:val="21"/>
        </w:rPr>
        <w:t xml:space="preserve">maintain books and records separate from the Member’s personal records;</w:t>
      </w:r>
    </w:p>
    <w:p>
      <w:pPr>
        <w:spacing w:after="100" w:line="264"/>
        <w:ind w:left="648" w:hanging="360"/>
      </w:pPr>
      <w:r>
        <w:rPr>
          <w:rFonts w:ascii="Georgia" w:cs="Georgia" w:eastAsia="Georgia" w:hAnsi="Georgia"/>
          <w:sz w:val="21"/>
          <w:szCs w:val="21"/>
        </w:rPr>
        <w:t xml:space="preserve">(e)  </w:t>
      </w:r>
      <w:r>
        <w:rPr>
          <w:rFonts w:ascii="Georgia" w:cs="Georgia" w:eastAsia="Georgia" w:hAnsi="Georgia"/>
          <w:sz w:val="21"/>
          <w:szCs w:val="21"/>
        </w:rPr>
        <w:t xml:space="preserve">file its own required reports and licence renewals; and</w:t>
      </w:r>
    </w:p>
    <w:p>
      <w:pPr>
        <w:spacing w:after="100" w:line="264"/>
        <w:ind w:left="648" w:hanging="360"/>
      </w:pPr>
      <w:r>
        <w:rPr>
          <w:rFonts w:ascii="Georgia" w:cs="Georgia" w:eastAsia="Georgia" w:hAnsi="Georgia"/>
          <w:sz w:val="21"/>
          <w:szCs w:val="21"/>
        </w:rPr>
        <w:t xml:space="preserve">(f)  </w:t>
      </w:r>
      <w:r>
        <w:rPr>
          <w:rFonts w:ascii="Georgia" w:cs="Georgia" w:eastAsia="Georgia" w:hAnsi="Georgia"/>
          <w:sz w:val="21"/>
          <w:szCs w:val="21"/>
        </w:rPr>
        <w:t xml:space="preserve">document every capital contribution and distribution.</w:t>
      </w:r>
    </w:p>
    <w:p>
      <w:pPr>
        <w:spacing w:after="140" w:line="276"/>
      </w:pPr>
      <w:r>
        <w:rPr>
          <w:rFonts w:ascii="Georgia" w:cs="Georgia" w:eastAsia="Georgia" w:hAnsi="Georgia"/>
          <w:b/>
          <w:bCs/>
          <w:sz w:val="21"/>
          <w:szCs w:val="21"/>
        </w:rPr>
        <w:t xml:space="preserve">7.4  Client records. </w:t>
      </w:r>
      <w:r>
        <w:rPr>
          <w:rFonts w:ascii="Georgia" w:cs="Georgia" w:eastAsia="Georgia" w:hAnsi="Georgia"/>
          <w:sz w:val="21"/>
          <w:szCs w:val="21"/>
        </w:rPr>
        <w:t xml:space="preserve">Clinical records are maintained under the Member’s professional obligations, including retention for </w:t>
      </w:r>
      <w:r>
        <w:rPr>
          <w:rFonts w:ascii="Georgia" w:cs="Georgia" w:eastAsia="Georgia" w:hAnsi="Georgia"/>
          <w:b/>
          <w:bCs/>
          <w:sz w:val="21"/>
          <w:szCs w:val="21"/>
        </w:rPr>
        <w:t xml:space="preserve">five years following each client’s last visit</w:t>
      </w:r>
      <w:r>
        <w:rPr>
          <w:rFonts w:ascii="Georgia" w:cs="Georgia" w:eastAsia="Georgia" w:hAnsi="Georgia"/>
          <w:sz w:val="21"/>
          <w:szCs w:val="21"/>
        </w:rPr>
        <w:t xml:space="preserve"> (WAC 246-809-035). Those obligations survive dissolution of the Company (Article 9).</w:t>
      </w:r>
    </w:p>
    <w:p>
      <w:pPr>
        <w:pStyle w:val="Heading1"/>
        <w:spacing w:after="160" w:before="360"/>
      </w:pPr>
      <w:r>
        <w:rPr>
          <w:rFonts w:ascii="Georgia" w:cs="Georgia" w:eastAsia="Georgia" w:hAnsi="Georgia"/>
          <w:b/>
          <w:bCs/>
          <w:color w:val="1F2937"/>
          <w:sz w:val="24"/>
          <w:szCs w:val="24"/>
        </w:rPr>
        <w:t xml:space="preserve">ARTICLE 8 — TRANSFER RESTRICTIONS</w:t>
      </w:r>
    </w:p>
    <w:p>
      <w:pPr>
        <w:spacing w:after="140" w:line="276"/>
      </w:pPr>
      <w:r>
        <w:rPr>
          <w:rFonts w:ascii="Georgia" w:cs="Georgia" w:eastAsia="Georgia" w:hAnsi="Georgia"/>
          <w:b/>
          <w:bCs/>
          <w:sz w:val="21"/>
          <w:szCs w:val="21"/>
        </w:rPr>
        <w:t xml:space="preserve">8.1  No transfer to an unlicensed person. </w:t>
      </w:r>
      <w:r>
        <w:rPr>
          <w:rFonts w:ascii="Georgia" w:cs="Georgia" w:eastAsia="Georgia" w:hAnsi="Georgia"/>
          <w:sz w:val="21"/>
          <w:szCs w:val="21"/>
        </w:rPr>
        <w:t xml:space="preserve">The Member shall not sell, assign, pledge, gift or otherwise transfer any membership interest, in whole or part, to any person who is not duly licensed or otherwise legally authorized to render mental health counseling in Washington. </w:t>
      </w:r>
      <w:r>
        <w:rPr>
          <w:rFonts w:ascii="Georgia" w:cs="Georgia" w:eastAsia="Georgia" w:hAnsi="Georgia"/>
          <w:b/>
          <w:bCs/>
          <w:sz w:val="21"/>
          <w:szCs w:val="21"/>
        </w:rPr>
        <w:t xml:space="preserve">Any purported transfer in violation of this section is void.</w:t>
      </w:r>
    </w:p>
    <w:p>
      <w:pPr>
        <w:spacing w:after="140" w:line="276"/>
      </w:pPr>
      <w:r>
        <w:rPr>
          <w:rFonts w:ascii="Georgia" w:cs="Georgia" w:eastAsia="Georgia" w:hAnsi="Georgia"/>
          <w:b/>
          <w:bCs/>
          <w:sz w:val="21"/>
          <w:szCs w:val="21"/>
        </w:rPr>
        <w:t xml:space="preserve">8.2  Involuntary transfer. </w:t>
      </w:r>
      <w:r>
        <w:rPr>
          <w:rFonts w:ascii="Georgia" w:cs="Georgia" w:eastAsia="Georgia" w:hAnsi="Georgia"/>
          <w:sz w:val="21"/>
          <w:szCs w:val="21"/>
        </w:rPr>
        <w:t xml:space="preserve">If a membership interest would pass by operation of law — including by death, dissolution of marriage, judicial order, or creditor process — to a person not qualified under §8.1, that person acquires </w:t>
      </w:r>
      <w:r>
        <w:rPr>
          <w:rFonts w:ascii="Georgia" w:cs="Georgia" w:eastAsia="Georgia" w:hAnsi="Georgia"/>
          <w:b/>
          <w:bCs/>
          <w:sz w:val="21"/>
          <w:szCs w:val="21"/>
        </w:rPr>
        <w:t xml:space="preserve">no membership, voting or management rights</w:t>
      </w:r>
      <w:r>
        <w:rPr>
          <w:rFonts w:ascii="Georgia" w:cs="Georgia" w:eastAsia="Georgia" w:hAnsi="Georgia"/>
          <w:sz w:val="21"/>
          <w:szCs w:val="21"/>
        </w:rPr>
        <w:t xml:space="preserve">, and takes at most an economic interest in distributions. The Company may redeem that economic interest at fair value.</w:t>
      </w:r>
    </w:p>
    <w:p>
      <w:pPr>
        <w:pStyle w:val="Heading1"/>
        <w:spacing w:after="160" w:before="360"/>
      </w:pPr>
      <w:r>
        <w:rPr>
          <w:rFonts w:ascii="Georgia" w:cs="Georgia" w:eastAsia="Georgia" w:hAnsi="Georgia"/>
          <w:b/>
          <w:bCs/>
          <w:color w:val="1F2937"/>
          <w:sz w:val="24"/>
          <w:szCs w:val="24"/>
        </w:rPr>
        <w:t xml:space="preserve">ARTICLE 9 — DISSOCIATION, DEATH, INCAPACITY AND DISSOLUTION</w:t>
      </w:r>
    </w:p>
    <w:p>
      <w:pPr>
        <w:spacing w:after="140" w:line="276"/>
      </w:pPr>
      <w:r>
        <w:rPr>
          <w:rFonts w:ascii="Georgia" w:cs="Georgia" w:eastAsia="Georgia" w:hAnsi="Georgia"/>
          <w:b/>
          <w:bCs/>
          <w:sz w:val="21"/>
          <w:szCs w:val="21"/>
        </w:rPr>
        <w:t xml:space="preserve">9.1  Events of dissolution. </w:t>
      </w:r>
      <w:r>
        <w:rPr>
          <w:rFonts w:ascii="Georgia" w:cs="Georgia" w:eastAsia="Georgia" w:hAnsi="Georgia"/>
          <w:sz w:val="21"/>
          <w:szCs w:val="21"/>
        </w:rPr>
        <w:t xml:space="preserve">The Company dissolves on: (a) the Member’s written decision to dissolve; (b) the Member’s death or permanent incapacity, subject to §9.3; (c) entry of a judicial decree of dissolution; or (d) any event requiring dissolution under Chapter 25.15 RCW.</w:t>
      </w:r>
    </w:p>
    <w:p>
      <w:pPr>
        <w:spacing w:after="140" w:line="276"/>
      </w:pPr>
      <w:r>
        <w:rPr>
          <w:rFonts w:ascii="Georgia" w:cs="Georgia" w:eastAsia="Georgia" w:hAnsi="Georgia"/>
          <w:b/>
          <w:bCs/>
          <w:sz w:val="21"/>
          <w:szCs w:val="21"/>
        </w:rPr>
        <w:t xml:space="preserve">9.2  Winding up. </w:t>
      </w:r>
      <w:r>
        <w:rPr>
          <w:rFonts w:ascii="Georgia" w:cs="Georgia" w:eastAsia="Georgia" w:hAnsi="Georgia"/>
          <w:sz w:val="21"/>
          <w:szCs w:val="21"/>
        </w:rPr>
        <w:t xml:space="preserve">On dissolution the Member, or the Member’s personal representative, shall wind up the Company: collect assets, pay or provide for liabilities, make final tax filings, file a Certificate of Dissolution with the Secretary of State, close the Department of Revenue account, and distribute any remainder to the Member or their estate.</w:t>
      </w:r>
    </w:p>
    <w:p>
      <w:pPr>
        <w:spacing w:after="140" w:line="276"/>
      </w:pPr>
      <w:r>
        <w:rPr>
          <w:rFonts w:ascii="Georgia" w:cs="Georgia" w:eastAsia="Georgia" w:hAnsi="Georgia"/>
          <w:b/>
          <w:bCs/>
          <w:sz w:val="21"/>
          <w:szCs w:val="21"/>
        </w:rPr>
        <w:t xml:space="preserve">9.3  Clinical obligations survive — records custodian. </w:t>
      </w:r>
      <w:r>
        <w:rPr>
          <w:rFonts w:ascii="Georgia" w:cs="Georgia" w:eastAsia="Georgia" w:hAnsi="Georgia"/>
          <w:sz w:val="21"/>
          <w:szCs w:val="21"/>
        </w:rPr>
        <w:t xml:space="preserve">Dissolution does not extinguish the obligations attaching to client records. On the Member’s death or incapacity, or on dissolution:</w:t>
      </w:r>
    </w:p>
    <w:p>
      <w:pPr>
        <w:spacing w:after="100" w:line="264"/>
        <w:ind w:left="648" w:hanging="360"/>
      </w:pPr>
      <w:r>
        <w:rPr>
          <w:rFonts w:ascii="Georgia" w:cs="Georgia" w:eastAsia="Georgia" w:hAnsi="Georgia"/>
          <w:sz w:val="21"/>
          <w:szCs w:val="21"/>
        </w:rPr>
        <w:t xml:space="preserve">(a)  </w:t>
      </w:r>
      <w:r>
        <w:rPr>
          <w:rFonts w:ascii="Georgia" w:cs="Georgia" w:eastAsia="Georgia" w:hAnsi="Georgia"/>
          <w:sz w:val="21"/>
          <w:szCs w:val="21"/>
        </w:rPr>
        <w:t xml:space="preserve">the records custodian designated by the Member from time to time by separate written designation shall take custody of client records under WAC 246-809-035. The Member shall keep that designation current and shall store it with this Agreement;</w:t>
      </w:r>
    </w:p>
    <w:p>
      <w:pPr>
        <w:spacing w:after="100" w:line="264"/>
        <w:ind w:left="648" w:hanging="360"/>
      </w:pPr>
      <w:r>
        <w:rPr>
          <w:rFonts w:ascii="Georgia" w:cs="Georgia" w:eastAsia="Georgia" w:hAnsi="Georgia"/>
          <w:sz w:val="21"/>
          <w:szCs w:val="21"/>
        </w:rPr>
        <w:t xml:space="preserve">(b)  </w:t>
      </w:r>
      <w:r>
        <w:rPr>
          <w:rFonts w:ascii="Georgia" w:cs="Georgia" w:eastAsia="Georgia" w:hAnsi="Georgia"/>
          <w:sz w:val="21"/>
          <w:szCs w:val="21"/>
        </w:rPr>
        <w:t xml:space="preserve">the Member shall arrange, in advance, for the custodian to be able to reach the records without requiring any act by the Member’s estate; and</w:t>
      </w:r>
    </w:p>
    <w:p>
      <w:pPr>
        <w:spacing w:after="100" w:line="264"/>
        <w:ind w:left="648" w:hanging="360"/>
      </w:pPr>
      <w:r>
        <w:rPr>
          <w:rFonts w:ascii="Georgia" w:cs="Georgia" w:eastAsia="Georgia" w:hAnsi="Georgia"/>
          <w:sz w:val="21"/>
          <w:szCs w:val="21"/>
        </w:rPr>
        <w:t xml:space="preserve">(c)  </w:t>
      </w:r>
      <w:r>
        <w:rPr>
          <w:rFonts w:ascii="Georgia" w:cs="Georgia" w:eastAsia="Georgia" w:hAnsi="Georgia"/>
          <w:sz w:val="21"/>
          <w:szCs w:val="21"/>
        </w:rPr>
        <w:t xml:space="preserve">the custodian shall retain the records for the period required by WAC 246-809-035 and shall remain reachable by former clients for records requests during that period.</w:t>
      </w:r>
    </w:p>
    <w:p>
      <w:pPr>
        <w:spacing w:after="140" w:line="276"/>
      </w:pPr>
      <w:r>
        <w:rPr>
          <w:rFonts w:ascii="Georgia" w:cs="Georgia" w:eastAsia="Georgia" w:hAnsi="Georgia"/>
          <w:b/>
          <w:bCs/>
          <w:sz w:val="21"/>
          <w:szCs w:val="21"/>
        </w:rPr>
        <w:t xml:space="preserve">9.4  Priority. </w:t>
      </w:r>
      <w:r>
        <w:rPr>
          <w:rFonts w:ascii="Georgia" w:cs="Georgia" w:eastAsia="Georgia" w:hAnsi="Georgia"/>
          <w:sz w:val="21"/>
          <w:szCs w:val="21"/>
        </w:rPr>
        <w:t xml:space="preserve">Company assets on winding up are applied first to creditors, then to the Member.</w:t>
      </w:r>
    </w:p>
    <w:p>
      <w:pPr>
        <w:pStyle w:val="Heading1"/>
        <w:spacing w:after="160" w:before="360"/>
      </w:pPr>
      <w:r>
        <w:rPr>
          <w:rFonts w:ascii="Georgia" w:cs="Georgia" w:eastAsia="Georgia" w:hAnsi="Georgia"/>
          <w:b/>
          <w:bCs/>
          <w:color w:val="1F2937"/>
          <w:sz w:val="24"/>
          <w:szCs w:val="24"/>
        </w:rPr>
        <w:t xml:space="preserve">ARTICLE 10 — GENERAL</w:t>
      </w:r>
    </w:p>
    <w:p>
      <w:pPr>
        <w:spacing w:after="140" w:line="276"/>
      </w:pPr>
      <w:r>
        <w:rPr>
          <w:rFonts w:ascii="Georgia" w:cs="Georgia" w:eastAsia="Georgia" w:hAnsi="Georgia"/>
          <w:b/>
          <w:bCs/>
          <w:sz w:val="21"/>
          <w:szCs w:val="21"/>
        </w:rPr>
        <w:t xml:space="preserve">10.1  Indemnification. </w:t>
      </w:r>
      <w:r>
        <w:rPr>
          <w:rFonts w:ascii="Georgia" w:cs="Georgia" w:eastAsia="Georgia" w:hAnsi="Georgia"/>
          <w:sz w:val="21"/>
          <w:szCs w:val="21"/>
        </w:rPr>
        <w:t xml:space="preserve">The Company shall indemnify the Member against liabilities incurred in the proper conduct of Company business, to the fullest extent permitted by Chapter 25.15 RCW — </w:t>
      </w:r>
      <w:r>
        <w:rPr>
          <w:rFonts w:ascii="Georgia" w:cs="Georgia" w:eastAsia="Georgia" w:hAnsi="Georgia"/>
          <w:b/>
          <w:bCs/>
          <w:sz w:val="21"/>
          <w:szCs w:val="21"/>
        </w:rPr>
        <w:t xml:space="preserve">excluding</w:t>
      </w:r>
      <w:r>
        <w:rPr>
          <w:rFonts w:ascii="Georgia" w:cs="Georgia" w:eastAsia="Georgia" w:hAnsi="Georgia"/>
          <w:sz w:val="21"/>
          <w:szCs w:val="21"/>
        </w:rPr>
        <w:t xml:space="preserve"> liability arising from the Member’s own professional acts, errors or omissions, which remain the Member’s personal responsibility (§2.2) and are addressed by professional liability insurance.</w:t>
      </w:r>
    </w:p>
    <w:p>
      <w:pPr>
        <w:spacing w:after="140" w:line="276"/>
      </w:pPr>
      <w:r>
        <w:rPr>
          <w:rFonts w:ascii="Georgia" w:cs="Georgia" w:eastAsia="Georgia" w:hAnsi="Georgia"/>
          <w:b/>
          <w:bCs/>
          <w:sz w:val="21"/>
          <w:szCs w:val="21"/>
        </w:rPr>
        <w:t xml:space="preserve">10.2  Amendment. </w:t>
      </w:r>
      <w:r>
        <w:rPr>
          <w:rFonts w:ascii="Georgia" w:cs="Georgia" w:eastAsia="Georgia" w:hAnsi="Georgia"/>
          <w:sz w:val="21"/>
          <w:szCs w:val="21"/>
        </w:rPr>
        <w:t xml:space="preserve">Only by a writing signed by the Member.</w:t>
      </w:r>
    </w:p>
    <w:p>
      <w:pPr>
        <w:spacing w:after="140" w:line="276"/>
      </w:pPr>
      <w:r>
        <w:rPr>
          <w:rFonts w:ascii="Georgia" w:cs="Georgia" w:eastAsia="Georgia" w:hAnsi="Georgia"/>
          <w:b/>
          <w:bCs/>
          <w:sz w:val="21"/>
          <w:szCs w:val="21"/>
        </w:rPr>
        <w:t xml:space="preserve">10.3  Governing law. </w:t>
      </w:r>
      <w:r>
        <w:rPr>
          <w:rFonts w:ascii="Georgia" w:cs="Georgia" w:eastAsia="Georgia" w:hAnsi="Georgia"/>
          <w:sz w:val="21"/>
          <w:szCs w:val="21"/>
        </w:rPr>
        <w:t xml:space="preserve">Washington.</w:t>
      </w:r>
    </w:p>
    <w:p>
      <w:pPr>
        <w:spacing w:after="140" w:line="276"/>
      </w:pPr>
      <w:r>
        <w:rPr>
          <w:rFonts w:ascii="Georgia" w:cs="Georgia" w:eastAsia="Georgia" w:hAnsi="Georgia"/>
          <w:b/>
          <w:bCs/>
          <w:sz w:val="21"/>
          <w:szCs w:val="21"/>
        </w:rPr>
        <w:t xml:space="preserve">10.4  Severability. </w:t>
      </w:r>
      <w:r>
        <w:rPr>
          <w:rFonts w:ascii="Georgia" w:cs="Georgia" w:eastAsia="Georgia" w:hAnsi="Georgia"/>
          <w:sz w:val="21"/>
          <w:szCs w:val="21"/>
        </w:rPr>
        <w:t xml:space="preserve">If any provision is held unenforceable, the remainder continues in effect.</w:t>
      </w:r>
    </w:p>
    <w:p>
      <w:pPr>
        <w:spacing w:after="140" w:line="276"/>
      </w:pPr>
      <w:r>
        <w:rPr>
          <w:rFonts w:ascii="Georgia" w:cs="Georgia" w:eastAsia="Georgia" w:hAnsi="Georgia"/>
          <w:b/>
          <w:bCs/>
          <w:sz w:val="21"/>
          <w:szCs w:val="21"/>
        </w:rPr>
        <w:t xml:space="preserve">10.5  Entire agreement. </w:t>
      </w:r>
      <w:r>
        <w:rPr>
          <w:rFonts w:ascii="Georgia" w:cs="Georgia" w:eastAsia="Georgia" w:hAnsi="Georgia"/>
          <w:sz w:val="21"/>
          <w:szCs w:val="21"/>
        </w:rPr>
        <w:t xml:space="preserve">This Agreement is the entire agreement respecting its subject matter.</w:t>
      </w:r>
    </w:p>
    <w:p>
      <w:pPr>
        <w:pBdr>
          <w:bottom w:val="single" w:color="9CA3AF" w:sz="6" w:space="1"/>
        </w:pBdr>
        <w:spacing w:after="220" w:before="220"/>
      </w:pPr>
      <w:r>
        <w:t xml:space="preserve"/>
      </w:r>
    </w:p>
    <w:p>
      <w:pPr>
        <w:pStyle w:val="Heading1"/>
        <w:spacing w:after="160" w:before="360"/>
      </w:pPr>
      <w:r>
        <w:rPr>
          <w:rFonts w:ascii="Georgia" w:cs="Georgia" w:eastAsia="Georgia" w:hAnsi="Georgia"/>
          <w:b/>
          <w:bCs/>
          <w:color w:val="1F2937"/>
          <w:sz w:val="24"/>
          <w:szCs w:val="24"/>
        </w:rPr>
        <w:t xml:space="preserve">SIGNATURE</w:t>
      </w:r>
    </w:p>
    <w:p>
      <w:pPr>
        <w:spacing w:after="140" w:line="276"/>
      </w:pPr>
      <w:r>
        <w:rPr>
          <w:rFonts w:ascii="Georgia" w:cs="Georgia" w:eastAsia="Georgia" w:hAnsi="Georgia"/>
          <w:sz w:val="21"/>
          <w:szCs w:val="21"/>
        </w:rPr>
        <w:t xml:space="preserve">Executed as of </w:t>
      </w:r>
      <w:r>
        <w:rPr>
          <w:rFonts w:ascii="Calibri" w:cs="Calibri" w:eastAsia="Calibri" w:hAnsi="Calibri"/>
          <w:color w:val="9A3412"/>
          <w:sz w:val="21"/>
          <w:szCs w:val="21"/>
          <w:highlight w:val="yellow"/>
          <w:highlightCs w:val="yellow"/>
        </w:rPr>
        <w:t xml:space="preserve">[DATE]</w:t>
      </w:r>
      <w:r>
        <w:rPr>
          <w:rFonts w:ascii="Georgia" w:cs="Georgia" w:eastAsia="Georgia" w:hAnsi="Georgia"/>
          <w:sz w:val="21"/>
          <w:szCs w:val="21"/>
        </w:rPr>
        <w:t xml:space="preserve">.</w:t>
      </w:r>
    </w:p>
    <w:p>
      <w:pPr>
        <w:spacing w:after="60" w:line="276"/>
      </w:pPr>
      <w:r>
        <w:rPr>
          <w:rFonts w:ascii="Georgia" w:cs="Georgia" w:eastAsia="Georgia" w:hAnsi="Georgia"/>
          <w:b/>
          <w:bCs/>
          <w:sz w:val="21"/>
          <w:szCs w:val="21"/>
        </w:rPr>
        <w:t xml:space="preserve">MEMBER</w:t>
      </w:r>
    </w:p>
    <w:p>
      <w:pPr>
        <w:pBdr>
          <w:bottom w:val="single" w:color="374151" w:sz="6" w:space="1"/>
        </w:pBdr>
        <w:spacing w:after="0" w:before="400"/>
      </w:pPr>
      <w:r>
        <w:rPr>
          <w:rFonts w:ascii="Georgia" w:cs="Georgia" w:eastAsia="Georgia" w:hAnsi="Georgia"/>
          <w:sz w:val="21"/>
          <w:szCs w:val="21"/>
        </w:rPr>
        <w:t xml:space="preserve"/>
      </w:r>
    </w:p>
    <w:p>
      <w:pPr>
        <w:spacing w:after="240"/>
      </w:pPr>
      <w:r>
        <w:rPr>
          <w:rFonts w:ascii="Calibri" w:cs="Calibri" w:eastAsia="Calibri" w:hAnsi="Calibri"/>
          <w:color w:val="9A3412"/>
          <w:sz w:val="19"/>
          <w:szCs w:val="19"/>
          <w:highlight w:val="yellow"/>
          <w:highlightCs w:val="yellow"/>
        </w:rPr>
        <w:t xml:space="preserve">[MEMBER FULL LEGAL NAME]</w:t>
      </w:r>
      <w:r>
        <w:rPr>
          <w:rFonts w:ascii="Georgia" w:cs="Georgia" w:eastAsia="Georgia" w:hAnsi="Georgia"/>
          <w:sz w:val="19"/>
          <w:szCs w:val="19"/>
        </w:rPr>
        <w:t xml:space="preserve">, sole Member</w:t>
      </w:r>
    </w:p>
    <w:p>
      <w:pPr>
        <w:pBdr>
          <w:bottom w:val="single" w:color="9CA3AF" w:sz="6" w:space="1"/>
        </w:pBdr>
        <w:spacing w:after="220" w:before="220"/>
      </w:pPr>
      <w:r>
        <w:t xml:space="preserve"/>
      </w:r>
    </w:p>
    <w:p>
      <w:pPr>
        <w:pBdr>
          <w:bottom w:val="single" w:color="9CA3AF" w:sz="6" w:space="1"/>
        </w:pBdr>
        <w:spacing w:after="220" w:before="220"/>
      </w:pPr>
      <w:r>
        <w:t xml:space="preserve"/>
      </w:r>
    </w:p>
    <w:p>
      <w:pPr>
        <w:pStyle w:val="Heading1"/>
        <w:spacing w:after="160" w:before="360"/>
      </w:pPr>
      <w:r>
        <w:rPr>
          <w:rFonts w:ascii="Georgia" w:cs="Georgia" w:eastAsia="Georgia" w:hAnsi="Georgia"/>
          <w:b/>
          <w:bCs/>
          <w:color w:val="1F2937"/>
          <w:sz w:val="24"/>
          <w:szCs w:val="24"/>
        </w:rPr>
        <w:t xml:space="preserve">SCHEDULE A — CAPITAL CONTRIBUTIONS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300"/>
        <w:gridCol w:w="4500"/>
      </w:tblGrid>
      <w:tr>
        <w:trPr>
          <w:tblHeader/>
        </w:trPr>
        <w:tc>
          <w:tcPr>
            <w:tcW w:type="dxa" w:w="1700"/>
            <w:shd w:fill="E5E7EB" w:val="clear"/>
            <w:tcMar>
              <w:top w:type="dxa" w:w="80"/>
              <w:left w:type="dxa" w:w="110"/>
              <w:bottom w:type="dxa" w:w="80"/>
              <w:right w:type="dxa" w:w="110"/>
            </w:tcMar>
          </w:tcPr>
          <w:p>
            <w:r>
              <w:rPr>
                <w:rFonts w:ascii="Calibri" w:cs="Calibri" w:eastAsia="Calibri" w:hAnsi="Calibri"/>
                <w:b/>
                <w:bCs/>
                <w:sz w:val="19"/>
                <w:szCs w:val="19"/>
              </w:rPr>
              <w:t xml:space="preserve">Date</w:t>
            </w:r>
          </w:p>
        </w:tc>
        <w:tc>
          <w:tcPr>
            <w:tcW w:type="dxa" w:w="1500"/>
            <w:shd w:fill="E5E7EB" w:val="clear"/>
            <w:tcMar>
              <w:top w:type="dxa" w:w="80"/>
              <w:left w:type="dxa" w:w="110"/>
              <w:bottom w:type="dxa" w:w="80"/>
              <w:right w:type="dxa" w:w="110"/>
            </w:tcMar>
          </w:tcPr>
          <w:p>
            <w:r>
              <w:rPr>
                <w:rFonts w:ascii="Calibri" w:cs="Calibri" w:eastAsia="Calibri" w:hAnsi="Calibri"/>
                <w:b/>
                <w:bCs/>
                <w:sz w:val="19"/>
                <w:szCs w:val="19"/>
              </w:rPr>
              <w:t xml:space="preserve">Amount</w:t>
            </w:r>
          </w:p>
        </w:tc>
        <w:tc>
          <w:tcPr>
            <w:tcW w:type="dxa" w:w="1300"/>
            <w:shd w:fill="E5E7EB" w:val="clear"/>
            <w:tcMar>
              <w:top w:type="dxa" w:w="80"/>
              <w:left w:type="dxa" w:w="110"/>
              <w:bottom w:type="dxa" w:w="80"/>
              <w:right w:type="dxa" w:w="110"/>
            </w:tcMar>
          </w:tcPr>
          <w:p>
            <w:r>
              <w:rPr>
                <w:rFonts w:ascii="Calibri" w:cs="Calibri" w:eastAsia="Calibri" w:hAnsi="Calibri"/>
                <w:b/>
                <w:bCs/>
                <w:sz w:val="19"/>
                <w:szCs w:val="19"/>
              </w:rPr>
              <w:t xml:space="preserve">Form</w:t>
            </w:r>
          </w:p>
        </w:tc>
        <w:tc>
          <w:tcPr>
            <w:tcW w:type="dxa" w:w="4500"/>
            <w:shd w:fill="E5E7EB" w:val="clear"/>
            <w:tcMar>
              <w:top w:type="dxa" w:w="80"/>
              <w:left w:type="dxa" w:w="110"/>
              <w:bottom w:type="dxa" w:w="80"/>
              <w:right w:type="dxa" w:w="110"/>
            </w:tcMar>
          </w:tcPr>
          <w:p>
            <w:r>
              <w:rPr>
                <w:rFonts w:ascii="Calibri" w:cs="Calibri" w:eastAsia="Calibri" w:hAnsi="Calibri"/>
                <w:b/>
                <w:bCs/>
                <w:sz w:val="19"/>
                <w:szCs w:val="19"/>
              </w:rPr>
              <w:t xml:space="preserve">Purpose</w:t>
            </w:r>
          </w:p>
        </w:tc>
      </w:tr>
      <w:tr>
        <w:tc>
          <w:tcPr>
            <w:tcW w:type="dxa" w:w="1700"/>
            <w:tcMar>
              <w:top w:type="dxa" w:w="80"/>
              <w:left w:type="dxa" w:w="110"/>
              <w:bottom w:type="dxa" w:w="80"/>
              <w:right w:type="dxa" w:w="110"/>
            </w:tcMar>
          </w:tcPr>
          <w:p>
            <w:r>
              <w:rPr>
                <w:rFonts w:ascii="Calibri" w:cs="Calibri" w:eastAsia="Calibri" w:hAnsi="Calibri"/>
                <w:color w:val="9A3412"/>
                <w:sz w:val="19"/>
                <w:szCs w:val="19"/>
                <w:highlight w:val="yellow"/>
                <w:highlightCs w:val="yellow"/>
              </w:rPr>
              <w:t xml:space="preserve">[DATE]</w:t>
            </w:r>
          </w:p>
        </w:tc>
        <w:tc>
          <w:tcPr>
            <w:tcW w:type="dxa" w:w="1500"/>
            <w:tcMar>
              <w:top w:type="dxa" w:w="80"/>
              <w:left w:type="dxa" w:w="110"/>
              <w:bottom w:type="dxa" w:w="80"/>
              <w:right w:type="dxa" w:w="110"/>
            </w:tcMar>
          </w:tcPr>
          <w:p>
            <w:r>
              <w:rPr>
                <w:rFonts w:ascii="Calibri" w:cs="Calibri" w:eastAsia="Calibri" w:hAnsi="Calibri"/>
                <w:color w:val="9A3412"/>
                <w:sz w:val="19"/>
                <w:szCs w:val="19"/>
                <w:highlight w:val="yellow"/>
                <w:highlightCs w:val="yellow"/>
              </w:rPr>
              <w:t xml:space="preserve">[$ AMOUNT]</w:t>
            </w:r>
          </w:p>
        </w:tc>
        <w:tc>
          <w:tcPr>
            <w:tcW w:type="dxa" w:w="1300"/>
            <w:tcMar>
              <w:top w:type="dxa" w:w="80"/>
              <w:left w:type="dxa" w:w="110"/>
              <w:bottom w:type="dxa" w:w="80"/>
              <w:right w:type="dxa" w:w="110"/>
            </w:tcMar>
          </w:tcPr>
          <w:p>
            <w:r>
              <w:rPr>
                <w:rFonts w:ascii="Georgia" w:cs="Georgia" w:eastAsia="Georgia" w:hAnsi="Georgia"/>
                <w:sz w:val="19"/>
                <w:szCs w:val="19"/>
              </w:rPr>
              <w:t xml:space="preserve">Cash</w:t>
            </w:r>
          </w:p>
        </w:tc>
        <w:tc>
          <w:tcPr>
            <w:tcW w:type="dxa" w:w="4500"/>
            <w:tcMar>
              <w:top w:type="dxa" w:w="80"/>
              <w:left w:type="dxa" w:w="110"/>
              <w:bottom w:type="dxa" w:w="80"/>
              <w:right w:type="dxa" w:w="110"/>
            </w:tcMar>
          </w:tcPr>
          <w:p>
            <w:r>
              <w:rPr>
                <w:rFonts w:ascii="Georgia" w:cs="Georgia" w:eastAsia="Georgia" w:hAnsi="Georgia"/>
                <w:sz w:val="19"/>
                <w:szCs w:val="19"/>
              </w:rPr>
              <w:t xml:space="preserve">Initial contribution — entity filing fees, state and city licensing, first-month subscriptions advanced personally before the Company account existed</w:t>
            </w:r>
          </w:p>
        </w:tc>
      </w:tr>
      <w:tr>
        <w:tc>
          <w:tcPr>
            <w:tcW w:type="dxa" w:w="1700"/>
            <w:tcMar>
              <w:top w:type="dxa" w:w="140"/>
              <w:left w:type="dxa" w:w="110"/>
              <w:bottom w:type="dxa" w:w="140"/>
              <w:right w:type="dxa" w:w="110"/>
            </w:tcMar>
          </w:tcPr>
          <w:p>
            <w:r>
              <w:rPr>
                <w:rFonts w:ascii="Georgia" w:cs="Georgia" w:eastAsia="Georgia" w:hAnsi="Georgia"/>
                <w:sz w:val="19"/>
                <w:szCs w:val="19"/>
              </w:rPr>
              <w:t xml:space="preserve"/>
            </w:r>
          </w:p>
        </w:tc>
        <w:tc>
          <w:tcPr>
            <w:tcW w:type="dxa" w:w="1500"/>
            <w:tcMar>
              <w:top w:type="dxa" w:w="140"/>
              <w:left w:type="dxa" w:w="110"/>
              <w:bottom w:type="dxa" w:w="140"/>
              <w:right w:type="dxa" w:w="110"/>
            </w:tcMar>
          </w:tcPr>
          <w:p>
            <w:r>
              <w:rPr>
                <w:rFonts w:ascii="Georgia" w:cs="Georgia" w:eastAsia="Georgia" w:hAnsi="Georgia"/>
                <w:sz w:val="19"/>
                <w:szCs w:val="19"/>
              </w:rPr>
              <w:t xml:space="preserve"/>
            </w:r>
          </w:p>
        </w:tc>
        <w:tc>
          <w:tcPr>
            <w:tcW w:type="dxa" w:w="1300"/>
            <w:tcMar>
              <w:top w:type="dxa" w:w="140"/>
              <w:left w:type="dxa" w:w="110"/>
              <w:bottom w:type="dxa" w:w="140"/>
              <w:right w:type="dxa" w:w="110"/>
            </w:tcMar>
          </w:tcPr>
          <w:p>
            <w:r>
              <w:rPr>
                <w:rFonts w:ascii="Georgia" w:cs="Georgia" w:eastAsia="Georgia" w:hAnsi="Georgia"/>
                <w:sz w:val="19"/>
                <w:szCs w:val="19"/>
              </w:rPr>
              <w:t xml:space="preserve"/>
            </w:r>
          </w:p>
        </w:tc>
        <w:tc>
          <w:tcPr>
            <w:tcW w:type="dxa" w:w="4500"/>
            <w:tcMar>
              <w:top w:type="dxa" w:w="140"/>
              <w:left w:type="dxa" w:w="110"/>
              <w:bottom w:type="dxa" w:w="140"/>
              <w:right w:type="dxa" w:w="110"/>
            </w:tcMar>
          </w:tcPr>
          <w:p>
            <w:r>
              <w:rPr>
                <w:rFonts w:ascii="Georgia" w:cs="Georgia" w:eastAsia="Georgia" w:hAnsi="Georgia"/>
                <w:sz w:val="19"/>
                <w:szCs w:val="19"/>
              </w:rPr>
              <w:t xml:space="preserve"/>
            </w:r>
          </w:p>
        </w:tc>
      </w:tr>
    </w:tbl>
    <w:p>
      <w:pPr>
        <w:spacing w:after="200" w:line="276"/>
      </w:pPr>
      <w:r>
        <w:rPr>
          <w:rFonts w:ascii="Georgia" w:cs="Georgia" w:eastAsia="Georgia" w:hAnsi="Georgia"/>
          <w:b/>
          <w:bCs/>
          <w:sz w:val="21"/>
          <w:szCs w:val="21"/>
        </w:rPr>
        <w:t xml:space="preserve">Running total:  </w:t>
      </w:r>
      <w:r>
        <w:rPr>
          <w:rFonts w:ascii="Calibri" w:cs="Calibri" w:eastAsia="Calibri" w:hAnsi="Calibri"/>
          <w:color w:val="9A3412"/>
          <w:sz w:val="21"/>
          <w:szCs w:val="21"/>
          <w:highlight w:val="yellow"/>
          <w:highlightCs w:val="yellow"/>
        </w:rPr>
        <w:t xml:space="preserve">[$ AMOUNT]</w:t>
      </w:r>
    </w:p>
    <w:p>
      <w:pPr>
        <w:pBdr>
          <w:bottom w:val="single" w:color="9CA3AF" w:sz="6" w:space="1"/>
        </w:pBdr>
        <w:spacing w:after="220" w:before="220"/>
      </w:pPr>
      <w:r>
        <w:t xml:space="preserve"/>
      </w:r>
    </w:p>
    <w:p>
      <w:pPr>
        <w:pStyle w:val="Heading1"/>
        <w:spacing w:after="160" w:before="360"/>
      </w:pPr>
      <w:r>
        <w:rPr>
          <w:rFonts w:ascii="Georgia" w:cs="Georgia" w:eastAsia="Georgia" w:hAnsi="Georgia"/>
          <w:b/>
          <w:bCs/>
          <w:color w:val="1F2937"/>
          <w:sz w:val="24"/>
          <w:szCs w:val="24"/>
        </w:rPr>
        <w:t xml:space="preserve">FILL-IN CHECKLIST</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PLLC name, as filed</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Formation date and UBI number</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Member full legal name and LMHCA credential number</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Principal office street address and ZIP</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Initial capital contribution amount (Schedule A)</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Records custodian designated by separate writing (§9.3) — not named in this Agreement, so changing custodian never requires amending it</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Fiscal year confirmed (§7.1)</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Delete the three grey preamble boxes before signing — scaffolding for review, not terms</w:t>
      </w:r>
    </w:p>
    <w:p>
      <w:pPr>
        <w:spacing w:after="90" w:line="264"/>
        <w:ind w:left="504" w:hanging="360"/>
      </w:pPr>
      <w:r>
        <w:rPr>
          <w:rFonts w:ascii="Calibri" w:cs="Calibri" w:eastAsia="Calibri" w:hAnsi="Calibri"/>
          <w:sz w:val="21"/>
          <w:szCs w:val="21"/>
        </w:rPr>
        <w:t xml:space="preserve">☐  </w:t>
      </w:r>
      <w:r>
        <w:rPr>
          <w:rFonts w:ascii="Georgia" w:cs="Georgia" w:eastAsia="Georgia" w:hAnsi="Georgia"/>
          <w:sz w:val="20"/>
          <w:szCs w:val="20"/>
        </w:rPr>
        <w:t xml:space="preserve">Sign, date, store the original in the safe deposit box folder; scan to the Entity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Agreement — Draft</dc:title>
  <dc:creator>LMHCA Practice Plan</dc:creator>
  <cp:lastModifiedBy>Un-named</cp:lastModifiedBy>
  <cp:revision>1</cp:revision>
  <dcterms:created xsi:type="dcterms:W3CDTF">2026-09-21T20:53:32.313Z</dcterms:created>
  <dcterms:modified xsi:type="dcterms:W3CDTF">2026-09-21T20:53:32.313Z</dcterms:modified>
</cp:coreProperties>
</file>

<file path=docProps/custom.xml><?xml version="1.0" encoding="utf-8"?>
<Properties xmlns="http://schemas.openxmlformats.org/officeDocument/2006/custom-properties" xmlns:vt="http://schemas.openxmlformats.org/officeDocument/2006/docPropsVTypes"/>
</file>