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E5F" w14:textId="77777777" w:rsidR="00B3111E" w:rsidRPr="00262BCE" w:rsidRDefault="00B3111E" w:rsidP="00B3111E">
      <w:pPr>
        <w:jc w:val="center"/>
        <w:rPr>
          <w:rFonts w:ascii="Arial" w:hAnsi="Arial" w:cs="Arial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AF3D" w14:textId="77777777" w:rsidR="00B3111E" w:rsidRPr="00BD570F" w:rsidRDefault="00B3111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lang w:val="en-US"/>
        </w:rPr>
        <w:t>Solution Sheet on Problem Set 1</w:t>
      </w:r>
      <w:r w:rsidRPr="00BD570F">
        <w:rPr>
          <w:rFonts w:ascii="Arial" w:hAnsi="Arial" w:cs="Arial"/>
          <w:b/>
          <w:lang w:val="en-US"/>
        </w:rPr>
        <w:t xml:space="preserve"> </w:t>
      </w:r>
    </w:p>
    <w:p w14:paraId="655890FF" w14:textId="78DF10C8" w:rsidR="00B161A7" w:rsidRPr="00BD570F" w:rsidRDefault="000E509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b/>
          <w:lang w:val="en-US"/>
        </w:rPr>
        <w:t xml:space="preserve">Return Calculations, </w:t>
      </w:r>
      <w:r w:rsidR="00B3111E" w:rsidRPr="00BD570F">
        <w:rPr>
          <w:rFonts w:ascii="Arial" w:hAnsi="Arial" w:cs="Arial"/>
          <w:b/>
          <w:lang w:val="en-US"/>
        </w:rPr>
        <w:t>Portfolio Choice and Mean-Variance Frontier</w:t>
      </w:r>
    </w:p>
    <w:p w14:paraId="11BF7EAD" w14:textId="1109F66C" w:rsidR="00EA6615" w:rsidRPr="00BD570F" w:rsidRDefault="00F157E1" w:rsidP="00B3111E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D570F">
        <w:rPr>
          <w:rFonts w:ascii="Arial" w:hAnsi="Arial" w:cs="Arial"/>
          <w:sz w:val="20"/>
          <w:szCs w:val="20"/>
          <w:lang w:val="en-US"/>
        </w:rPr>
        <w:t xml:space="preserve">Deadline: </w:t>
      </w:r>
      <w:r w:rsidR="001F6670" w:rsidRPr="00BD570F">
        <w:rPr>
          <w:rFonts w:ascii="Arial" w:hAnsi="Arial" w:cs="Arial"/>
          <w:sz w:val="20"/>
          <w:szCs w:val="20"/>
          <w:lang w:val="en-US"/>
        </w:rPr>
        <w:t>19.</w:t>
      </w:r>
      <w:r w:rsidR="00732DE6" w:rsidRPr="00BD570F">
        <w:rPr>
          <w:rFonts w:ascii="Arial" w:hAnsi="Arial" w:cs="Arial"/>
          <w:sz w:val="20"/>
          <w:szCs w:val="20"/>
          <w:lang w:val="en-US"/>
        </w:rPr>
        <w:t>10</w:t>
      </w:r>
      <w:r w:rsidR="001F6670" w:rsidRPr="00BD570F">
        <w:rPr>
          <w:rFonts w:ascii="Arial" w:hAnsi="Arial" w:cs="Arial"/>
          <w:sz w:val="20"/>
          <w:szCs w:val="20"/>
          <w:lang w:val="en-US"/>
        </w:rPr>
        <w:t>.</w:t>
      </w:r>
      <w:r w:rsidRPr="00BD570F">
        <w:rPr>
          <w:rFonts w:ascii="Arial" w:hAnsi="Arial" w:cs="Arial"/>
          <w:sz w:val="20"/>
          <w:szCs w:val="20"/>
          <w:lang w:val="en-US"/>
        </w:rPr>
        <w:t>20</w:t>
      </w:r>
      <w:r w:rsidR="000E509E" w:rsidRPr="00BD570F">
        <w:rPr>
          <w:rFonts w:ascii="Arial" w:hAnsi="Arial" w:cs="Arial"/>
          <w:sz w:val="20"/>
          <w:szCs w:val="20"/>
          <w:lang w:val="en-US"/>
        </w:rPr>
        <w:t>2</w:t>
      </w:r>
      <w:r w:rsidR="001F6670" w:rsidRPr="00BD570F">
        <w:rPr>
          <w:rFonts w:ascii="Arial" w:hAnsi="Arial" w:cs="Arial"/>
          <w:sz w:val="20"/>
          <w:szCs w:val="20"/>
          <w:lang w:val="en-US"/>
        </w:rPr>
        <w:t>1</w:t>
      </w:r>
    </w:p>
    <w:p w14:paraId="7A6B65DF" w14:textId="5E5CC4CA" w:rsidR="00B3111E" w:rsidRPr="00BD570F" w:rsidRDefault="00B3111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b/>
          <w:lang w:val="en-US"/>
        </w:rPr>
        <w:t xml:space="preserve">Solved by: </w:t>
      </w:r>
      <w:r w:rsidR="00BD5FD5" w:rsidRPr="00BD570F">
        <w:rPr>
          <w:rFonts w:ascii="Arial" w:hAnsi="Arial" w:cs="Arial"/>
          <w:b/>
          <w:lang w:val="en-US"/>
        </w:rPr>
        <w:t xml:space="preserve">Cyril </w:t>
      </w:r>
      <w:proofErr w:type="spellStart"/>
      <w:r w:rsidR="00BD5FD5" w:rsidRPr="00BD570F">
        <w:rPr>
          <w:rFonts w:ascii="Arial" w:hAnsi="Arial" w:cs="Arial"/>
          <w:b/>
          <w:lang w:val="en-US"/>
        </w:rPr>
        <w:t>Janak</w:t>
      </w:r>
      <w:proofErr w:type="spellEnd"/>
      <w:r w:rsidR="00BD5FD5" w:rsidRPr="00BD570F">
        <w:rPr>
          <w:rFonts w:ascii="Arial" w:hAnsi="Arial" w:cs="Arial"/>
          <w:b/>
          <w:lang w:val="en-US"/>
        </w:rPr>
        <w:t xml:space="preserve">, </w:t>
      </w:r>
      <w:proofErr w:type="spellStart"/>
      <w:r w:rsidR="00BD5FD5" w:rsidRPr="00BD570F">
        <w:rPr>
          <w:rFonts w:ascii="Arial" w:hAnsi="Arial" w:cs="Arial"/>
          <w:b/>
          <w:lang w:val="en-US"/>
        </w:rPr>
        <w:t>Niklas</w:t>
      </w:r>
      <w:proofErr w:type="spellEnd"/>
      <w:r w:rsidR="00BD5FD5" w:rsidRPr="00BD570F">
        <w:rPr>
          <w:rFonts w:ascii="Arial" w:hAnsi="Arial" w:cs="Arial"/>
          <w:b/>
          <w:lang w:val="en-US"/>
        </w:rPr>
        <w:t xml:space="preserve"> </w:t>
      </w:r>
      <w:proofErr w:type="spellStart"/>
      <w:r w:rsidR="00BD5FD5" w:rsidRPr="00BD570F">
        <w:rPr>
          <w:rFonts w:ascii="Arial" w:hAnsi="Arial" w:cs="Arial"/>
          <w:b/>
          <w:lang w:val="en-US"/>
        </w:rPr>
        <w:t>Kampe</w:t>
      </w:r>
      <w:proofErr w:type="spellEnd"/>
      <w:r w:rsidR="00BD5FD5" w:rsidRPr="00BD570F">
        <w:rPr>
          <w:rFonts w:ascii="Arial" w:hAnsi="Arial" w:cs="Arial"/>
          <w:b/>
          <w:lang w:val="en-US"/>
        </w:rPr>
        <w:t>, Jonas Husmann</w:t>
      </w:r>
      <w:r w:rsidR="00D306B1" w:rsidRPr="00BD570F">
        <w:rPr>
          <w:rFonts w:ascii="Arial" w:hAnsi="Arial" w:cs="Arial"/>
          <w:b/>
          <w:lang w:val="en-US"/>
        </w:rPr>
        <w:br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73"/>
        <w:gridCol w:w="5913"/>
        <w:gridCol w:w="965"/>
      </w:tblGrid>
      <w:tr w:rsidR="00BD570F" w:rsidRPr="00262BCE" w14:paraId="5C49313F" w14:textId="77777777" w:rsidTr="000E509E">
        <w:tc>
          <w:tcPr>
            <w:tcW w:w="2689" w:type="dxa"/>
          </w:tcPr>
          <w:p w14:paraId="0530109B" w14:textId="7777777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</w:tcPr>
          <w:p w14:paraId="1FF9AFB3" w14:textId="363BBB10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8D63201" w14:textId="3D0D1DA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r w:rsidR="000E509E"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</w:p>
        </w:tc>
      </w:tr>
      <w:tr w:rsidR="00BD570F" w:rsidRPr="00442E18" w14:paraId="6640D307" w14:textId="77777777" w:rsidTr="000E509E">
        <w:tc>
          <w:tcPr>
            <w:tcW w:w="2689" w:type="dxa"/>
          </w:tcPr>
          <w:p w14:paraId="4A8C3C64" w14:textId="2245E216" w:rsidR="00670E15" w:rsidRPr="00262BCE" w:rsidRDefault="000E509E" w:rsidP="000E509E">
            <w:pPr>
              <w:pStyle w:val="ListParagraph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Return </w:t>
            </w:r>
            <w:r w:rsidR="000657AB">
              <w:rPr>
                <w:rFonts w:ascii="Arial" w:hAnsi="Arial" w:cs="Arial"/>
                <w:b/>
                <w:sz w:val="20"/>
                <w:szCs w:val="20"/>
                <w:lang w:val="en-GB"/>
              </w:rPr>
              <w:t>Comparison</w:t>
            </w:r>
          </w:p>
          <w:p w14:paraId="35E4335F" w14:textId="7177C01F" w:rsidR="000E509E" w:rsidRPr="00262BCE" w:rsidRDefault="000657AB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0E509E" w:rsidRPr="00262BCE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</w:p>
          <w:p w14:paraId="56907C1D" w14:textId="7266C316" w:rsidR="000E509E" w:rsidRDefault="00CD52A6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 xml:space="preserve">iscrete vs. Log-Returns: mean, </w:t>
            </w:r>
            <w:proofErr w:type="spellStart"/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st.dev</w:t>
            </w:r>
            <w:proofErr w:type="spellEnd"/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. and annualized</w:t>
            </w:r>
          </w:p>
          <w:p w14:paraId="18A6A8DD" w14:textId="04FA3470" w:rsidR="00262BCE" w:rsidRPr="00262BCE" w:rsidRDefault="00262BC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points)</w:t>
            </w:r>
          </w:p>
          <w:p w14:paraId="4E15F56C" w14:textId="0995E575" w:rsidR="000E509E" w:rsidRPr="00262BCE" w:rsidRDefault="000E509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3331460C" w14:textId="2A30910F" w:rsidR="00A43A39" w:rsidRPr="001870B1" w:rsidRDefault="00BD5FD5" w:rsidP="0093078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See </w:t>
            </w:r>
            <w:r w:rsidR="001870B1"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return variations in code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section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“Problem 1 – Return Comparison – a)”</w:t>
            </w:r>
          </w:p>
        </w:tc>
        <w:tc>
          <w:tcPr>
            <w:tcW w:w="992" w:type="dxa"/>
          </w:tcPr>
          <w:p w14:paraId="045905D1" w14:textId="77777777" w:rsidR="00B3111E" w:rsidRPr="001870B1" w:rsidRDefault="00B3111E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442E18" w14:paraId="2B3EA119" w14:textId="77777777" w:rsidTr="008823B6">
        <w:trPr>
          <w:trHeight w:val="340"/>
        </w:trPr>
        <w:tc>
          <w:tcPr>
            <w:tcW w:w="2689" w:type="dxa"/>
          </w:tcPr>
          <w:p w14:paraId="74699F77" w14:textId="77777777" w:rsidR="004B562C" w:rsidRPr="00BD570F" w:rsidRDefault="004B562C" w:rsidP="000E50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0E509E" w:rsidRPr="00BD570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027F5F2" w14:textId="2F64CD13" w:rsidR="000E509E" w:rsidRDefault="004B562C" w:rsidP="000E509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Discrete vs. Log-Returns:</w:t>
            </w:r>
          </w:p>
          <w:p w14:paraId="491C2C91" w14:textId="385AB67C" w:rsidR="004B562C" w:rsidRPr="00262BCE" w:rsidRDefault="004B562C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Plot and interpretation</w:t>
            </w:r>
          </w:p>
          <w:p w14:paraId="7F29C167" w14:textId="6DA0D4AA" w:rsidR="00262BCE" w:rsidRPr="00262BCE" w:rsidRDefault="00262BCE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845C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5FECA4E8" w14:textId="15C45B75" w:rsidR="000E509E" w:rsidRPr="00262BCE" w:rsidRDefault="000E509E" w:rsidP="000E5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BE3D945" w14:textId="695FE949" w:rsidR="00BD5FD5" w:rsidRPr="00BD570F" w:rsidRDefault="00BD5FD5" w:rsidP="00BD5FD5">
            <w:pPr>
              <w:rPr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6EBB74D" wp14:editId="23D9DCFC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117875</wp:posOffset>
                  </wp:positionV>
                  <wp:extent cx="3579471" cy="1918322"/>
                  <wp:effectExtent l="0" t="0" r="2540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471" cy="191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502109" w14:textId="1D59FB41" w:rsidR="00A37D56" w:rsidRPr="00BD570F" w:rsidRDefault="00A37D56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7D1E7CE" w14:textId="0D965040" w:rsidR="00F02FD1" w:rsidRPr="00BD570F" w:rsidRDefault="00F02FD1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A916F54" w14:textId="1868DFAE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A59DAD9" w14:textId="342D78FF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F879106" w14:textId="1ED36A79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FA86EE3" w14:textId="6BB2C68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4769DCE" w14:textId="1590B863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BFE6B8E" w14:textId="1A710C4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DF052E8" w14:textId="115B223A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FEE4FA9" w14:textId="63991E8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11D8881" w14:textId="1A2C5A5D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E98535A" w14:textId="4829C069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6B82707" w14:textId="403AA0E2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F2A2243" w14:textId="243AD93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017BF57" wp14:editId="3354E503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64224</wp:posOffset>
                  </wp:positionV>
                  <wp:extent cx="3580130" cy="1915160"/>
                  <wp:effectExtent l="0" t="0" r="1270" b="254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130" cy="191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683100" w14:textId="5346E210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A1421E2" w14:textId="78155F60" w:rsidR="00BD5FD5" w:rsidRPr="00BD570F" w:rsidRDefault="00BD5FD5" w:rsidP="00BD5FD5">
            <w:pPr>
              <w:rPr>
                <w:lang w:val="en-US"/>
              </w:rPr>
            </w:pPr>
          </w:p>
          <w:p w14:paraId="711CF46A" w14:textId="7ED97C9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88DB73F" w14:textId="6FBBD89B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471A1BB" w14:textId="66563A4E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507A518" w14:textId="61554CA1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0699E32" w14:textId="0EE6B89D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4450759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21C4153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9139C8B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9C32D0C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7840265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A86FF98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FA0EE2F" w14:textId="6F1E3D01" w:rsidR="00F02FD1" w:rsidRPr="00BD570F" w:rsidRDefault="00F02FD1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Given we are using log returns which have a normalizing effect on the data there is barely any difference noticeable</w:t>
            </w:r>
            <w:r w:rsidR="00442E1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. It </w:t>
            </w: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can be clearly seen that there is an upwards curvature which is because discrete returns are always larger than the corresponding log return. </w:t>
            </w:r>
            <w:r w:rsidR="00442E18">
              <w:rPr>
                <w:rFonts w:ascii="Arial" w:hAnsi="Arial" w:cs="Arial"/>
                <w:bCs/>
                <w:sz w:val="20"/>
                <w:szCs w:val="20"/>
                <w:lang w:val="en-US"/>
              </w:rPr>
              <w:t>Given that the maximal difference in discrete and log return is larger</w:t>
            </w:r>
            <w:r w:rsidR="00442E1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 DB we see this curvature slightly more pronounced in the DB plot.</w:t>
            </w:r>
          </w:p>
        </w:tc>
        <w:tc>
          <w:tcPr>
            <w:tcW w:w="992" w:type="dxa"/>
          </w:tcPr>
          <w:p w14:paraId="4BDE53B8" w14:textId="43608876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442E18" w14:paraId="101E14DF" w14:textId="77777777" w:rsidTr="008823B6">
        <w:trPr>
          <w:trHeight w:val="340"/>
        </w:trPr>
        <w:tc>
          <w:tcPr>
            <w:tcW w:w="2689" w:type="dxa"/>
          </w:tcPr>
          <w:p w14:paraId="7C503C3B" w14:textId="67ADD977" w:rsidR="00B3111E" w:rsidRPr="00BD570F" w:rsidRDefault="004B562C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0E509E" w:rsidRPr="00BD570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37C8B0A" w14:textId="71A34FD8" w:rsidR="004B562C" w:rsidRPr="00BD570F" w:rsidRDefault="005845CD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Usage of return type</w:t>
            </w:r>
          </w:p>
          <w:p w14:paraId="52BF4ACE" w14:textId="77777777" w:rsidR="00262BCE" w:rsidRPr="00BD570F" w:rsidRDefault="00262BCE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5845CD" w:rsidRPr="00BD570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points)</w:t>
            </w:r>
          </w:p>
          <w:p w14:paraId="1CB6FB19" w14:textId="69EA0B45" w:rsidR="00E9026F" w:rsidRPr="00BD570F" w:rsidRDefault="00E9026F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1405882D" w14:textId="20E41800" w:rsidR="00367E1B" w:rsidRPr="00BD570F" w:rsidRDefault="00BD5FD5" w:rsidP="00367E1B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Usually,</w:t>
            </w:r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the discrete return is used for calculating the return of a portfolio (</w:t>
            </w:r>
            <w:proofErr w:type="gramStart"/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i.e.</w:t>
            </w:r>
            <w:proofErr w:type="gramEnd"/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multiple assets) and when choosing the different weights of assets in a portfolio. </w:t>
            </w:r>
          </w:p>
          <w:p w14:paraId="4A31FA45" w14:textId="70A30E40" w:rsidR="00A37D56" w:rsidRPr="00BD570F" w:rsidRDefault="00367E1B" w:rsidP="00367E1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Log returns are used when returns are aggregated across time and when comparing investment horizons for the same asset.</w:t>
            </w:r>
          </w:p>
        </w:tc>
        <w:tc>
          <w:tcPr>
            <w:tcW w:w="992" w:type="dxa"/>
          </w:tcPr>
          <w:p w14:paraId="7A5B000E" w14:textId="77777777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442E18" w14:paraId="2C8CE0E5" w14:textId="77777777" w:rsidTr="008823B6">
        <w:trPr>
          <w:trHeight w:val="340"/>
        </w:trPr>
        <w:tc>
          <w:tcPr>
            <w:tcW w:w="2689" w:type="dxa"/>
            <w:shd w:val="clear" w:color="auto" w:fill="auto"/>
          </w:tcPr>
          <w:p w14:paraId="51B6B928" w14:textId="6A4B3E75" w:rsidR="00E9026F" w:rsidRDefault="00E9026F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E509E" w:rsidRPr="00262BCE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63A7FE5F" w14:textId="567530FA" w:rsidR="000F52A9" w:rsidRPr="00262BCE" w:rsidRDefault="000F52A9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 value</w:t>
            </w:r>
          </w:p>
          <w:p w14:paraId="5F25F0C7" w14:textId="77777777" w:rsidR="000E509E" w:rsidRDefault="00262BCE" w:rsidP="00E9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9026F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1DA26E" w14:textId="0FA59A87" w:rsidR="00E9026F" w:rsidRPr="00262BCE" w:rsidRDefault="00E9026F" w:rsidP="00E902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E329500" w14:textId="062FC908" w:rsidR="00A37D56" w:rsidRPr="00BD570F" w:rsidRDefault="00D97FF5" w:rsidP="00A37D5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At end the of July 2021 the investment would be worth EUR </w:t>
            </w:r>
            <w:r w:rsidR="00AB6D74">
              <w:rPr>
                <w:rFonts w:ascii="Arial" w:hAnsi="Arial" w:cs="Arial"/>
                <w:bCs/>
                <w:sz w:val="20"/>
                <w:szCs w:val="20"/>
                <w:lang w:val="en-US"/>
              </w:rPr>
              <w:t>814.91</w:t>
            </w:r>
            <w:r w:rsidR="00BD5FD5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</w:tcPr>
          <w:p w14:paraId="358AE556" w14:textId="77777777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442E18" w14:paraId="4E2785C5" w14:textId="77777777" w:rsidTr="008823B6">
        <w:trPr>
          <w:trHeight w:val="340"/>
        </w:trPr>
        <w:tc>
          <w:tcPr>
            <w:tcW w:w="2689" w:type="dxa"/>
          </w:tcPr>
          <w:p w14:paraId="131542BA" w14:textId="54DEE2B0" w:rsidR="00D306B1" w:rsidRPr="00262BCE" w:rsidRDefault="000657AB" w:rsidP="00454B3E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Diversification Effect</w:t>
            </w:r>
          </w:p>
          <w:p w14:paraId="7FCF8A03" w14:textId="46E3B4DE" w:rsidR="00454B3E" w:rsidRDefault="00454B3E" w:rsidP="00454B3E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289E87BC" w14:textId="037C1D3D" w:rsidR="008D7DB8" w:rsidRPr="00262BCE" w:rsidRDefault="008D7DB8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Diversification </w:t>
            </w:r>
            <w:r w:rsidR="00D73111">
              <w:rPr>
                <w:rFonts w:ascii="Arial" w:hAnsi="Arial" w:cs="Arial"/>
                <w:sz w:val="20"/>
                <w:szCs w:val="20"/>
              </w:rPr>
              <w:t>using two stocks</w:t>
            </w:r>
          </w:p>
          <w:p w14:paraId="44C6BA68" w14:textId="77777777" w:rsidR="00262BCE" w:rsidRDefault="00262BCE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08FE20E6" w14:textId="127F9D6B" w:rsidR="004B6496" w:rsidRPr="00262BCE" w:rsidRDefault="004B6496" w:rsidP="00454B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7AB2431" w14:textId="77FF7F44" w:rsidR="008F300D" w:rsidRDefault="008F300D" w:rsidP="008F300D">
            <w:pPr>
              <w:rPr>
                <w:rFonts w:ascii="Arial" w:hAnsi="Arial" w:cs="Arial"/>
                <w:sz w:val="20"/>
                <w:szCs w:val="20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When looking purely for diversification (regardless of any implies on return) the idea is to reduce the portfolio variance.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Given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portfolio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variance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defin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8F300D">
              <w:rPr>
                <w:rFonts w:ascii="Arial" w:hAnsi="Arial" w:cs="Arial"/>
                <w:sz w:val="20"/>
                <w:szCs w:val="20"/>
              </w:rPr>
              <w:t>d by</w:t>
            </w:r>
          </w:p>
          <w:p w14:paraId="1FC25E19" w14:textId="77777777" w:rsidR="00BD5FD5" w:rsidRDefault="00BD5FD5" w:rsidP="008F30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C3AF27" w14:textId="33C2A68C" w:rsidR="008F300D" w:rsidRPr="008F300D" w:rsidRDefault="008F300D" w:rsidP="008F300D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R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 + 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 + 2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</m:oMath>
            </m:oMathPara>
          </w:p>
          <w:p w14:paraId="51969E54" w14:textId="77777777" w:rsidR="008F300D" w:rsidRDefault="008F300D" w:rsidP="008F30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40BAD9" w14:textId="222BB4FD" w:rsidR="00D744D3" w:rsidRPr="00BD570F" w:rsidRDefault="008F300D" w:rsidP="008F30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increases with decreasing correlation of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two assets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Therefore, to get the highest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an investor should choose stocks SAP and E_ON as they have the lowest correlation out of the 10 stocks.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T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he worst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is achieved by only investing in a single stock (as correlation = 1). However, given two stocks need to be picked, the worst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effect is achieved with investing into RWE and E_ON given they have the highest correlation.</w:t>
            </w:r>
          </w:p>
        </w:tc>
        <w:tc>
          <w:tcPr>
            <w:tcW w:w="992" w:type="dxa"/>
          </w:tcPr>
          <w:p w14:paraId="064CDF84" w14:textId="77777777" w:rsidR="00D306B1" w:rsidRPr="00BD570F" w:rsidRDefault="00D306B1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D570F" w:rsidRPr="00262BCE" w14:paraId="675E04FB" w14:textId="77777777" w:rsidTr="008823B6">
        <w:trPr>
          <w:trHeight w:val="340"/>
        </w:trPr>
        <w:tc>
          <w:tcPr>
            <w:tcW w:w="2689" w:type="dxa"/>
          </w:tcPr>
          <w:p w14:paraId="117E57AA" w14:textId="4B7A6EB9" w:rsidR="003E5228" w:rsidRPr="00BD570F" w:rsidRDefault="00454B3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b) </w:t>
            </w:r>
          </w:p>
          <w:p w14:paraId="32F68693" w14:textId="6E1EF4F9" w:rsidR="00D73111" w:rsidRPr="00BD570F" w:rsidRDefault="00044CF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 and portfolio volatility</w:t>
            </w:r>
          </w:p>
          <w:p w14:paraId="67CB16DC" w14:textId="66194C27" w:rsidR="00262BCE" w:rsidRPr="00BD570F" w:rsidRDefault="00262BC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3732B" w:rsidRPr="00BD57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points)</w:t>
            </w:r>
          </w:p>
          <w:p w14:paraId="5C3DDB77" w14:textId="11A5D3E4" w:rsidR="00454B3E" w:rsidRPr="00BD570F" w:rsidRDefault="00454B3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077711E7" w14:textId="178D296B" w:rsidR="00BD5FD5" w:rsidRDefault="00BD5FD5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95094D" w14:textId="262007B7" w:rsid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Stocks based on return standard deviation from high to low:</w:t>
            </w:r>
          </w:p>
          <w:p w14:paraId="1D7AB9A0" w14:textId="36B06810" w:rsid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396CA2" wp14:editId="13027370">
                  <wp:extent cx="923453" cy="848340"/>
                  <wp:effectExtent l="19050" t="19050" r="10160" b="2857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612" cy="868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54BFB" w14:textId="77777777" w:rsidR="00BD570F" w:rsidRP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</w:tblGrid>
            <w:tr w:rsidR="00BD570F" w14:paraId="0B01361B" w14:textId="144EDEBE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6A1D106D" w14:textId="5091268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Nr. Of stock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780C0894" w14:textId="6B7FE80D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1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00B1FBF9" w14:textId="24F620D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2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471C29A4" w14:textId="115714D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3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1E765C89" w14:textId="54C7B7E0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4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3DC8BE8C" w14:textId="0CE5ED8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5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5942E556" w14:textId="6BD750F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6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76650455" w14:textId="3E4A7258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7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1C6426E5" w14:textId="4911669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8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4934D5F7" w14:textId="3B9AB4A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9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30C3E71B" w14:textId="492412F5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10</w:t>
                  </w:r>
                </w:p>
              </w:tc>
            </w:tr>
            <w:tr w:rsidR="00BD570F" w14:paraId="08AB32D2" w14:textId="6685C69B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48856753" w14:textId="68F5272C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Mean St. Dev.:</w:t>
                  </w:r>
                </w:p>
              </w:tc>
              <w:tc>
                <w:tcPr>
                  <w:tcW w:w="495" w:type="dxa"/>
                </w:tcPr>
                <w:p w14:paraId="40D9B9DD" w14:textId="266E862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0.123</w:t>
                  </w:r>
                </w:p>
              </w:tc>
              <w:tc>
                <w:tcPr>
                  <w:tcW w:w="495" w:type="dxa"/>
                </w:tcPr>
                <w:p w14:paraId="7BBC1D89" w14:textId="34714B5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0.112</w:t>
                  </w:r>
                </w:p>
              </w:tc>
              <w:tc>
                <w:tcPr>
                  <w:tcW w:w="495" w:type="dxa"/>
                </w:tcPr>
                <w:p w14:paraId="7AC61132" w14:textId="54B2B89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0.108</w:t>
                  </w:r>
                </w:p>
              </w:tc>
              <w:tc>
                <w:tcPr>
                  <w:tcW w:w="495" w:type="dxa"/>
                </w:tcPr>
                <w:p w14:paraId="1B8E91E5" w14:textId="25C9A6EC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0.105</w:t>
                  </w:r>
                </w:p>
              </w:tc>
              <w:tc>
                <w:tcPr>
                  <w:tcW w:w="495" w:type="dxa"/>
                </w:tcPr>
                <w:p w14:paraId="477FB2DE" w14:textId="24E15B15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0.103</w:t>
                  </w:r>
                </w:p>
              </w:tc>
              <w:tc>
                <w:tcPr>
                  <w:tcW w:w="495" w:type="dxa"/>
                </w:tcPr>
                <w:p w14:paraId="08FDBCBA" w14:textId="0F50047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0.101</w:t>
                  </w:r>
                </w:p>
              </w:tc>
              <w:tc>
                <w:tcPr>
                  <w:tcW w:w="495" w:type="dxa"/>
                </w:tcPr>
                <w:p w14:paraId="093DE964" w14:textId="69D081E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0.098</w:t>
                  </w:r>
                </w:p>
              </w:tc>
              <w:tc>
                <w:tcPr>
                  <w:tcW w:w="495" w:type="dxa"/>
                </w:tcPr>
                <w:p w14:paraId="272F4F30" w14:textId="4C8B8AB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0.096</w:t>
                  </w:r>
                </w:p>
              </w:tc>
              <w:tc>
                <w:tcPr>
                  <w:tcW w:w="495" w:type="dxa"/>
                </w:tcPr>
                <w:p w14:paraId="5CFD9E35" w14:textId="525AB93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0.094</w:t>
                  </w:r>
                </w:p>
              </w:tc>
              <w:tc>
                <w:tcPr>
                  <w:tcW w:w="495" w:type="dxa"/>
                </w:tcPr>
                <w:p w14:paraId="3521134F" w14:textId="35F635A1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0.091</w:t>
                  </w:r>
                </w:p>
              </w:tc>
            </w:tr>
            <w:tr w:rsidR="00BD570F" w14:paraId="4C6721FD" w14:textId="50EE7FDC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2AC9546B" w14:textId="6C715EBE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PF St. Dev.:</w:t>
                  </w:r>
                </w:p>
              </w:tc>
              <w:tc>
                <w:tcPr>
                  <w:tcW w:w="495" w:type="dxa"/>
                </w:tcPr>
                <w:p w14:paraId="08B85435" w14:textId="3C137D66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0.123</w:t>
                  </w:r>
                </w:p>
              </w:tc>
              <w:tc>
                <w:tcPr>
                  <w:tcW w:w="495" w:type="dxa"/>
                </w:tcPr>
                <w:p w14:paraId="228325BC" w14:textId="5EB46EA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0.094</w:t>
                  </w:r>
                </w:p>
              </w:tc>
              <w:tc>
                <w:tcPr>
                  <w:tcW w:w="495" w:type="dxa"/>
                </w:tcPr>
                <w:p w14:paraId="1C4B64C8" w14:textId="5B547A9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0.090</w:t>
                  </w:r>
                </w:p>
              </w:tc>
              <w:tc>
                <w:tcPr>
                  <w:tcW w:w="495" w:type="dxa"/>
                </w:tcPr>
                <w:p w14:paraId="13660B13" w14:textId="72FA5DA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0.087</w:t>
                  </w:r>
                </w:p>
              </w:tc>
              <w:tc>
                <w:tcPr>
                  <w:tcW w:w="495" w:type="dxa"/>
                </w:tcPr>
                <w:p w14:paraId="4CC39724" w14:textId="54BDF00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0.083</w:t>
                  </w:r>
                </w:p>
              </w:tc>
              <w:tc>
                <w:tcPr>
                  <w:tcW w:w="495" w:type="dxa"/>
                </w:tcPr>
                <w:p w14:paraId="068A259C" w14:textId="1AD9E7B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0.077</w:t>
                  </w:r>
                </w:p>
              </w:tc>
              <w:tc>
                <w:tcPr>
                  <w:tcW w:w="495" w:type="dxa"/>
                </w:tcPr>
                <w:p w14:paraId="7CD189DD" w14:textId="0214192E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0.075</w:t>
                  </w:r>
                </w:p>
              </w:tc>
              <w:tc>
                <w:tcPr>
                  <w:tcW w:w="495" w:type="dxa"/>
                </w:tcPr>
                <w:p w14:paraId="0DA2EC55" w14:textId="2B87D2B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0.074</w:t>
                  </w:r>
                </w:p>
              </w:tc>
              <w:tc>
                <w:tcPr>
                  <w:tcW w:w="495" w:type="dxa"/>
                </w:tcPr>
                <w:p w14:paraId="3E5134E6" w14:textId="60857EE6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0.071</w:t>
                  </w:r>
                </w:p>
              </w:tc>
              <w:tc>
                <w:tcPr>
                  <w:tcW w:w="495" w:type="dxa"/>
                </w:tcPr>
                <w:p w14:paraId="68AC03AB" w14:textId="5CDDD870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0.069</w:t>
                  </w:r>
                </w:p>
              </w:tc>
            </w:tr>
          </w:tbl>
          <w:p w14:paraId="4C194FE7" w14:textId="05902F20" w:rsidR="00BD5FD5" w:rsidRPr="00262BCE" w:rsidRDefault="00BD5FD5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1B2B6F" w14:textId="77777777" w:rsidR="00A4011C" w:rsidRPr="00262BCE" w:rsidRDefault="00A4011C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70F" w:rsidRPr="00442E18" w14:paraId="5FCE5932" w14:textId="77777777" w:rsidTr="008823B6">
        <w:trPr>
          <w:trHeight w:val="340"/>
        </w:trPr>
        <w:tc>
          <w:tcPr>
            <w:tcW w:w="2689" w:type="dxa"/>
          </w:tcPr>
          <w:p w14:paraId="2770CB0B" w14:textId="34A8D39E" w:rsidR="00D306B1" w:rsidRPr="00BD570F" w:rsidRDefault="00454B3E" w:rsidP="008F35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c)</w:t>
            </w:r>
          </w:p>
          <w:p w14:paraId="4BCB2240" w14:textId="502D93E1" w:rsidR="00044CFE" w:rsidRPr="00BD570F" w:rsidRDefault="00044CFE" w:rsidP="008F35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Visualiz</w:t>
            </w:r>
            <w:r w:rsidR="002F0DF5" w:rsidRPr="00BD570F">
              <w:rPr>
                <w:rFonts w:ascii="Arial" w:hAnsi="Arial" w:cs="Arial"/>
                <w:sz w:val="20"/>
                <w:szCs w:val="20"/>
                <w:lang w:val="en-US"/>
              </w:rPr>
              <w:t>ation and interpretation of b)</w:t>
            </w:r>
          </w:p>
          <w:p w14:paraId="1C75EEF8" w14:textId="4CB7705D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F21237" w14:textId="3498CC77" w:rsidR="0099228D" w:rsidRPr="00262BCE" w:rsidRDefault="0099228D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9BB78C9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1869A5" w14:textId="193B705A" w:rsidR="00BD5FD5" w:rsidRDefault="00BD570F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51F1C8" wp14:editId="7B635F91">
                  <wp:extent cx="2775006" cy="1855143"/>
                  <wp:effectExtent l="0" t="0" r="635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205" cy="187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2B721" w14:textId="7CC60C64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791B1D" w14:textId="68B5224F" w:rsidR="008815BD" w:rsidRDefault="00BD570F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The figure shows that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standard deviation of the equally weighted portfolio decreases stronger with increasing number of stocks, compared to the mean standard deviation of its stocks.</w:t>
            </w:r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This means that there is less risk, </w:t>
            </w:r>
            <w:proofErr w:type="gramStart"/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>i.e.</w:t>
            </w:r>
            <w:proofErr w:type="gramEnd"/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volatility, associated with the equally weighted portfolio compared to the stocks.</w:t>
            </w:r>
            <w:r w:rsidR="0017559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8815BD">
              <w:rPr>
                <w:rFonts w:ascii="Arial" w:hAnsi="Arial" w:cs="Arial"/>
                <w:bCs/>
                <w:sz w:val="20"/>
                <w:szCs w:val="20"/>
                <w:lang w:val="en-US"/>
              </w:rPr>
              <w:t>The standard deviation is lower, since the covariance between the stocks cancels out. For clarification we can look at the formula for the variance of the equally weighted portfolio:</w:t>
            </w:r>
          </w:p>
          <w:p w14:paraId="07F22C1C" w14:textId="7092E7DD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ED6043E" w14:textId="37EDDD01" w:rsidR="008815BD" w:rsidRP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</m:oMath>
            </m:oMathPara>
          </w:p>
          <w:p w14:paraId="3B44332D" w14:textId="73201EF2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ii</m:t>
                  </m:r>
                </m:sub>
              </m:sSub>
            </m:oMath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is the average covariance of two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returns.</w:t>
            </w:r>
            <w:proofErr w:type="gramEnd"/>
          </w:p>
          <w:p w14:paraId="45DD3022" w14:textId="77777777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D0B5C0B" w14:textId="1626F003" w:rsidR="00BD5FD5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Or simply said: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br/>
              <w:t>Portfolio variance = individual variance – covariance of the stocks</w:t>
            </w:r>
          </w:p>
          <w:p w14:paraId="3ED4EC85" w14:textId="098283DC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DB18A38" w14:textId="43CC302F" w:rsidR="00BD5FD5" w:rsidRPr="00BD570F" w:rsidRDefault="008815BD" w:rsidP="00565AB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Here we can see that the covariance of the stocks, lowers the variance (and therefore the standard deviation) of the equally weighted portfolio.</w:t>
            </w:r>
          </w:p>
        </w:tc>
        <w:tc>
          <w:tcPr>
            <w:tcW w:w="992" w:type="dxa"/>
          </w:tcPr>
          <w:p w14:paraId="6F104FB2" w14:textId="77777777" w:rsidR="00D306B1" w:rsidRPr="00BD570F" w:rsidRDefault="00D306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262BCE" w14:paraId="0AC8DB98" w14:textId="77777777" w:rsidTr="008823B6">
        <w:trPr>
          <w:trHeight w:val="340"/>
        </w:trPr>
        <w:tc>
          <w:tcPr>
            <w:tcW w:w="2689" w:type="dxa"/>
          </w:tcPr>
          <w:p w14:paraId="3958BF6C" w14:textId="35219A30" w:rsidR="0099228D" w:rsidRPr="00262BCE" w:rsidRDefault="004E4A0E" w:rsidP="0099228D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Mean-Variance Frontier</w:t>
            </w:r>
          </w:p>
          <w:p w14:paraId="77682C77" w14:textId="16659B59" w:rsidR="0099228D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5305634C" w14:textId="4C4EFFF5" w:rsidR="00CE4429" w:rsidRPr="00262BCE" w:rsidRDefault="00CE4429" w:rsidP="00992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Mean-Volatility Plot</w:t>
            </w:r>
          </w:p>
          <w:p w14:paraId="2129885E" w14:textId="26DFE723" w:rsidR="0099228D" w:rsidRPr="00262BCE" w:rsidRDefault="00262BCE" w:rsidP="00992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8FE95B2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DFB898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DCA12C" w14:textId="79C190DF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1655841" w14:textId="43E98EB9" w:rsidR="00BD5FD5" w:rsidRDefault="00BD5FD5" w:rsidP="00BD5FD5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C3C84CC" wp14:editId="2E12A01B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88221</wp:posOffset>
                  </wp:positionV>
                  <wp:extent cx="3584081" cy="1905533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081" cy="190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B1D90D" w14:textId="246474DF" w:rsidR="00BD5FD5" w:rsidRDefault="00BD5FD5" w:rsidP="00BD5FD5"/>
          <w:p w14:paraId="3CE45FB6" w14:textId="0BFA741E" w:rsidR="00BD5FD5" w:rsidRDefault="00BD5FD5" w:rsidP="00BD5FD5"/>
          <w:p w14:paraId="22454F68" w14:textId="144235C2" w:rsidR="00BD5FD5" w:rsidRDefault="00BD5FD5" w:rsidP="00BD5FD5"/>
          <w:p w14:paraId="4B151D95" w14:textId="041CA943" w:rsidR="00BD5FD5" w:rsidRDefault="00BD5FD5" w:rsidP="00BD5FD5"/>
          <w:p w14:paraId="5A96116E" w14:textId="4A279B9A" w:rsidR="00BD5FD5" w:rsidRDefault="00BD5FD5" w:rsidP="00BD5FD5"/>
          <w:p w14:paraId="6C893956" w14:textId="676982A3" w:rsidR="00BD5FD5" w:rsidRDefault="00BD5FD5" w:rsidP="00BD5FD5"/>
          <w:p w14:paraId="55C5A4B8" w14:textId="1A4D0A34" w:rsidR="00BD5FD5" w:rsidRDefault="00BD5FD5" w:rsidP="00BD5FD5"/>
          <w:p w14:paraId="188D1AD3" w14:textId="784AD163" w:rsidR="00BD5FD5" w:rsidRDefault="00BD5FD5" w:rsidP="00BD5FD5"/>
          <w:p w14:paraId="694FC0C4" w14:textId="33A31E82" w:rsidR="00BD5FD5" w:rsidRDefault="00BD5FD5" w:rsidP="00BD5FD5"/>
          <w:p w14:paraId="13D62C02" w14:textId="77777777" w:rsidR="00BD5FD5" w:rsidRDefault="00BD5FD5" w:rsidP="00BD5FD5"/>
          <w:p w14:paraId="241FEF5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82DA96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570F" w:rsidRPr="00262BCE" w14:paraId="15298B4A" w14:textId="77777777" w:rsidTr="008823B6">
        <w:trPr>
          <w:trHeight w:val="340"/>
        </w:trPr>
        <w:tc>
          <w:tcPr>
            <w:tcW w:w="2689" w:type="dxa"/>
          </w:tcPr>
          <w:p w14:paraId="02CDC8C1" w14:textId="18931184" w:rsidR="0099228D" w:rsidRDefault="00BD5FD5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2C43EB2" wp14:editId="2ABA5423">
                  <wp:simplePos x="0" y="0"/>
                  <wp:positionH relativeFrom="column">
                    <wp:posOffset>1637665</wp:posOffset>
                  </wp:positionH>
                  <wp:positionV relativeFrom="paragraph">
                    <wp:posOffset>92754</wp:posOffset>
                  </wp:positionV>
                  <wp:extent cx="3608070" cy="1918335"/>
                  <wp:effectExtent l="0" t="0" r="0" b="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070" cy="191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3732B">
              <w:rPr>
                <w:rFonts w:ascii="Arial" w:hAnsi="Arial" w:cs="Arial"/>
                <w:sz w:val="20"/>
                <w:szCs w:val="20"/>
              </w:rPr>
              <w:t>b</w:t>
            </w:r>
            <w:r w:rsidR="00011BEB" w:rsidRP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813BBF" w14:textId="7C9307C5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Efficient Frontier</w:t>
            </w:r>
          </w:p>
          <w:p w14:paraId="5BCE4024" w14:textId="77777777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14:paraId="55C0F1CB" w14:textId="2F9E0262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F2F4275" w14:textId="5D29684C" w:rsidR="0099228D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3F9C42" w14:textId="5C08B41B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984248" w14:textId="0890649D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EBDA40" w14:textId="2187E104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6072E" w14:textId="48D3B6AA" w:rsidR="00BD5FD5" w:rsidRDefault="00BD5FD5" w:rsidP="00BD5FD5"/>
          <w:p w14:paraId="7D136E26" w14:textId="6D759233" w:rsidR="00BD5FD5" w:rsidRDefault="00BD5FD5" w:rsidP="00BD5FD5"/>
          <w:p w14:paraId="5276AC08" w14:textId="2DB29256" w:rsidR="00BD5FD5" w:rsidRDefault="00BD5FD5" w:rsidP="00BD5FD5"/>
          <w:p w14:paraId="36A4C881" w14:textId="6AACDFD7" w:rsidR="00BD5FD5" w:rsidRDefault="00BD5FD5" w:rsidP="00BD5FD5"/>
          <w:p w14:paraId="0514394A" w14:textId="0839E40B" w:rsidR="00BD5FD5" w:rsidRDefault="00BD5FD5" w:rsidP="00BD5FD5"/>
          <w:p w14:paraId="2FEE35CA" w14:textId="60925E46" w:rsidR="001870B1" w:rsidRDefault="001870B1" w:rsidP="00BD5FD5"/>
          <w:p w14:paraId="6A377FBD" w14:textId="77777777" w:rsidR="001870B1" w:rsidRDefault="001870B1" w:rsidP="00BD5FD5"/>
          <w:p w14:paraId="7C5AD100" w14:textId="77777777" w:rsidR="00BD5FD5" w:rsidRDefault="00BD5FD5" w:rsidP="00D306B1">
            <w:pPr>
              <w:rPr>
                <w:b/>
              </w:rPr>
            </w:pPr>
          </w:p>
          <w:p w14:paraId="6608ED8F" w14:textId="4815834C" w:rsidR="001870B1" w:rsidRPr="00262BCE" w:rsidRDefault="001870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F8E679A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570F" w:rsidRPr="00442E18" w14:paraId="0E79B948" w14:textId="77777777" w:rsidTr="008823B6">
        <w:trPr>
          <w:trHeight w:val="340"/>
        </w:trPr>
        <w:tc>
          <w:tcPr>
            <w:tcW w:w="2689" w:type="dxa"/>
          </w:tcPr>
          <w:p w14:paraId="0967D6B8" w14:textId="0A36BC60" w:rsidR="0099228D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D6D0B8" w14:textId="0FB10AD8" w:rsidR="004B6496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Variance Portfolio</w:t>
            </w:r>
          </w:p>
          <w:p w14:paraId="77278518" w14:textId="198D1D54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7E11A80B" w14:textId="05A71D9B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11B65F" w14:textId="0A177534" w:rsidR="0099228D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minimum-variance portfolio in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section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“Problem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3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–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Mean-Variance Frontier and Portfolio Choice – c)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5B370F05" w14:textId="3092B426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18924EDC" wp14:editId="5A7B32C9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77426</wp:posOffset>
                  </wp:positionV>
                  <wp:extent cx="3596107" cy="1911927"/>
                  <wp:effectExtent l="0" t="0" r="0" b="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107" cy="191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392301" w14:textId="342CAA6C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25484831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817A360" w14:textId="7DF2704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FE8024C" w14:textId="2C2387C0" w:rsidR="001870B1" w:rsidRPr="001870B1" w:rsidRDefault="001870B1" w:rsidP="001870B1">
            <w:pPr>
              <w:rPr>
                <w:lang w:val="en-US"/>
              </w:rPr>
            </w:pPr>
          </w:p>
          <w:p w14:paraId="2AB57B53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C824595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DA65664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FBBE477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FE10887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7D27603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8985366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3BE0315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668989F" w14:textId="2B88F0A1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5B3D184" w14:textId="77777777" w:rsidR="0099228D" w:rsidRPr="001870B1" w:rsidRDefault="0099228D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442E18" w14:paraId="3C20687A" w14:textId="77777777" w:rsidTr="008823B6">
        <w:trPr>
          <w:trHeight w:val="340"/>
        </w:trPr>
        <w:tc>
          <w:tcPr>
            <w:tcW w:w="2689" w:type="dxa"/>
          </w:tcPr>
          <w:p w14:paraId="7A82C5AE" w14:textId="45729053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d)</w:t>
            </w:r>
          </w:p>
          <w:p w14:paraId="1ADF4654" w14:textId="5B3DD5E0" w:rsidR="000F42B4" w:rsidRDefault="000F42B4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Tangency Portfolio</w:t>
            </w:r>
          </w:p>
          <w:p w14:paraId="05E6A88A" w14:textId="77777777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14:paraId="094A4687" w14:textId="77777777" w:rsidR="00A3732B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D486910" w14:textId="6B3FABF5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tangency portfolio in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section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“Problem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3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–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Mean-Variance Frontier and Portfolio Choice – d)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25D270B5" w14:textId="57179EC9" w:rsidR="00A3732B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173E2B0" wp14:editId="60091488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90849</wp:posOffset>
                  </wp:positionV>
                  <wp:extent cx="3596109" cy="1911928"/>
                  <wp:effectExtent l="0" t="0" r="0" b="0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109" cy="191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CC3DBF" w14:textId="2DE0BA83" w:rsidR="001870B1" w:rsidRPr="001870B1" w:rsidRDefault="001870B1" w:rsidP="001870B1">
            <w:pPr>
              <w:rPr>
                <w:lang w:val="en-US"/>
              </w:rPr>
            </w:pPr>
          </w:p>
          <w:p w14:paraId="03F99B62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D21DD57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B73000D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C1FFC7B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3281B165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DF0693A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63ECDE34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BD79776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0CD7EDC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EC8E151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20A2ED1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18064D8" w14:textId="6B78BD7C" w:rsidR="001870B1" w:rsidRP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5A954A1" w14:textId="77777777" w:rsidR="00A3732B" w:rsidRPr="001870B1" w:rsidRDefault="00A3732B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442E18" w14:paraId="6CCE1F5B" w14:textId="77777777" w:rsidTr="008823B6">
        <w:trPr>
          <w:trHeight w:val="340"/>
        </w:trPr>
        <w:tc>
          <w:tcPr>
            <w:tcW w:w="2689" w:type="dxa"/>
          </w:tcPr>
          <w:p w14:paraId="7CDC6F73" w14:textId="3E4822FB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  <w:p w14:paraId="7072D0DF" w14:textId="745932E4" w:rsidR="003F0D0C" w:rsidRDefault="003F0D0C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Portfolio Choice</w:t>
            </w:r>
          </w:p>
          <w:p w14:paraId="2FAC8D42" w14:textId="754ED3C3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14:paraId="79FA89ED" w14:textId="77777777" w:rsidR="00E119BF" w:rsidRDefault="00E119BF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E253904" w14:textId="77777777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Optimal allocation for portfolio in ETF and risk-free asset:</w:t>
            </w:r>
          </w:p>
          <w:p w14:paraId="150918EF" w14:textId="77777777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90E516F" w14:textId="6417EA48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Weight in ETF: 36.84%</w:t>
            </w:r>
          </w:p>
          <w:p w14:paraId="1B8A348C" w14:textId="0483C2C6" w:rsidR="00E119BF" w:rsidRPr="001870B1" w:rsidRDefault="001870B1" w:rsidP="001870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Weight in risk-free asset: 63.16%</w:t>
            </w:r>
          </w:p>
        </w:tc>
        <w:tc>
          <w:tcPr>
            <w:tcW w:w="992" w:type="dxa"/>
          </w:tcPr>
          <w:p w14:paraId="200EA49F" w14:textId="77777777" w:rsidR="00E119BF" w:rsidRPr="001870B1" w:rsidRDefault="00E119BF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01A0AA18" w14:textId="3D9D5BF3" w:rsidR="00B3111E" w:rsidRPr="001870B1" w:rsidRDefault="00B3111E" w:rsidP="008823B6">
      <w:pPr>
        <w:rPr>
          <w:rFonts w:ascii="Arial" w:hAnsi="Arial" w:cs="Arial"/>
          <w:sz w:val="28"/>
          <w:szCs w:val="28"/>
          <w:lang w:val="en-US"/>
        </w:rPr>
      </w:pPr>
    </w:p>
    <w:sectPr w:rsidR="00B3111E" w:rsidRPr="001870B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8C96" w14:textId="77777777" w:rsidR="000E5A1B" w:rsidRDefault="000E5A1B" w:rsidP="00670E15">
      <w:r>
        <w:separator/>
      </w:r>
    </w:p>
  </w:endnote>
  <w:endnote w:type="continuationSeparator" w:id="0">
    <w:p w14:paraId="2A5D1D7B" w14:textId="77777777" w:rsidR="000E5A1B" w:rsidRDefault="000E5A1B" w:rsidP="0067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6CE3" w14:textId="77777777" w:rsidR="000E5A1B" w:rsidRDefault="000E5A1B" w:rsidP="00670E15">
      <w:r>
        <w:separator/>
      </w:r>
    </w:p>
  </w:footnote>
  <w:footnote w:type="continuationSeparator" w:id="0">
    <w:p w14:paraId="7B973435" w14:textId="77777777" w:rsidR="000E5A1B" w:rsidRDefault="000E5A1B" w:rsidP="0067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26709"/>
    <w:rsid w:val="00027416"/>
    <w:rsid w:val="00030DAB"/>
    <w:rsid w:val="00031FCF"/>
    <w:rsid w:val="000405C2"/>
    <w:rsid w:val="00044CFE"/>
    <w:rsid w:val="00045B64"/>
    <w:rsid w:val="000469E0"/>
    <w:rsid w:val="000512A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509E"/>
    <w:rsid w:val="000E5A1B"/>
    <w:rsid w:val="000E7191"/>
    <w:rsid w:val="000F1200"/>
    <w:rsid w:val="000F42B4"/>
    <w:rsid w:val="000F52A9"/>
    <w:rsid w:val="00103DA4"/>
    <w:rsid w:val="00105074"/>
    <w:rsid w:val="0011098C"/>
    <w:rsid w:val="0011635F"/>
    <w:rsid w:val="001176C2"/>
    <w:rsid w:val="00126BBD"/>
    <w:rsid w:val="001310E9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75590"/>
    <w:rsid w:val="00184DC4"/>
    <w:rsid w:val="00185D26"/>
    <w:rsid w:val="001870B1"/>
    <w:rsid w:val="00195BA1"/>
    <w:rsid w:val="001A2C44"/>
    <w:rsid w:val="001A37BE"/>
    <w:rsid w:val="001A490C"/>
    <w:rsid w:val="001A5E37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B95"/>
    <w:rsid w:val="002B3F1B"/>
    <w:rsid w:val="002C55EB"/>
    <w:rsid w:val="002C65D9"/>
    <w:rsid w:val="002D0B8A"/>
    <w:rsid w:val="002D3485"/>
    <w:rsid w:val="002D4783"/>
    <w:rsid w:val="002E006B"/>
    <w:rsid w:val="002F0DF5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67E1B"/>
    <w:rsid w:val="003712C1"/>
    <w:rsid w:val="00390D75"/>
    <w:rsid w:val="0039434D"/>
    <w:rsid w:val="003B0F1A"/>
    <w:rsid w:val="003B25B3"/>
    <w:rsid w:val="003B2CC8"/>
    <w:rsid w:val="003D21BC"/>
    <w:rsid w:val="003D347D"/>
    <w:rsid w:val="003E0539"/>
    <w:rsid w:val="003E5228"/>
    <w:rsid w:val="003F0A0C"/>
    <w:rsid w:val="003F0D0C"/>
    <w:rsid w:val="003F1C45"/>
    <w:rsid w:val="003F6D73"/>
    <w:rsid w:val="00400177"/>
    <w:rsid w:val="0040726B"/>
    <w:rsid w:val="00411158"/>
    <w:rsid w:val="004170F8"/>
    <w:rsid w:val="00426017"/>
    <w:rsid w:val="004304F1"/>
    <w:rsid w:val="004341F9"/>
    <w:rsid w:val="00440A5B"/>
    <w:rsid w:val="00442DFD"/>
    <w:rsid w:val="00442E18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B562C"/>
    <w:rsid w:val="004B6496"/>
    <w:rsid w:val="004D1C0F"/>
    <w:rsid w:val="004D3023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4FD7"/>
    <w:rsid w:val="00563358"/>
    <w:rsid w:val="00565ABF"/>
    <w:rsid w:val="00574919"/>
    <w:rsid w:val="005845CD"/>
    <w:rsid w:val="00584D26"/>
    <w:rsid w:val="00585541"/>
    <w:rsid w:val="00586F98"/>
    <w:rsid w:val="00587076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44BA"/>
    <w:rsid w:val="0069082C"/>
    <w:rsid w:val="00691093"/>
    <w:rsid w:val="006946F0"/>
    <w:rsid w:val="006A06F1"/>
    <w:rsid w:val="006A2468"/>
    <w:rsid w:val="006A2969"/>
    <w:rsid w:val="006A6A62"/>
    <w:rsid w:val="006B1F13"/>
    <w:rsid w:val="006C45D4"/>
    <w:rsid w:val="006E4363"/>
    <w:rsid w:val="006E5534"/>
    <w:rsid w:val="006E6054"/>
    <w:rsid w:val="006F4339"/>
    <w:rsid w:val="0070037A"/>
    <w:rsid w:val="0071141F"/>
    <w:rsid w:val="00724073"/>
    <w:rsid w:val="007262B7"/>
    <w:rsid w:val="00732DE6"/>
    <w:rsid w:val="00737958"/>
    <w:rsid w:val="007421FE"/>
    <w:rsid w:val="007474FC"/>
    <w:rsid w:val="00751EA9"/>
    <w:rsid w:val="00774694"/>
    <w:rsid w:val="00783ED6"/>
    <w:rsid w:val="007855FD"/>
    <w:rsid w:val="007868B9"/>
    <w:rsid w:val="00790128"/>
    <w:rsid w:val="00796E1A"/>
    <w:rsid w:val="007B59F6"/>
    <w:rsid w:val="007C2BB5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9DD"/>
    <w:rsid w:val="0087557D"/>
    <w:rsid w:val="008815BD"/>
    <w:rsid w:val="008823B6"/>
    <w:rsid w:val="0089698A"/>
    <w:rsid w:val="00897601"/>
    <w:rsid w:val="008A39F2"/>
    <w:rsid w:val="008B4588"/>
    <w:rsid w:val="008B78E7"/>
    <w:rsid w:val="008C21C7"/>
    <w:rsid w:val="008D7DB8"/>
    <w:rsid w:val="008F300D"/>
    <w:rsid w:val="008F35A6"/>
    <w:rsid w:val="008F4227"/>
    <w:rsid w:val="008F7DD1"/>
    <w:rsid w:val="00901703"/>
    <w:rsid w:val="00907ABB"/>
    <w:rsid w:val="00914E0C"/>
    <w:rsid w:val="009151CF"/>
    <w:rsid w:val="0092427F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32B"/>
    <w:rsid w:val="00A37D56"/>
    <w:rsid w:val="00A4011C"/>
    <w:rsid w:val="00A43A39"/>
    <w:rsid w:val="00A50859"/>
    <w:rsid w:val="00A56867"/>
    <w:rsid w:val="00A774B9"/>
    <w:rsid w:val="00A925F9"/>
    <w:rsid w:val="00A93F85"/>
    <w:rsid w:val="00A95EB2"/>
    <w:rsid w:val="00A96BF7"/>
    <w:rsid w:val="00AA707D"/>
    <w:rsid w:val="00AB6D74"/>
    <w:rsid w:val="00AB7AAD"/>
    <w:rsid w:val="00AC7ED1"/>
    <w:rsid w:val="00AD0A42"/>
    <w:rsid w:val="00AD4C98"/>
    <w:rsid w:val="00AE4046"/>
    <w:rsid w:val="00AE5002"/>
    <w:rsid w:val="00AE5896"/>
    <w:rsid w:val="00AF13D9"/>
    <w:rsid w:val="00AF5D25"/>
    <w:rsid w:val="00B079D2"/>
    <w:rsid w:val="00B10D95"/>
    <w:rsid w:val="00B13CD0"/>
    <w:rsid w:val="00B161A7"/>
    <w:rsid w:val="00B215B7"/>
    <w:rsid w:val="00B27D94"/>
    <w:rsid w:val="00B3111E"/>
    <w:rsid w:val="00B313AB"/>
    <w:rsid w:val="00B320CB"/>
    <w:rsid w:val="00B33420"/>
    <w:rsid w:val="00B40D06"/>
    <w:rsid w:val="00B5468C"/>
    <w:rsid w:val="00B628CE"/>
    <w:rsid w:val="00B64EEE"/>
    <w:rsid w:val="00B77A01"/>
    <w:rsid w:val="00B77F1F"/>
    <w:rsid w:val="00B8210B"/>
    <w:rsid w:val="00B83548"/>
    <w:rsid w:val="00B84518"/>
    <w:rsid w:val="00B90875"/>
    <w:rsid w:val="00B9798A"/>
    <w:rsid w:val="00BA463A"/>
    <w:rsid w:val="00BA4779"/>
    <w:rsid w:val="00BA6660"/>
    <w:rsid w:val="00BB2E87"/>
    <w:rsid w:val="00BB3D20"/>
    <w:rsid w:val="00BB5892"/>
    <w:rsid w:val="00BD307D"/>
    <w:rsid w:val="00BD570F"/>
    <w:rsid w:val="00BD57B1"/>
    <w:rsid w:val="00BD5FD5"/>
    <w:rsid w:val="00BE06ED"/>
    <w:rsid w:val="00BE30DB"/>
    <w:rsid w:val="00BE5744"/>
    <w:rsid w:val="00BE7E54"/>
    <w:rsid w:val="00C1691B"/>
    <w:rsid w:val="00C23431"/>
    <w:rsid w:val="00C26CCE"/>
    <w:rsid w:val="00C35F56"/>
    <w:rsid w:val="00C4251B"/>
    <w:rsid w:val="00C4498F"/>
    <w:rsid w:val="00C475D8"/>
    <w:rsid w:val="00C53534"/>
    <w:rsid w:val="00C53D9C"/>
    <w:rsid w:val="00C6006E"/>
    <w:rsid w:val="00C635AB"/>
    <w:rsid w:val="00C647BC"/>
    <w:rsid w:val="00C6730C"/>
    <w:rsid w:val="00C7099A"/>
    <w:rsid w:val="00C92153"/>
    <w:rsid w:val="00C97DED"/>
    <w:rsid w:val="00CA4336"/>
    <w:rsid w:val="00CA4705"/>
    <w:rsid w:val="00CA68E0"/>
    <w:rsid w:val="00CB0904"/>
    <w:rsid w:val="00CC0057"/>
    <w:rsid w:val="00CD52A6"/>
    <w:rsid w:val="00CE3E43"/>
    <w:rsid w:val="00CE4429"/>
    <w:rsid w:val="00CE7CF5"/>
    <w:rsid w:val="00CF1780"/>
    <w:rsid w:val="00CF25BA"/>
    <w:rsid w:val="00CF6D37"/>
    <w:rsid w:val="00CF6DCE"/>
    <w:rsid w:val="00CF7440"/>
    <w:rsid w:val="00D000B7"/>
    <w:rsid w:val="00D024B6"/>
    <w:rsid w:val="00D03DC8"/>
    <w:rsid w:val="00D1206A"/>
    <w:rsid w:val="00D13B8E"/>
    <w:rsid w:val="00D20FD4"/>
    <w:rsid w:val="00D306B1"/>
    <w:rsid w:val="00D37C85"/>
    <w:rsid w:val="00D43C21"/>
    <w:rsid w:val="00D5180E"/>
    <w:rsid w:val="00D55635"/>
    <w:rsid w:val="00D61C9F"/>
    <w:rsid w:val="00D663C5"/>
    <w:rsid w:val="00D73111"/>
    <w:rsid w:val="00D744D3"/>
    <w:rsid w:val="00D84BF0"/>
    <w:rsid w:val="00D86129"/>
    <w:rsid w:val="00D87265"/>
    <w:rsid w:val="00D97FF5"/>
    <w:rsid w:val="00DA48EB"/>
    <w:rsid w:val="00DA6207"/>
    <w:rsid w:val="00DB2103"/>
    <w:rsid w:val="00DC5DA0"/>
    <w:rsid w:val="00DD4D6F"/>
    <w:rsid w:val="00DE19E9"/>
    <w:rsid w:val="00DF3909"/>
    <w:rsid w:val="00DF3A09"/>
    <w:rsid w:val="00E02B20"/>
    <w:rsid w:val="00E047AF"/>
    <w:rsid w:val="00E05671"/>
    <w:rsid w:val="00E119BF"/>
    <w:rsid w:val="00E2325E"/>
    <w:rsid w:val="00E24200"/>
    <w:rsid w:val="00E24E56"/>
    <w:rsid w:val="00E25396"/>
    <w:rsid w:val="00E30094"/>
    <w:rsid w:val="00E30D89"/>
    <w:rsid w:val="00E33FFD"/>
    <w:rsid w:val="00E34D2C"/>
    <w:rsid w:val="00E42A5F"/>
    <w:rsid w:val="00E443C0"/>
    <w:rsid w:val="00E51927"/>
    <w:rsid w:val="00E60058"/>
    <w:rsid w:val="00E65D25"/>
    <w:rsid w:val="00E70E09"/>
    <w:rsid w:val="00E718DC"/>
    <w:rsid w:val="00E770A6"/>
    <w:rsid w:val="00E80CCF"/>
    <w:rsid w:val="00E84FA5"/>
    <w:rsid w:val="00E9026F"/>
    <w:rsid w:val="00EA6615"/>
    <w:rsid w:val="00EA6777"/>
    <w:rsid w:val="00EB5640"/>
    <w:rsid w:val="00ED0A6B"/>
    <w:rsid w:val="00ED3601"/>
    <w:rsid w:val="00ED5BA6"/>
    <w:rsid w:val="00EF7BB2"/>
    <w:rsid w:val="00F02FD1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62199"/>
    <w:rsid w:val="00F671E1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1374D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11E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E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gd15mcfceub">
    <w:name w:val="gd15mcfceub"/>
    <w:basedOn w:val="DefaultParagraphFont"/>
    <w:rsid w:val="00AF5D25"/>
  </w:style>
  <w:style w:type="character" w:customStyle="1" w:styleId="gd15mcfckub">
    <w:name w:val="gd15mcfckub"/>
    <w:basedOn w:val="DefaultParagraphFont"/>
    <w:rsid w:val="007262B7"/>
  </w:style>
  <w:style w:type="character" w:customStyle="1" w:styleId="gd15mcfcktb">
    <w:name w:val="gd15mcfcktb"/>
    <w:basedOn w:val="DefaultParagraphFont"/>
    <w:rsid w:val="007262B7"/>
  </w:style>
  <w:style w:type="character" w:styleId="PlaceholderText">
    <w:name w:val="Placeholder Text"/>
    <w:basedOn w:val="DefaultParagraphFont"/>
    <w:uiPriority w:val="99"/>
    <w:semiHidden/>
    <w:rsid w:val="008F3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Husmann, Jonas</cp:lastModifiedBy>
  <cp:revision>4</cp:revision>
  <dcterms:created xsi:type="dcterms:W3CDTF">2021-10-10T21:27:00Z</dcterms:created>
  <dcterms:modified xsi:type="dcterms:W3CDTF">2021-10-10T21:47:00Z</dcterms:modified>
</cp:coreProperties>
</file>