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DE5F" w14:textId="77777777" w:rsidR="00B3111E" w:rsidRPr="00262BCE" w:rsidRDefault="00B3111E" w:rsidP="00B3111E">
      <w:pPr>
        <w:jc w:val="center"/>
        <w:rPr>
          <w:rFonts w:ascii="Arial" w:hAnsi="Arial" w:cs="Arial"/>
        </w:rPr>
      </w:pPr>
      <w:r w:rsidRPr="00262BCE">
        <w:rPr>
          <w:rFonts w:ascii="Arial" w:hAnsi="Arial" w:cs="Arial"/>
          <w:noProof/>
          <w:color w:val="141823"/>
          <w:lang w:eastAsia="zh-CN"/>
        </w:rPr>
        <w:drawing>
          <wp:inline distT="0" distB="0" distL="0" distR="0" wp14:anchorId="295A6966" wp14:editId="0C8A3E02">
            <wp:extent cx="2756848" cy="333101"/>
            <wp:effectExtent l="0" t="0" r="5715" b="0"/>
            <wp:docPr id="1" name="Picture 1" descr="https://scontent-a.xx.fbcdn.net/hphotos-xpa1/v/t1.0-9/10653644_841228305908881_4502395626660580592_n.jpg?oh=7ffb31778779c578aa6328ad777a4d93&amp;oe=54C76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.xx.fbcdn.net/hphotos-xpa1/v/t1.0-9/10653644_841228305908881_4502395626660580592_n.jpg?oh=7ffb31778779c578aa6328ad777a4d93&amp;oe=54C7695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84" b="51489"/>
                    <a:stretch/>
                  </pic:blipFill>
                  <pic:spPr bwMode="auto">
                    <a:xfrm>
                      <a:off x="0" y="0"/>
                      <a:ext cx="2756848" cy="33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DAF3D" w14:textId="77777777" w:rsidR="00B3111E" w:rsidRPr="00BD570F" w:rsidRDefault="00B3111E" w:rsidP="00B3111E">
      <w:pPr>
        <w:jc w:val="center"/>
        <w:rPr>
          <w:rFonts w:ascii="Arial" w:hAnsi="Arial" w:cs="Arial"/>
          <w:b/>
          <w:lang w:val="en-US"/>
        </w:rPr>
      </w:pPr>
      <w:r w:rsidRPr="00BD570F">
        <w:rPr>
          <w:rFonts w:ascii="Arial" w:hAnsi="Arial" w:cs="Arial"/>
          <w:lang w:val="en-US"/>
        </w:rPr>
        <w:t>Solution Sheet on Problem Set 1</w:t>
      </w:r>
      <w:r w:rsidRPr="00BD570F">
        <w:rPr>
          <w:rFonts w:ascii="Arial" w:hAnsi="Arial" w:cs="Arial"/>
          <w:b/>
          <w:lang w:val="en-US"/>
        </w:rPr>
        <w:t xml:space="preserve"> </w:t>
      </w:r>
    </w:p>
    <w:p w14:paraId="655890FF" w14:textId="78DF10C8" w:rsidR="00B161A7" w:rsidRPr="00BD570F" w:rsidRDefault="000E509E" w:rsidP="00B3111E">
      <w:pPr>
        <w:jc w:val="center"/>
        <w:rPr>
          <w:rFonts w:ascii="Arial" w:hAnsi="Arial" w:cs="Arial"/>
          <w:b/>
          <w:lang w:val="en-US"/>
        </w:rPr>
      </w:pPr>
      <w:r w:rsidRPr="00BD570F">
        <w:rPr>
          <w:rFonts w:ascii="Arial" w:hAnsi="Arial" w:cs="Arial"/>
          <w:b/>
          <w:lang w:val="en-US"/>
        </w:rPr>
        <w:t xml:space="preserve">Return Calculations, </w:t>
      </w:r>
      <w:r w:rsidR="00B3111E" w:rsidRPr="00BD570F">
        <w:rPr>
          <w:rFonts w:ascii="Arial" w:hAnsi="Arial" w:cs="Arial"/>
          <w:b/>
          <w:lang w:val="en-US"/>
        </w:rPr>
        <w:t>Portfolio Choice and Mean-Variance Frontier</w:t>
      </w:r>
    </w:p>
    <w:p w14:paraId="11BF7EAD" w14:textId="1109F66C" w:rsidR="00EA6615" w:rsidRPr="00BD570F" w:rsidRDefault="00F157E1" w:rsidP="00B3111E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BD570F">
        <w:rPr>
          <w:rFonts w:ascii="Arial" w:hAnsi="Arial" w:cs="Arial"/>
          <w:sz w:val="20"/>
          <w:szCs w:val="20"/>
          <w:lang w:val="en-US"/>
        </w:rPr>
        <w:t xml:space="preserve">Deadline: </w:t>
      </w:r>
      <w:r w:rsidR="001F6670" w:rsidRPr="00BD570F">
        <w:rPr>
          <w:rFonts w:ascii="Arial" w:hAnsi="Arial" w:cs="Arial"/>
          <w:sz w:val="20"/>
          <w:szCs w:val="20"/>
          <w:lang w:val="en-US"/>
        </w:rPr>
        <w:t>19.</w:t>
      </w:r>
      <w:r w:rsidR="00732DE6" w:rsidRPr="00BD570F">
        <w:rPr>
          <w:rFonts w:ascii="Arial" w:hAnsi="Arial" w:cs="Arial"/>
          <w:sz w:val="20"/>
          <w:szCs w:val="20"/>
          <w:lang w:val="en-US"/>
        </w:rPr>
        <w:t>10</w:t>
      </w:r>
      <w:r w:rsidR="001F6670" w:rsidRPr="00BD570F">
        <w:rPr>
          <w:rFonts w:ascii="Arial" w:hAnsi="Arial" w:cs="Arial"/>
          <w:sz w:val="20"/>
          <w:szCs w:val="20"/>
          <w:lang w:val="en-US"/>
        </w:rPr>
        <w:t>.</w:t>
      </w:r>
      <w:r w:rsidRPr="00BD570F">
        <w:rPr>
          <w:rFonts w:ascii="Arial" w:hAnsi="Arial" w:cs="Arial"/>
          <w:sz w:val="20"/>
          <w:szCs w:val="20"/>
          <w:lang w:val="en-US"/>
        </w:rPr>
        <w:t>20</w:t>
      </w:r>
      <w:r w:rsidR="000E509E" w:rsidRPr="00BD570F">
        <w:rPr>
          <w:rFonts w:ascii="Arial" w:hAnsi="Arial" w:cs="Arial"/>
          <w:sz w:val="20"/>
          <w:szCs w:val="20"/>
          <w:lang w:val="en-US"/>
        </w:rPr>
        <w:t>2</w:t>
      </w:r>
      <w:r w:rsidR="001F6670" w:rsidRPr="00BD570F">
        <w:rPr>
          <w:rFonts w:ascii="Arial" w:hAnsi="Arial" w:cs="Arial"/>
          <w:sz w:val="20"/>
          <w:szCs w:val="20"/>
          <w:lang w:val="en-US"/>
        </w:rPr>
        <w:t>1</w:t>
      </w:r>
    </w:p>
    <w:p w14:paraId="7A6B65DF" w14:textId="5E5CC4CA" w:rsidR="00B3111E" w:rsidRPr="00BD570F" w:rsidRDefault="00B3111E" w:rsidP="00B3111E">
      <w:pPr>
        <w:jc w:val="center"/>
        <w:rPr>
          <w:rFonts w:ascii="Arial" w:hAnsi="Arial" w:cs="Arial"/>
          <w:b/>
          <w:lang w:val="en-US"/>
        </w:rPr>
      </w:pPr>
      <w:r w:rsidRPr="00BD570F">
        <w:rPr>
          <w:rFonts w:ascii="Arial" w:hAnsi="Arial" w:cs="Arial"/>
          <w:b/>
          <w:lang w:val="en-US"/>
        </w:rPr>
        <w:t xml:space="preserve">Solved by: </w:t>
      </w:r>
      <w:r w:rsidR="00BD5FD5" w:rsidRPr="00BD570F">
        <w:rPr>
          <w:rFonts w:ascii="Arial" w:hAnsi="Arial" w:cs="Arial"/>
          <w:b/>
          <w:lang w:val="en-US"/>
        </w:rPr>
        <w:t xml:space="preserve">Cyril </w:t>
      </w:r>
      <w:proofErr w:type="spellStart"/>
      <w:r w:rsidR="00BD5FD5" w:rsidRPr="00BD570F">
        <w:rPr>
          <w:rFonts w:ascii="Arial" w:hAnsi="Arial" w:cs="Arial"/>
          <w:b/>
          <w:lang w:val="en-US"/>
        </w:rPr>
        <w:t>Janak</w:t>
      </w:r>
      <w:proofErr w:type="spellEnd"/>
      <w:r w:rsidR="00BD5FD5" w:rsidRPr="00BD570F">
        <w:rPr>
          <w:rFonts w:ascii="Arial" w:hAnsi="Arial" w:cs="Arial"/>
          <w:b/>
          <w:lang w:val="en-US"/>
        </w:rPr>
        <w:t xml:space="preserve">, Niklas Kampe, Jonas </w:t>
      </w:r>
      <w:proofErr w:type="spellStart"/>
      <w:r w:rsidR="00BD5FD5" w:rsidRPr="00BD570F">
        <w:rPr>
          <w:rFonts w:ascii="Arial" w:hAnsi="Arial" w:cs="Arial"/>
          <w:b/>
          <w:lang w:val="en-US"/>
        </w:rPr>
        <w:t>Husmann</w:t>
      </w:r>
      <w:proofErr w:type="spellEnd"/>
      <w:r w:rsidR="00D306B1" w:rsidRPr="00BD570F">
        <w:rPr>
          <w:rFonts w:ascii="Arial" w:hAnsi="Arial" w:cs="Arial"/>
          <w:b/>
          <w:lang w:val="en-US"/>
        </w:rPr>
        <w:br/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2473"/>
        <w:gridCol w:w="5913"/>
        <w:gridCol w:w="965"/>
      </w:tblGrid>
      <w:tr w:rsidR="00BD570F" w:rsidRPr="00262BCE" w14:paraId="5C49313F" w14:textId="77777777" w:rsidTr="000E509E">
        <w:tc>
          <w:tcPr>
            <w:tcW w:w="2689" w:type="dxa"/>
          </w:tcPr>
          <w:p w14:paraId="0530109B" w14:textId="77777777" w:rsidR="00B3111E" w:rsidRPr="00262BCE" w:rsidRDefault="00B3111E" w:rsidP="00B3111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62BCE">
              <w:rPr>
                <w:rFonts w:ascii="Arial" w:hAnsi="Arial" w:cs="Arial"/>
                <w:b/>
                <w:sz w:val="20"/>
                <w:szCs w:val="20"/>
              </w:rPr>
              <w:t>Task</w:t>
            </w:r>
          </w:p>
        </w:tc>
        <w:tc>
          <w:tcPr>
            <w:tcW w:w="5670" w:type="dxa"/>
          </w:tcPr>
          <w:p w14:paraId="1FF9AFB3" w14:textId="363BBB10" w:rsidR="00B3111E" w:rsidRPr="00262BCE" w:rsidRDefault="00B3111E" w:rsidP="00B3111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48D63201" w14:textId="3D0D1DA7" w:rsidR="00B3111E" w:rsidRPr="00262BCE" w:rsidRDefault="00B3111E" w:rsidP="00B3111E">
            <w:pPr>
              <w:jc w:val="center"/>
              <w:rPr>
                <w:rFonts w:ascii="Arial" w:hAnsi="Arial" w:cs="Arial"/>
                <w:b/>
                <w:color w:val="006400"/>
                <w:sz w:val="20"/>
                <w:szCs w:val="20"/>
              </w:rPr>
            </w:pPr>
            <w:r w:rsidRPr="00262BCE">
              <w:rPr>
                <w:rFonts w:ascii="Arial" w:hAnsi="Arial" w:cs="Arial"/>
                <w:b/>
                <w:color w:val="006400"/>
                <w:sz w:val="20"/>
                <w:szCs w:val="20"/>
              </w:rPr>
              <w:t xml:space="preserve">Points </w:t>
            </w:r>
            <w:proofErr w:type="spellStart"/>
            <w:r w:rsidR="000E509E" w:rsidRPr="00262BCE">
              <w:rPr>
                <w:rFonts w:ascii="Arial" w:hAnsi="Arial" w:cs="Arial"/>
                <w:b/>
                <w:color w:val="006400"/>
                <w:sz w:val="20"/>
                <w:szCs w:val="20"/>
              </w:rPr>
              <w:t>Earned</w:t>
            </w:r>
            <w:proofErr w:type="spellEnd"/>
          </w:p>
        </w:tc>
      </w:tr>
      <w:tr w:rsidR="00BD570F" w:rsidRPr="00930169" w14:paraId="6640D307" w14:textId="77777777" w:rsidTr="000E509E">
        <w:tc>
          <w:tcPr>
            <w:tcW w:w="2689" w:type="dxa"/>
          </w:tcPr>
          <w:p w14:paraId="4A8C3C64" w14:textId="2245E216" w:rsidR="00670E15" w:rsidRPr="00262BCE" w:rsidRDefault="000E509E" w:rsidP="000E509E">
            <w:pPr>
              <w:pStyle w:val="Listenabsatz"/>
              <w:numPr>
                <w:ilvl w:val="0"/>
                <w:numId w:val="4"/>
              </w:numPr>
              <w:ind w:left="306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262BCE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Return </w:t>
            </w:r>
            <w:r w:rsidR="000657AB">
              <w:rPr>
                <w:rFonts w:ascii="Arial" w:hAnsi="Arial" w:cs="Arial"/>
                <w:b/>
                <w:sz w:val="20"/>
                <w:szCs w:val="20"/>
                <w:lang w:val="en-GB"/>
              </w:rPr>
              <w:t>Comparison</w:t>
            </w:r>
          </w:p>
          <w:p w14:paraId="35E4335F" w14:textId="7177C01F" w:rsidR="000E509E" w:rsidRPr="00262BCE" w:rsidRDefault="000657AB" w:rsidP="000E509E">
            <w:pPr>
              <w:ind w:left="22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a</w:t>
            </w:r>
            <w:r w:rsidR="000E509E" w:rsidRPr="00262BCE">
              <w:rPr>
                <w:rFonts w:ascii="Arial" w:hAnsi="Arial" w:cs="Arial"/>
                <w:sz w:val="20"/>
                <w:szCs w:val="20"/>
                <w:lang w:val="en-GB"/>
              </w:rPr>
              <w:t xml:space="preserve">) </w:t>
            </w:r>
          </w:p>
          <w:p w14:paraId="56907C1D" w14:textId="7266C316" w:rsidR="000E509E" w:rsidRDefault="00CD52A6" w:rsidP="000E509E">
            <w:pPr>
              <w:ind w:left="22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</w:t>
            </w:r>
            <w:r w:rsidR="00E25396">
              <w:rPr>
                <w:rFonts w:ascii="Arial" w:hAnsi="Arial" w:cs="Arial"/>
                <w:sz w:val="20"/>
                <w:szCs w:val="20"/>
                <w:lang w:val="en-GB"/>
              </w:rPr>
              <w:t xml:space="preserve">iscrete vs. Log-Returns: mean, </w:t>
            </w:r>
            <w:proofErr w:type="spellStart"/>
            <w:r w:rsidR="00E25396">
              <w:rPr>
                <w:rFonts w:ascii="Arial" w:hAnsi="Arial" w:cs="Arial"/>
                <w:sz w:val="20"/>
                <w:szCs w:val="20"/>
                <w:lang w:val="en-GB"/>
              </w:rPr>
              <w:t>st.dev</w:t>
            </w:r>
            <w:proofErr w:type="spellEnd"/>
            <w:r w:rsidR="00E25396">
              <w:rPr>
                <w:rFonts w:ascii="Arial" w:hAnsi="Arial" w:cs="Arial"/>
                <w:sz w:val="20"/>
                <w:szCs w:val="20"/>
                <w:lang w:val="en-GB"/>
              </w:rPr>
              <w:t>. and annualized</w:t>
            </w:r>
          </w:p>
          <w:p w14:paraId="18A6A8DD" w14:textId="04FA3470" w:rsidR="00262BCE" w:rsidRPr="00262BCE" w:rsidRDefault="00262BCE" w:rsidP="000E509E">
            <w:pPr>
              <w:ind w:left="22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</w:t>
            </w:r>
            <w:r w:rsidR="00E25396">
              <w:rPr>
                <w:rFonts w:ascii="Arial" w:hAnsi="Arial" w:cs="Arial"/>
                <w:sz w:val="20"/>
                <w:szCs w:val="20"/>
                <w:lang w:val="en-GB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points)</w:t>
            </w:r>
          </w:p>
          <w:p w14:paraId="4E15F56C" w14:textId="0995E575" w:rsidR="000E509E" w:rsidRPr="00262BCE" w:rsidRDefault="000E509E" w:rsidP="000E509E">
            <w:pPr>
              <w:ind w:left="22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5670" w:type="dxa"/>
          </w:tcPr>
          <w:p w14:paraId="3331460C" w14:textId="2A30910F" w:rsidR="00A43A39" w:rsidRPr="001870B1" w:rsidRDefault="00BD5FD5" w:rsidP="00930788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See </w:t>
            </w:r>
            <w:r w:rsidR="001870B1"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>return variations in code</w:t>
            </w:r>
            <w:r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section </w:t>
            </w:r>
            <w:r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>“Problem 1 – Return Comparison – a)”</w:t>
            </w:r>
          </w:p>
        </w:tc>
        <w:tc>
          <w:tcPr>
            <w:tcW w:w="992" w:type="dxa"/>
          </w:tcPr>
          <w:p w14:paraId="045905D1" w14:textId="77777777" w:rsidR="00B3111E" w:rsidRPr="001870B1" w:rsidRDefault="00B3111E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BD570F" w:rsidRPr="00930169" w14:paraId="2B3EA119" w14:textId="77777777" w:rsidTr="008823B6">
        <w:trPr>
          <w:trHeight w:val="340"/>
        </w:trPr>
        <w:tc>
          <w:tcPr>
            <w:tcW w:w="2689" w:type="dxa"/>
          </w:tcPr>
          <w:p w14:paraId="74699F77" w14:textId="77777777" w:rsidR="004B562C" w:rsidRPr="00BD570F" w:rsidRDefault="004B562C" w:rsidP="000E509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="000E509E" w:rsidRPr="00BD570F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5027F5F2" w14:textId="2F64CD13" w:rsidR="000E509E" w:rsidRDefault="004B562C" w:rsidP="000E509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Discrete vs. Log-Returns:</w:t>
            </w:r>
          </w:p>
          <w:p w14:paraId="491C2C91" w14:textId="385AB67C" w:rsidR="004B562C" w:rsidRPr="00262BCE" w:rsidRDefault="004B562C" w:rsidP="000E5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Plot and interpretation</w:t>
            </w:r>
          </w:p>
          <w:p w14:paraId="7F29C167" w14:textId="6DA0D4AA" w:rsidR="00262BCE" w:rsidRPr="00262BCE" w:rsidRDefault="00262BCE" w:rsidP="000E5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5845CD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FECA4E8" w14:textId="15C45B75" w:rsidR="000E509E" w:rsidRPr="00262BCE" w:rsidRDefault="000E509E" w:rsidP="000E5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2BE3D945" w14:textId="695FE949" w:rsidR="00BD5FD5" w:rsidRPr="00BD570F" w:rsidRDefault="00BD5FD5" w:rsidP="00BD5FD5">
            <w:pPr>
              <w:rPr>
                <w:lang w:val="en-US"/>
              </w:rPr>
            </w:pPr>
            <w:r>
              <w:rPr>
                <w:rFonts w:ascii="Arial" w:hAnsi="Arial" w:cs="Arial"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56EBB74D" wp14:editId="23D9DCFC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117875</wp:posOffset>
                  </wp:positionV>
                  <wp:extent cx="3579471" cy="1918322"/>
                  <wp:effectExtent l="0" t="0" r="2540" b="0"/>
                  <wp:wrapNone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9471" cy="1918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6502109" w14:textId="1D59FB41" w:rsidR="00A37D56" w:rsidRPr="00BD570F" w:rsidRDefault="00A37D56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77D1E7CE" w14:textId="0D965040" w:rsidR="00F02FD1" w:rsidRPr="00BD570F" w:rsidRDefault="00F02FD1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5A916F54" w14:textId="1868DFAE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0A59DAD9" w14:textId="342D78FF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4F879106" w14:textId="1ED36A79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2FA86EE3" w14:textId="6BB2C684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44769DCE" w14:textId="1590B863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6BFE6B8E" w14:textId="1A710C44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7DF052E8" w14:textId="115B223A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0FEE4FA9" w14:textId="63991E84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011D8881" w14:textId="1A2C5A5D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5E98535A" w14:textId="4829C069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06B82707" w14:textId="403AA0E2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4F2A2243" w14:textId="243AD937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0017BF57" wp14:editId="3354E503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64224</wp:posOffset>
                  </wp:positionV>
                  <wp:extent cx="3580130" cy="1915160"/>
                  <wp:effectExtent l="0" t="0" r="1270" b="2540"/>
                  <wp:wrapNone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0130" cy="191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A683100" w14:textId="5346E210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2A1421E2" w14:textId="78155F60" w:rsidR="00BD5FD5" w:rsidRPr="00BD570F" w:rsidRDefault="00BD5FD5" w:rsidP="00BD5FD5">
            <w:pPr>
              <w:rPr>
                <w:lang w:val="en-US"/>
              </w:rPr>
            </w:pPr>
          </w:p>
          <w:p w14:paraId="711CF46A" w14:textId="7ED97C97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788DB73F" w14:textId="6FBBD89B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1471A1BB" w14:textId="66563A4E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1507A518" w14:textId="61554CA1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20699E32" w14:textId="0EE6B89D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44450759" w14:textId="77777777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421C4153" w14:textId="77777777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79139C8B" w14:textId="77777777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69C32D0C" w14:textId="77777777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57840265" w14:textId="77777777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0A86FF98" w14:textId="77777777" w:rsidR="00BD5FD5" w:rsidRPr="00BD570F" w:rsidRDefault="00BD5FD5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2FA0EE2F" w14:textId="5A95BDD2" w:rsidR="00F02FD1" w:rsidRPr="00BD570F" w:rsidRDefault="000179AF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W</w:t>
            </w:r>
            <w:r w:rsidR="00F02FD1" w:rsidRPr="00BD570F">
              <w:rPr>
                <w:rFonts w:ascii="Arial" w:hAnsi="Arial" w:cs="Arial"/>
                <w:bCs/>
                <w:sz w:val="20"/>
                <w:szCs w:val="20"/>
                <w:lang w:val="en-US"/>
              </w:rPr>
              <w:t>e are using log returns which have a normalizing effect on the data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, </w:t>
            </w:r>
            <w:r w:rsidR="00D53B85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and therefore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the differences in the plot are rather small</w:t>
            </w:r>
            <w:r w:rsidR="00442E18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Nonetheless,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it can be seen that the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curvature in the DB plot is slightly more pronounced because there we have the larger maximal difference in discrete and log return. Moreover, there is an </w:t>
            </w:r>
            <w:r w:rsidR="00F02FD1" w:rsidRPr="00BD570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upwards curvature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in both plots </w:t>
            </w:r>
            <w:r w:rsidR="00F02FD1" w:rsidRPr="00BD570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which is because discrete returns are always larger than the corresponding log return. </w:t>
            </w:r>
          </w:p>
        </w:tc>
        <w:tc>
          <w:tcPr>
            <w:tcW w:w="992" w:type="dxa"/>
          </w:tcPr>
          <w:p w14:paraId="4BDE53B8" w14:textId="43608876" w:rsidR="00B3111E" w:rsidRPr="00BD570F" w:rsidRDefault="00B3111E" w:rsidP="00D306B1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BD570F" w:rsidRPr="00930169" w14:paraId="101E14DF" w14:textId="77777777" w:rsidTr="008823B6">
        <w:trPr>
          <w:trHeight w:val="340"/>
        </w:trPr>
        <w:tc>
          <w:tcPr>
            <w:tcW w:w="2689" w:type="dxa"/>
          </w:tcPr>
          <w:p w14:paraId="7C503C3B" w14:textId="67ADD977" w:rsidR="00B3111E" w:rsidRPr="00BD570F" w:rsidRDefault="004B562C" w:rsidP="00A37D5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="000E509E" w:rsidRPr="00BD570F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137C8B0A" w14:textId="71A34FD8" w:rsidR="004B562C" w:rsidRPr="00BD570F" w:rsidRDefault="005845CD" w:rsidP="00A37D5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>Usage of return type</w:t>
            </w:r>
          </w:p>
          <w:p w14:paraId="52BF4ACE" w14:textId="77777777" w:rsidR="00262BCE" w:rsidRPr="00BD570F" w:rsidRDefault="00262BCE" w:rsidP="00A37D5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="005845CD" w:rsidRPr="00BD570F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 points)</w:t>
            </w:r>
          </w:p>
          <w:p w14:paraId="1CB6FB19" w14:textId="69EA0B45" w:rsidR="00E9026F" w:rsidRPr="00BD570F" w:rsidRDefault="00E9026F" w:rsidP="00A37D5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14:paraId="1405882D" w14:textId="20E41800" w:rsidR="00367E1B" w:rsidRPr="00BD570F" w:rsidRDefault="00BD5FD5" w:rsidP="00367E1B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bCs/>
                <w:sz w:val="20"/>
                <w:szCs w:val="20"/>
                <w:lang w:val="en-US"/>
              </w:rPr>
              <w:t>Usually,</w:t>
            </w:r>
            <w:r w:rsidR="00367E1B" w:rsidRPr="00BD570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the discrete return is used for calculating the return of a portfolio (</w:t>
            </w:r>
            <w:proofErr w:type="gramStart"/>
            <w:r w:rsidR="00367E1B" w:rsidRPr="00BD570F">
              <w:rPr>
                <w:rFonts w:ascii="Arial" w:hAnsi="Arial" w:cs="Arial"/>
                <w:bCs/>
                <w:sz w:val="20"/>
                <w:szCs w:val="20"/>
                <w:lang w:val="en-US"/>
              </w:rPr>
              <w:t>i.e.</w:t>
            </w:r>
            <w:proofErr w:type="gramEnd"/>
            <w:r w:rsidR="00367E1B" w:rsidRPr="00BD570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multiple assets) and when choosing the different weights of assets in a portfolio. </w:t>
            </w:r>
          </w:p>
          <w:p w14:paraId="4A31FA45" w14:textId="70A30E40" w:rsidR="00A37D56" w:rsidRPr="00BD570F" w:rsidRDefault="00367E1B" w:rsidP="00367E1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bCs/>
                <w:sz w:val="20"/>
                <w:szCs w:val="20"/>
                <w:lang w:val="en-US"/>
              </w:rPr>
              <w:lastRenderedPageBreak/>
              <w:t>Log returns are used when returns are aggregated across time and when comparing investment horizons for the same asset.</w:t>
            </w:r>
          </w:p>
        </w:tc>
        <w:tc>
          <w:tcPr>
            <w:tcW w:w="992" w:type="dxa"/>
          </w:tcPr>
          <w:p w14:paraId="7A5B000E" w14:textId="77777777" w:rsidR="00B3111E" w:rsidRPr="00BD570F" w:rsidRDefault="00B3111E" w:rsidP="00D306B1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BD570F" w:rsidRPr="00930169" w14:paraId="2C8CE0E5" w14:textId="77777777" w:rsidTr="008823B6">
        <w:trPr>
          <w:trHeight w:val="340"/>
        </w:trPr>
        <w:tc>
          <w:tcPr>
            <w:tcW w:w="2689" w:type="dxa"/>
            <w:shd w:val="clear" w:color="auto" w:fill="auto"/>
          </w:tcPr>
          <w:p w14:paraId="51B6B928" w14:textId="6A4B3E75" w:rsidR="00E9026F" w:rsidRDefault="00E9026F" w:rsidP="00670E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0E509E" w:rsidRPr="00262BCE"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  <w:p w14:paraId="63A7FE5F" w14:textId="567530FA" w:rsidR="000F52A9" w:rsidRPr="00262BCE" w:rsidRDefault="000F52A9" w:rsidP="00670E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Investment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value</w:t>
            </w:r>
            <w:proofErr w:type="spellEnd"/>
          </w:p>
          <w:p w14:paraId="5F25F0C7" w14:textId="77777777" w:rsidR="000E509E" w:rsidRDefault="00262BCE" w:rsidP="00E902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E9026F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C1DA26E" w14:textId="0FA59A87" w:rsidR="00E9026F" w:rsidRPr="00262BCE" w:rsidRDefault="00E9026F" w:rsidP="00E902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3E329500" w14:textId="062FC908" w:rsidR="00A37D56" w:rsidRPr="00BD570F" w:rsidRDefault="00D97FF5" w:rsidP="00A37D56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At end the of July 2021 the investment would be worth EUR </w:t>
            </w:r>
            <w:r w:rsidR="00AB6D74">
              <w:rPr>
                <w:rFonts w:ascii="Arial" w:hAnsi="Arial" w:cs="Arial"/>
                <w:bCs/>
                <w:sz w:val="20"/>
                <w:szCs w:val="20"/>
                <w:lang w:val="en-US"/>
              </w:rPr>
              <w:t>814.91</w:t>
            </w:r>
            <w:r w:rsidR="00BD5FD5" w:rsidRPr="00BD570F">
              <w:rPr>
                <w:rFonts w:ascii="Arial" w:hAnsi="Arial" w:cs="Arial"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992" w:type="dxa"/>
          </w:tcPr>
          <w:p w14:paraId="358AE556" w14:textId="77777777" w:rsidR="00B3111E" w:rsidRPr="00BD570F" w:rsidRDefault="00B3111E" w:rsidP="00D306B1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BD570F" w:rsidRPr="00930169" w14:paraId="4E2785C5" w14:textId="77777777" w:rsidTr="008823B6">
        <w:trPr>
          <w:trHeight w:val="340"/>
        </w:trPr>
        <w:tc>
          <w:tcPr>
            <w:tcW w:w="2689" w:type="dxa"/>
          </w:tcPr>
          <w:p w14:paraId="131542BA" w14:textId="54DEE2B0" w:rsidR="00D306B1" w:rsidRPr="00262BCE" w:rsidRDefault="000657AB" w:rsidP="00454B3E">
            <w:pPr>
              <w:pStyle w:val="Listenabsatz"/>
              <w:numPr>
                <w:ilvl w:val="0"/>
                <w:numId w:val="4"/>
              </w:numPr>
              <w:ind w:left="306" w:hanging="30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Diversification Effect</w:t>
            </w:r>
          </w:p>
          <w:p w14:paraId="7FCF8A03" w14:textId="46E3B4DE" w:rsidR="00454B3E" w:rsidRDefault="00454B3E" w:rsidP="00454B3E">
            <w:pPr>
              <w:rPr>
                <w:rFonts w:ascii="Arial" w:hAnsi="Arial" w:cs="Arial"/>
                <w:sz w:val="20"/>
                <w:szCs w:val="20"/>
              </w:rPr>
            </w:pPr>
            <w:r w:rsidRPr="00262BCE">
              <w:rPr>
                <w:rFonts w:ascii="Arial" w:hAnsi="Arial" w:cs="Arial"/>
                <w:sz w:val="20"/>
                <w:szCs w:val="20"/>
              </w:rPr>
              <w:t>a)</w:t>
            </w:r>
          </w:p>
          <w:p w14:paraId="289E87BC" w14:textId="037C1D3D" w:rsidR="008D7DB8" w:rsidRPr="00262BCE" w:rsidRDefault="008D7DB8" w:rsidP="00454B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Diversification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73111">
              <w:rPr>
                <w:rFonts w:ascii="Arial" w:hAnsi="Arial" w:cs="Arial"/>
                <w:sz w:val="20"/>
                <w:szCs w:val="20"/>
              </w:rPr>
              <w:t>using</w:t>
            </w:r>
            <w:proofErr w:type="spellEnd"/>
            <w:r w:rsidR="00D7311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73111">
              <w:rPr>
                <w:rFonts w:ascii="Arial" w:hAnsi="Arial" w:cs="Arial"/>
                <w:sz w:val="20"/>
                <w:szCs w:val="20"/>
              </w:rPr>
              <w:t>two</w:t>
            </w:r>
            <w:proofErr w:type="spellEnd"/>
            <w:r w:rsidR="00D7311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73111">
              <w:rPr>
                <w:rFonts w:ascii="Arial" w:hAnsi="Arial" w:cs="Arial"/>
                <w:sz w:val="20"/>
                <w:szCs w:val="20"/>
              </w:rPr>
              <w:t>stocks</w:t>
            </w:r>
            <w:proofErr w:type="spellEnd"/>
          </w:p>
          <w:p w14:paraId="44C6BA68" w14:textId="77777777" w:rsidR="00262BCE" w:rsidRDefault="00262BCE" w:rsidP="00454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A3732B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8FE20E6" w14:textId="127F9D6B" w:rsidR="004B6496" w:rsidRPr="00262BCE" w:rsidRDefault="004B6496" w:rsidP="00454B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27AB2431" w14:textId="4D8CB5CE" w:rsidR="008F300D" w:rsidRDefault="008F300D" w:rsidP="008F300D">
            <w:pPr>
              <w:rPr>
                <w:rFonts w:ascii="Arial" w:hAnsi="Arial" w:cs="Arial"/>
                <w:sz w:val="20"/>
                <w:szCs w:val="20"/>
              </w:rPr>
            </w:pP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When looking purely for diversification (regardless of any implies on return) the idea is to reduce the portfolio variance. </w:t>
            </w:r>
            <w:proofErr w:type="spellStart"/>
            <w:r w:rsidRPr="008F300D">
              <w:rPr>
                <w:rFonts w:ascii="Arial" w:hAnsi="Arial" w:cs="Arial"/>
                <w:sz w:val="20"/>
                <w:szCs w:val="20"/>
              </w:rPr>
              <w:t>Given</w:t>
            </w:r>
            <w:proofErr w:type="spellEnd"/>
            <w:r w:rsidRPr="008F300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F300D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8F300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F300D">
              <w:rPr>
                <w:rFonts w:ascii="Arial" w:hAnsi="Arial" w:cs="Arial"/>
                <w:sz w:val="20"/>
                <w:szCs w:val="20"/>
              </w:rPr>
              <w:t>portfolio</w:t>
            </w:r>
            <w:proofErr w:type="spellEnd"/>
            <w:r w:rsidRPr="008F300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F300D">
              <w:rPr>
                <w:rFonts w:ascii="Arial" w:hAnsi="Arial" w:cs="Arial"/>
                <w:sz w:val="20"/>
                <w:szCs w:val="20"/>
              </w:rPr>
              <w:t>variance</w:t>
            </w:r>
            <w:proofErr w:type="spellEnd"/>
            <w:r w:rsidRPr="008F300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D7F60">
              <w:rPr>
                <w:rFonts w:ascii="Arial" w:hAnsi="Arial" w:cs="Arial"/>
                <w:sz w:val="20"/>
                <w:szCs w:val="20"/>
              </w:rPr>
              <w:t xml:space="preserve">in </w:t>
            </w:r>
            <w:proofErr w:type="spellStart"/>
            <w:r w:rsidR="00FD7F60">
              <w:rPr>
                <w:rFonts w:ascii="Arial" w:hAnsi="Arial" w:cs="Arial"/>
                <w:sz w:val="20"/>
                <w:szCs w:val="20"/>
              </w:rPr>
              <w:t>this</w:t>
            </w:r>
            <w:proofErr w:type="spellEnd"/>
            <w:r w:rsidR="00FD7F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D7F60">
              <w:rPr>
                <w:rFonts w:ascii="Arial" w:hAnsi="Arial" w:cs="Arial"/>
                <w:sz w:val="20"/>
                <w:szCs w:val="20"/>
              </w:rPr>
              <w:t>case</w:t>
            </w:r>
            <w:proofErr w:type="spellEnd"/>
            <w:r w:rsidR="00FD7F6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F300D">
              <w:rPr>
                <w:rFonts w:ascii="Arial" w:hAnsi="Arial" w:cs="Arial"/>
                <w:sz w:val="20"/>
                <w:szCs w:val="20"/>
              </w:rPr>
              <w:t>is</w:t>
            </w:r>
            <w:proofErr w:type="spellEnd"/>
            <w:r w:rsidRPr="008F300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F300D">
              <w:rPr>
                <w:rFonts w:ascii="Arial" w:hAnsi="Arial" w:cs="Arial"/>
                <w:sz w:val="20"/>
                <w:szCs w:val="20"/>
              </w:rPr>
              <w:t>defin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8F300D">
              <w:rPr>
                <w:rFonts w:ascii="Arial" w:hAnsi="Arial" w:cs="Arial"/>
                <w:sz w:val="20"/>
                <w:szCs w:val="20"/>
              </w:rPr>
              <w:t>d</w:t>
            </w:r>
            <w:proofErr w:type="spellEnd"/>
            <w:r w:rsidRPr="008F300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F300D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</w:p>
          <w:p w14:paraId="1FC25E19" w14:textId="77777777" w:rsidR="00BD5FD5" w:rsidRDefault="00BD5FD5" w:rsidP="008F300D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C3AF27" w14:textId="33C2A68C" w:rsidR="008F300D" w:rsidRPr="008F300D" w:rsidRDefault="008F300D" w:rsidP="008F300D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Var</m:t>
                </m:r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R</m:t>
                        </m: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</w:rPr>
                  <m:t> = 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σ</m:t>
                    </m: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11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> + 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Arial"/>
                    <w:sz w:val="20"/>
                    <w:szCs w:val="20"/>
                  </w:rPr>
                  <m:t> 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> + 2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ω</m:t>
                    </m: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> 2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ω</m:t>
                    </m: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> 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> </m:t>
                </m:r>
              </m:oMath>
            </m:oMathPara>
          </w:p>
          <w:p w14:paraId="51969E54" w14:textId="77777777" w:rsidR="008F300D" w:rsidRDefault="008F300D" w:rsidP="008F300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40BAD9" w14:textId="0A9628A8" w:rsidR="00D744D3" w:rsidRPr="00BD570F" w:rsidRDefault="008F300D" w:rsidP="008F300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the </w:t>
            </w:r>
            <w:r w:rsidR="002C55EB" w:rsidRPr="00BD570F">
              <w:rPr>
                <w:rFonts w:ascii="Arial" w:hAnsi="Arial" w:cs="Arial"/>
                <w:sz w:val="20"/>
                <w:szCs w:val="20"/>
                <w:lang w:val="en-US"/>
              </w:rPr>
              <w:t>diversification</w:t>
            </w: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 benefit increases with decreasing </w:t>
            </w:r>
            <w:r w:rsidR="00777B1B">
              <w:rPr>
                <w:rFonts w:ascii="Arial" w:hAnsi="Arial" w:cs="Arial"/>
                <w:sz w:val="20"/>
                <w:szCs w:val="20"/>
                <w:lang w:val="en-US"/>
              </w:rPr>
              <w:t>covariance</w:t>
            </w: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 of </w:t>
            </w:r>
            <w:r w:rsidR="002C55EB"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the </w:t>
            </w: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>two assets</w:t>
            </w:r>
            <w:r w:rsidR="002C55EB" w:rsidRPr="00BD570F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 Therefore, to get the highest </w:t>
            </w:r>
            <w:r w:rsidR="002C55EB" w:rsidRPr="00BD570F">
              <w:rPr>
                <w:rFonts w:ascii="Arial" w:hAnsi="Arial" w:cs="Arial"/>
                <w:sz w:val="20"/>
                <w:szCs w:val="20"/>
                <w:lang w:val="en-US"/>
              </w:rPr>
              <w:t>diversification</w:t>
            </w: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 benefit an investor should choose stocks </w:t>
            </w:r>
            <w:r w:rsidR="00777B1B">
              <w:rPr>
                <w:rFonts w:ascii="Arial" w:hAnsi="Arial" w:cs="Arial"/>
                <w:sz w:val="20"/>
                <w:szCs w:val="20"/>
                <w:lang w:val="en-US"/>
              </w:rPr>
              <w:t>Henkel</w:t>
            </w: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 and E_ON as they have the lowest </w:t>
            </w:r>
            <w:r w:rsidR="00777B1B">
              <w:rPr>
                <w:rFonts w:ascii="Arial" w:hAnsi="Arial" w:cs="Arial"/>
                <w:sz w:val="20"/>
                <w:szCs w:val="20"/>
                <w:lang w:val="en-US"/>
              </w:rPr>
              <w:t>covariance</w:t>
            </w: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 out of the 10 stocks.</w:t>
            </w:r>
            <w:r w:rsidR="002C55EB"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 T</w:t>
            </w: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he worst </w:t>
            </w:r>
            <w:r w:rsidR="002C55EB" w:rsidRPr="00BD570F">
              <w:rPr>
                <w:rFonts w:ascii="Arial" w:hAnsi="Arial" w:cs="Arial"/>
                <w:sz w:val="20"/>
                <w:szCs w:val="20"/>
                <w:lang w:val="en-US"/>
              </w:rPr>
              <w:t>diversification</w:t>
            </w: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 benefit is achieved by only investing in a single stock (as </w:t>
            </w:r>
            <w:r w:rsidR="00777B1B">
              <w:rPr>
                <w:rFonts w:ascii="Arial" w:hAnsi="Arial" w:cs="Arial"/>
                <w:sz w:val="20"/>
                <w:szCs w:val="20"/>
                <w:lang w:val="en-US"/>
              </w:rPr>
              <w:t>this would result in the highest covariance)</w:t>
            </w: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. However, given two stocks need to be picked, the worst </w:t>
            </w:r>
            <w:r w:rsidR="002C55EB" w:rsidRPr="00BD570F">
              <w:rPr>
                <w:rFonts w:ascii="Arial" w:hAnsi="Arial" w:cs="Arial"/>
                <w:sz w:val="20"/>
                <w:szCs w:val="20"/>
                <w:lang w:val="en-US"/>
              </w:rPr>
              <w:t>diversification</w:t>
            </w: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 effect is achieved with investing into RWE and </w:t>
            </w:r>
            <w:r w:rsidR="00777B1B">
              <w:rPr>
                <w:rFonts w:ascii="Arial" w:hAnsi="Arial" w:cs="Arial"/>
                <w:sz w:val="20"/>
                <w:szCs w:val="20"/>
                <w:lang w:val="en-US"/>
              </w:rPr>
              <w:t>Henkel</w:t>
            </w: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 given they have the highest </w:t>
            </w:r>
            <w:r w:rsidR="00777B1B">
              <w:rPr>
                <w:rFonts w:ascii="Arial" w:hAnsi="Arial" w:cs="Arial"/>
                <w:sz w:val="20"/>
                <w:szCs w:val="20"/>
                <w:lang w:val="en-US"/>
              </w:rPr>
              <w:t>covariance</w:t>
            </w: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992" w:type="dxa"/>
          </w:tcPr>
          <w:p w14:paraId="064CDF84" w14:textId="77777777" w:rsidR="00D306B1" w:rsidRPr="00BD570F" w:rsidRDefault="00D306B1" w:rsidP="00D306B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D570F" w:rsidRPr="00262BCE" w14:paraId="675E04FB" w14:textId="77777777" w:rsidTr="008823B6">
        <w:trPr>
          <w:trHeight w:val="340"/>
        </w:trPr>
        <w:tc>
          <w:tcPr>
            <w:tcW w:w="2689" w:type="dxa"/>
          </w:tcPr>
          <w:p w14:paraId="117E57AA" w14:textId="4B7A6EB9" w:rsidR="003E5228" w:rsidRPr="00BD570F" w:rsidRDefault="00454B3E" w:rsidP="00A401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b) </w:t>
            </w:r>
          </w:p>
          <w:p w14:paraId="32F68693" w14:textId="6E1EF4F9" w:rsidR="00D73111" w:rsidRPr="00BD570F" w:rsidRDefault="00044CFE" w:rsidP="00A401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>Diversification and portfolio volatility</w:t>
            </w:r>
          </w:p>
          <w:p w14:paraId="67CB16DC" w14:textId="66194C27" w:rsidR="00262BCE" w:rsidRPr="00BD570F" w:rsidRDefault="00262BCE" w:rsidP="00A401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="00A3732B" w:rsidRPr="00BD570F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 xml:space="preserve"> points)</w:t>
            </w:r>
          </w:p>
          <w:p w14:paraId="5C3DDB77" w14:textId="11A5D3E4" w:rsidR="00454B3E" w:rsidRPr="00BD570F" w:rsidRDefault="00454B3E" w:rsidP="00A401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14:paraId="2895094D" w14:textId="365B7FCE" w:rsidR="00BD570F" w:rsidRDefault="00BD570F" w:rsidP="00D306B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Stocks based on return standard deviation from high to low:</w:t>
            </w:r>
          </w:p>
          <w:p w14:paraId="6F42BFF3" w14:textId="77777777" w:rsidR="00366226" w:rsidRDefault="00366226" w:rsidP="00D306B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D7AB9A0" w14:textId="36B06810" w:rsidR="00BD570F" w:rsidRDefault="00BD570F" w:rsidP="00D306B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C396CA2" wp14:editId="13027370">
                  <wp:extent cx="923453" cy="848340"/>
                  <wp:effectExtent l="19050" t="19050" r="10160" b="2857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612" cy="86869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654BFB" w14:textId="6EE25A69" w:rsidR="00BD570F" w:rsidRPr="00BD570F" w:rsidRDefault="00BD570F" w:rsidP="00D306B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359"/>
              <w:gridCol w:w="359"/>
              <w:gridCol w:w="359"/>
              <w:gridCol w:w="359"/>
              <w:gridCol w:w="359"/>
              <w:gridCol w:w="359"/>
              <w:gridCol w:w="359"/>
              <w:gridCol w:w="359"/>
              <w:gridCol w:w="359"/>
              <w:gridCol w:w="359"/>
              <w:gridCol w:w="359"/>
            </w:tblGrid>
            <w:tr w:rsidR="00BD570F" w14:paraId="0B01361B" w14:textId="144EDEBE" w:rsidTr="00BD570F">
              <w:tc>
                <w:tcPr>
                  <w:tcW w:w="494" w:type="dxa"/>
                  <w:shd w:val="clear" w:color="auto" w:fill="8DB3E2" w:themeFill="text2" w:themeFillTint="66"/>
                </w:tcPr>
                <w:p w14:paraId="6A1D106D" w14:textId="50912687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Nr. Of stock</w:t>
                  </w:r>
                </w:p>
              </w:tc>
              <w:tc>
                <w:tcPr>
                  <w:tcW w:w="495" w:type="dxa"/>
                  <w:shd w:val="clear" w:color="auto" w:fill="8DB3E2" w:themeFill="text2" w:themeFillTint="66"/>
                </w:tcPr>
                <w:p w14:paraId="780C0894" w14:textId="6B7FE80D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1</w:t>
                  </w:r>
                </w:p>
              </w:tc>
              <w:tc>
                <w:tcPr>
                  <w:tcW w:w="495" w:type="dxa"/>
                  <w:shd w:val="clear" w:color="auto" w:fill="8DB3E2" w:themeFill="text2" w:themeFillTint="66"/>
                </w:tcPr>
                <w:p w14:paraId="00B1FBF9" w14:textId="24F620DA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2</w:t>
                  </w:r>
                </w:p>
              </w:tc>
              <w:tc>
                <w:tcPr>
                  <w:tcW w:w="495" w:type="dxa"/>
                  <w:shd w:val="clear" w:color="auto" w:fill="8DB3E2" w:themeFill="text2" w:themeFillTint="66"/>
                </w:tcPr>
                <w:p w14:paraId="471C29A4" w14:textId="115714DA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3</w:t>
                  </w:r>
                </w:p>
              </w:tc>
              <w:tc>
                <w:tcPr>
                  <w:tcW w:w="495" w:type="dxa"/>
                  <w:shd w:val="clear" w:color="auto" w:fill="8DB3E2" w:themeFill="text2" w:themeFillTint="66"/>
                </w:tcPr>
                <w:p w14:paraId="1E765C89" w14:textId="54C7B7E0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4</w:t>
                  </w:r>
                </w:p>
              </w:tc>
              <w:tc>
                <w:tcPr>
                  <w:tcW w:w="495" w:type="dxa"/>
                  <w:shd w:val="clear" w:color="auto" w:fill="8DB3E2" w:themeFill="text2" w:themeFillTint="66"/>
                </w:tcPr>
                <w:p w14:paraId="3DC8BE8C" w14:textId="0CE5ED8F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5</w:t>
                  </w:r>
                </w:p>
              </w:tc>
              <w:tc>
                <w:tcPr>
                  <w:tcW w:w="495" w:type="dxa"/>
                  <w:shd w:val="clear" w:color="auto" w:fill="8DB3E2" w:themeFill="text2" w:themeFillTint="66"/>
                </w:tcPr>
                <w:p w14:paraId="5942E556" w14:textId="6BD750FA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6</w:t>
                  </w:r>
                </w:p>
              </w:tc>
              <w:tc>
                <w:tcPr>
                  <w:tcW w:w="495" w:type="dxa"/>
                  <w:shd w:val="clear" w:color="auto" w:fill="8DB3E2" w:themeFill="text2" w:themeFillTint="66"/>
                </w:tcPr>
                <w:p w14:paraId="76650455" w14:textId="3E4A7258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7</w:t>
                  </w:r>
                </w:p>
              </w:tc>
              <w:tc>
                <w:tcPr>
                  <w:tcW w:w="495" w:type="dxa"/>
                  <w:shd w:val="clear" w:color="auto" w:fill="8DB3E2" w:themeFill="text2" w:themeFillTint="66"/>
                </w:tcPr>
                <w:p w14:paraId="1C6426E5" w14:textId="4911669F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8</w:t>
                  </w:r>
                </w:p>
              </w:tc>
              <w:tc>
                <w:tcPr>
                  <w:tcW w:w="495" w:type="dxa"/>
                  <w:shd w:val="clear" w:color="auto" w:fill="8DB3E2" w:themeFill="text2" w:themeFillTint="66"/>
                </w:tcPr>
                <w:p w14:paraId="4934D5F7" w14:textId="3B9AB4A2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9</w:t>
                  </w:r>
                </w:p>
              </w:tc>
              <w:tc>
                <w:tcPr>
                  <w:tcW w:w="495" w:type="dxa"/>
                  <w:shd w:val="clear" w:color="auto" w:fill="8DB3E2" w:themeFill="text2" w:themeFillTint="66"/>
                </w:tcPr>
                <w:p w14:paraId="30C3E71B" w14:textId="492412F5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10</w:t>
                  </w:r>
                </w:p>
              </w:tc>
            </w:tr>
            <w:tr w:rsidR="00BD570F" w14:paraId="08AB32D2" w14:textId="6685C69B" w:rsidTr="00BD570F">
              <w:tc>
                <w:tcPr>
                  <w:tcW w:w="494" w:type="dxa"/>
                  <w:shd w:val="clear" w:color="auto" w:fill="8DB3E2" w:themeFill="text2" w:themeFillTint="66"/>
                </w:tcPr>
                <w:p w14:paraId="48856753" w14:textId="68F5272C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Mean St. Dev.:</w:t>
                  </w:r>
                </w:p>
              </w:tc>
              <w:tc>
                <w:tcPr>
                  <w:tcW w:w="495" w:type="dxa"/>
                </w:tcPr>
                <w:p w14:paraId="40D9B9DD" w14:textId="266E8624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0.123</w:t>
                  </w:r>
                </w:p>
              </w:tc>
              <w:tc>
                <w:tcPr>
                  <w:tcW w:w="495" w:type="dxa"/>
                </w:tcPr>
                <w:p w14:paraId="7BBC1D89" w14:textId="17D0E629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0.112</w:t>
                  </w:r>
                </w:p>
              </w:tc>
              <w:tc>
                <w:tcPr>
                  <w:tcW w:w="495" w:type="dxa"/>
                </w:tcPr>
                <w:p w14:paraId="7AC61132" w14:textId="54B2B894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0.108</w:t>
                  </w:r>
                </w:p>
              </w:tc>
              <w:tc>
                <w:tcPr>
                  <w:tcW w:w="495" w:type="dxa"/>
                </w:tcPr>
                <w:p w14:paraId="1B8E91E5" w14:textId="1FFE0D52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0.105</w:t>
                  </w:r>
                </w:p>
              </w:tc>
              <w:tc>
                <w:tcPr>
                  <w:tcW w:w="495" w:type="dxa"/>
                </w:tcPr>
                <w:p w14:paraId="477FB2DE" w14:textId="24E15B15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0.103</w:t>
                  </w:r>
                </w:p>
              </w:tc>
              <w:tc>
                <w:tcPr>
                  <w:tcW w:w="495" w:type="dxa"/>
                </w:tcPr>
                <w:p w14:paraId="08FDBCBA" w14:textId="0F500477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0.101</w:t>
                  </w:r>
                </w:p>
              </w:tc>
              <w:tc>
                <w:tcPr>
                  <w:tcW w:w="495" w:type="dxa"/>
                </w:tcPr>
                <w:p w14:paraId="093DE964" w14:textId="69D081EA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0.098</w:t>
                  </w:r>
                </w:p>
              </w:tc>
              <w:tc>
                <w:tcPr>
                  <w:tcW w:w="495" w:type="dxa"/>
                </w:tcPr>
                <w:p w14:paraId="272F4F30" w14:textId="4C8B8AB7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0.096</w:t>
                  </w:r>
                </w:p>
              </w:tc>
              <w:tc>
                <w:tcPr>
                  <w:tcW w:w="495" w:type="dxa"/>
                </w:tcPr>
                <w:p w14:paraId="5CFD9E35" w14:textId="525AB932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0.094</w:t>
                  </w:r>
                </w:p>
              </w:tc>
              <w:tc>
                <w:tcPr>
                  <w:tcW w:w="495" w:type="dxa"/>
                </w:tcPr>
                <w:p w14:paraId="3521134F" w14:textId="35F635A1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0.091</w:t>
                  </w:r>
                </w:p>
              </w:tc>
            </w:tr>
            <w:tr w:rsidR="00BD570F" w14:paraId="4C6721FD" w14:textId="50EE7FDC" w:rsidTr="00BD570F">
              <w:tc>
                <w:tcPr>
                  <w:tcW w:w="494" w:type="dxa"/>
                  <w:shd w:val="clear" w:color="auto" w:fill="8DB3E2" w:themeFill="text2" w:themeFillTint="66"/>
                </w:tcPr>
                <w:p w14:paraId="2AC9546B" w14:textId="6C715EBE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PF St. Dev.:</w:t>
                  </w:r>
                </w:p>
              </w:tc>
              <w:tc>
                <w:tcPr>
                  <w:tcW w:w="495" w:type="dxa"/>
                </w:tcPr>
                <w:p w14:paraId="08B85435" w14:textId="5F10967B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0.123</w:t>
                  </w:r>
                </w:p>
              </w:tc>
              <w:tc>
                <w:tcPr>
                  <w:tcW w:w="495" w:type="dxa"/>
                </w:tcPr>
                <w:p w14:paraId="228325BC" w14:textId="0A7574C9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0.094</w:t>
                  </w:r>
                </w:p>
              </w:tc>
              <w:tc>
                <w:tcPr>
                  <w:tcW w:w="495" w:type="dxa"/>
                </w:tcPr>
                <w:p w14:paraId="1C4B64C8" w14:textId="5B547A9F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0.090</w:t>
                  </w:r>
                </w:p>
              </w:tc>
              <w:tc>
                <w:tcPr>
                  <w:tcW w:w="495" w:type="dxa"/>
                </w:tcPr>
                <w:p w14:paraId="13660B13" w14:textId="0247AECB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0.087</w:t>
                  </w:r>
                </w:p>
              </w:tc>
              <w:tc>
                <w:tcPr>
                  <w:tcW w:w="495" w:type="dxa"/>
                </w:tcPr>
                <w:p w14:paraId="4CC39724" w14:textId="54BDF00A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0.083</w:t>
                  </w:r>
                </w:p>
              </w:tc>
              <w:tc>
                <w:tcPr>
                  <w:tcW w:w="495" w:type="dxa"/>
                </w:tcPr>
                <w:p w14:paraId="068A259C" w14:textId="1AD9E7BB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0.077</w:t>
                  </w:r>
                </w:p>
              </w:tc>
              <w:tc>
                <w:tcPr>
                  <w:tcW w:w="495" w:type="dxa"/>
                </w:tcPr>
                <w:p w14:paraId="7CD189DD" w14:textId="0214192E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0.075</w:t>
                  </w:r>
                </w:p>
              </w:tc>
              <w:tc>
                <w:tcPr>
                  <w:tcW w:w="495" w:type="dxa"/>
                </w:tcPr>
                <w:p w14:paraId="0DA2EC55" w14:textId="2B87D2B4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0.074</w:t>
                  </w:r>
                </w:p>
              </w:tc>
              <w:tc>
                <w:tcPr>
                  <w:tcW w:w="495" w:type="dxa"/>
                </w:tcPr>
                <w:p w14:paraId="3E5134E6" w14:textId="60857EE6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0.071</w:t>
                  </w:r>
                </w:p>
              </w:tc>
              <w:tc>
                <w:tcPr>
                  <w:tcW w:w="495" w:type="dxa"/>
                </w:tcPr>
                <w:p w14:paraId="68AC03AB" w14:textId="5CDDD870" w:rsidR="00BD570F" w:rsidRPr="00BD570F" w:rsidRDefault="00BD570F" w:rsidP="00D306B1">
                  <w:pP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</w:pPr>
                  <w:r w:rsidRPr="00BD570F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0.069</w:t>
                  </w:r>
                </w:p>
              </w:tc>
            </w:tr>
          </w:tbl>
          <w:p w14:paraId="4C194FE7" w14:textId="05902F20" w:rsidR="00BD5FD5" w:rsidRPr="00262BCE" w:rsidRDefault="00BD5FD5" w:rsidP="00D306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021B2B6F" w14:textId="77777777" w:rsidR="00A4011C" w:rsidRPr="00262BCE" w:rsidRDefault="00A4011C" w:rsidP="00D306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570F" w:rsidRPr="00930169" w14:paraId="5FCE5932" w14:textId="77777777" w:rsidTr="008823B6">
        <w:trPr>
          <w:trHeight w:val="340"/>
        </w:trPr>
        <w:tc>
          <w:tcPr>
            <w:tcW w:w="2689" w:type="dxa"/>
          </w:tcPr>
          <w:p w14:paraId="2770CB0B" w14:textId="0B650761" w:rsidR="00D306B1" w:rsidRPr="00BD570F" w:rsidRDefault="00454B3E" w:rsidP="008F35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>c)</w:t>
            </w:r>
          </w:p>
          <w:p w14:paraId="4BCB2240" w14:textId="3F47BFE4" w:rsidR="00044CFE" w:rsidRPr="00BD570F" w:rsidRDefault="00044CFE" w:rsidP="008F35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sz w:val="20"/>
                <w:szCs w:val="20"/>
                <w:lang w:val="en-US"/>
              </w:rPr>
              <w:t>Visualiz</w:t>
            </w:r>
            <w:r w:rsidR="002F0DF5" w:rsidRPr="00BD570F">
              <w:rPr>
                <w:rFonts w:ascii="Arial" w:hAnsi="Arial" w:cs="Arial"/>
                <w:sz w:val="20"/>
                <w:szCs w:val="20"/>
                <w:lang w:val="en-US"/>
              </w:rPr>
              <w:t>ation and interpretation of b)</w:t>
            </w:r>
          </w:p>
          <w:p w14:paraId="1C75EEF8" w14:textId="045DDF8E" w:rsidR="00262BCE" w:rsidRPr="00262BCE" w:rsidRDefault="00262BCE" w:rsidP="008F35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A3732B">
              <w:rPr>
                <w:rFonts w:ascii="Arial" w:hAnsi="Arial" w:cs="Arial"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CF21237" w14:textId="16732214" w:rsidR="0099228D" w:rsidRPr="00262BCE" w:rsidRDefault="0099228D" w:rsidP="008F35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19BB78C9" w14:textId="4EB3727D" w:rsidR="001870B1" w:rsidRDefault="001870B1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725279" w14:textId="553C053E" w:rsidR="00366226" w:rsidRDefault="00366226" w:rsidP="00366226">
            <w:r>
              <w:rPr>
                <w:rFonts w:ascii="Arial" w:hAnsi="Arial" w:cs="Arial"/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7C9B860B" wp14:editId="7DB57BCE">
                  <wp:simplePos x="0" y="0"/>
                  <wp:positionH relativeFrom="column">
                    <wp:posOffset>20425</wp:posOffset>
                  </wp:positionH>
                  <wp:positionV relativeFrom="paragraph">
                    <wp:posOffset>27270</wp:posOffset>
                  </wp:positionV>
                  <wp:extent cx="2532184" cy="1672400"/>
                  <wp:effectExtent l="0" t="0" r="0" b="0"/>
                  <wp:wrapNone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0917" cy="1684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B1869A5" w14:textId="0AB54A3C" w:rsidR="00BD5FD5" w:rsidRDefault="00BD5FD5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212B721" w14:textId="3EA0DE1A" w:rsidR="00BD5FD5" w:rsidRDefault="00BD5FD5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C757445" w14:textId="0B34AB9A" w:rsidR="00366226" w:rsidRDefault="00366226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EA7D70F" w14:textId="07F2496C" w:rsidR="00366226" w:rsidRDefault="00366226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F76828" w14:textId="5263C203" w:rsidR="00366226" w:rsidRDefault="00366226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16D41D" w14:textId="7ED4535E" w:rsidR="00366226" w:rsidRDefault="00366226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28F4080" w14:textId="3CAA3203" w:rsidR="00366226" w:rsidRDefault="00366226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84D69D0" w14:textId="7CE150C3" w:rsidR="00366226" w:rsidRDefault="00366226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E440DF" w14:textId="5199AAEA" w:rsidR="00366226" w:rsidRDefault="00366226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3EAF3F" w14:textId="72D5CE5D" w:rsidR="00366226" w:rsidRDefault="00366226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5AB4C2" w14:textId="77777777" w:rsidR="00366226" w:rsidRDefault="00366226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9791B1D" w14:textId="68B5224F" w:rsidR="008815BD" w:rsidRDefault="00BD570F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BD570F">
              <w:rPr>
                <w:rFonts w:ascii="Arial" w:hAnsi="Arial" w:cs="Arial"/>
                <w:bCs/>
                <w:sz w:val="20"/>
                <w:szCs w:val="20"/>
                <w:lang w:val="en-US"/>
              </w:rPr>
              <w:lastRenderedPageBreak/>
              <w:t xml:space="preserve">The figure shows that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standard deviation of the equally weighted portfolio decreases stronger with increasing number of stocks, compared to the mean standard deviation of its stocks.</w:t>
            </w:r>
            <w:r w:rsidR="0011635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This means that there is less risk, </w:t>
            </w:r>
            <w:proofErr w:type="gramStart"/>
            <w:r w:rsidR="0011635F">
              <w:rPr>
                <w:rFonts w:ascii="Arial" w:hAnsi="Arial" w:cs="Arial"/>
                <w:bCs/>
                <w:sz w:val="20"/>
                <w:szCs w:val="20"/>
                <w:lang w:val="en-US"/>
              </w:rPr>
              <w:t>i.e.</w:t>
            </w:r>
            <w:proofErr w:type="gramEnd"/>
            <w:r w:rsidR="0011635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volatility, associated with the equally weighted portfolio compared to the stocks.</w:t>
            </w:r>
            <w:r w:rsidR="00175590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="008815B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The standard deviation is </w:t>
            </w:r>
            <w:proofErr w:type="gramStart"/>
            <w:r w:rsidR="008815BD">
              <w:rPr>
                <w:rFonts w:ascii="Arial" w:hAnsi="Arial" w:cs="Arial"/>
                <w:bCs/>
                <w:sz w:val="20"/>
                <w:szCs w:val="20"/>
                <w:lang w:val="en-US"/>
              </w:rPr>
              <w:t>lower, since</w:t>
            </w:r>
            <w:proofErr w:type="gramEnd"/>
            <w:r w:rsidR="008815B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the covariance between the stocks cancels out. For clarification we can look at the formula for the variance of the equally weighted portfolio:</w:t>
            </w:r>
          </w:p>
          <w:p w14:paraId="07F22C1C" w14:textId="7092E7DD" w:rsidR="008815BD" w:rsidRDefault="008815BD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4ED6043E" w14:textId="37EDDD01" w:rsidR="008815BD" w:rsidRPr="008815BD" w:rsidRDefault="008815BD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Var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p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bCs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ii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bCs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="Arial"/>
                        <w:bCs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ij</m:t>
                    </m:r>
                  </m:sub>
                </m:sSub>
              </m:oMath>
            </m:oMathPara>
          </w:p>
          <w:p w14:paraId="3B44332D" w14:textId="73201EF2" w:rsidR="008815BD" w:rsidRDefault="008815BD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ii</m:t>
                  </m:r>
                </m:sub>
              </m:sSub>
            </m:oMath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is the average covariance of two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returns.</w:t>
            </w:r>
            <w:proofErr w:type="gramEnd"/>
          </w:p>
          <w:p w14:paraId="45DD3022" w14:textId="77777777" w:rsidR="008815BD" w:rsidRDefault="008815BD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4D0B5C0B" w14:textId="1626F003" w:rsidR="00BD5FD5" w:rsidRDefault="008815BD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Or simply said: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br/>
              <w:t>Portfolio variance = individual variance – covariance of the stocks</w:t>
            </w:r>
          </w:p>
          <w:p w14:paraId="3ED4EC85" w14:textId="098283DC" w:rsidR="008815BD" w:rsidRDefault="008815BD" w:rsidP="00D306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0DB18A38" w14:textId="43CC302F" w:rsidR="00BD5FD5" w:rsidRPr="00BD570F" w:rsidRDefault="008815BD" w:rsidP="00565ABF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Here we can see that the covariance of the stocks, lowers the variance (and therefore the standard deviation) of the equally weighted portfolio.</w:t>
            </w:r>
          </w:p>
        </w:tc>
        <w:tc>
          <w:tcPr>
            <w:tcW w:w="992" w:type="dxa"/>
          </w:tcPr>
          <w:p w14:paraId="6F104FB2" w14:textId="77777777" w:rsidR="00D306B1" w:rsidRPr="00BD570F" w:rsidRDefault="00D306B1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BD570F" w:rsidRPr="00262BCE" w14:paraId="0AC8DB98" w14:textId="77777777" w:rsidTr="008823B6">
        <w:trPr>
          <w:trHeight w:val="340"/>
        </w:trPr>
        <w:tc>
          <w:tcPr>
            <w:tcW w:w="2689" w:type="dxa"/>
          </w:tcPr>
          <w:p w14:paraId="3958BF6C" w14:textId="35219A30" w:rsidR="0099228D" w:rsidRPr="00262BCE" w:rsidRDefault="004E4A0E" w:rsidP="0099228D">
            <w:pPr>
              <w:pStyle w:val="Listenabsatz"/>
              <w:numPr>
                <w:ilvl w:val="0"/>
                <w:numId w:val="4"/>
              </w:numPr>
              <w:ind w:left="306" w:hanging="306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Mean-Variance Frontier</w:t>
            </w:r>
          </w:p>
          <w:p w14:paraId="77682C77" w14:textId="16659B59" w:rsidR="0099228D" w:rsidRDefault="0099228D" w:rsidP="0099228D">
            <w:pPr>
              <w:rPr>
                <w:rFonts w:ascii="Arial" w:hAnsi="Arial" w:cs="Arial"/>
                <w:sz w:val="20"/>
                <w:szCs w:val="20"/>
              </w:rPr>
            </w:pPr>
            <w:r w:rsidRPr="00262BCE">
              <w:rPr>
                <w:rFonts w:ascii="Arial" w:hAnsi="Arial" w:cs="Arial"/>
                <w:sz w:val="20"/>
                <w:szCs w:val="20"/>
              </w:rPr>
              <w:t>a)</w:t>
            </w:r>
          </w:p>
          <w:p w14:paraId="5305634C" w14:textId="4C4EFFF5" w:rsidR="00CE4429" w:rsidRPr="00262BCE" w:rsidRDefault="00CE4429" w:rsidP="0099228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Mean-Volatility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Plot</w:t>
            </w:r>
          </w:p>
          <w:p w14:paraId="2129885E" w14:textId="26DFE723" w:rsidR="0099228D" w:rsidRPr="00262BCE" w:rsidRDefault="00262BCE" w:rsidP="009922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A3732B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8FE95B2" w14:textId="77777777" w:rsidR="0099228D" w:rsidRPr="00262BCE" w:rsidRDefault="0099228D" w:rsidP="0099228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1DFB898" w14:textId="77777777" w:rsidR="0099228D" w:rsidRPr="00262BCE" w:rsidRDefault="0099228D" w:rsidP="0099228D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DCA12C" w14:textId="79C190DF" w:rsidR="0099228D" w:rsidRPr="00262BCE" w:rsidRDefault="0099228D" w:rsidP="009922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41655841" w14:textId="43E98EB9" w:rsidR="00BD5FD5" w:rsidRDefault="00BD5FD5" w:rsidP="00BD5FD5"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4C3C84CC" wp14:editId="009FDA99">
                  <wp:simplePos x="0" y="0"/>
                  <wp:positionH relativeFrom="column">
                    <wp:posOffset>-59962</wp:posOffset>
                  </wp:positionH>
                  <wp:positionV relativeFrom="paragraph">
                    <wp:posOffset>83164</wp:posOffset>
                  </wp:positionV>
                  <wp:extent cx="3742152" cy="1989574"/>
                  <wp:effectExtent l="0" t="0" r="4445" b="0"/>
                  <wp:wrapNone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7558" cy="1992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DB1D90D" w14:textId="246474DF" w:rsidR="00BD5FD5" w:rsidRDefault="00BD5FD5" w:rsidP="00BD5FD5"/>
          <w:p w14:paraId="3CE45FB6" w14:textId="0BFA741E" w:rsidR="00BD5FD5" w:rsidRDefault="00BD5FD5" w:rsidP="00BD5FD5"/>
          <w:p w14:paraId="22454F68" w14:textId="144235C2" w:rsidR="00BD5FD5" w:rsidRDefault="00BD5FD5" w:rsidP="00BD5FD5"/>
          <w:p w14:paraId="4B151D95" w14:textId="041CA943" w:rsidR="00BD5FD5" w:rsidRDefault="00BD5FD5" w:rsidP="00BD5FD5"/>
          <w:p w14:paraId="5A96116E" w14:textId="4A279B9A" w:rsidR="00BD5FD5" w:rsidRDefault="00BD5FD5" w:rsidP="00BD5FD5"/>
          <w:p w14:paraId="6C893956" w14:textId="676982A3" w:rsidR="00BD5FD5" w:rsidRDefault="00BD5FD5" w:rsidP="00BD5FD5"/>
          <w:p w14:paraId="55C5A4B8" w14:textId="1A4D0A34" w:rsidR="00BD5FD5" w:rsidRDefault="00BD5FD5" w:rsidP="00BD5FD5"/>
          <w:p w14:paraId="188D1AD3" w14:textId="784AD163" w:rsidR="00BD5FD5" w:rsidRDefault="00BD5FD5" w:rsidP="00BD5FD5"/>
          <w:p w14:paraId="694FC0C4" w14:textId="33A31E82" w:rsidR="00BD5FD5" w:rsidRDefault="00BD5FD5" w:rsidP="00BD5FD5"/>
          <w:p w14:paraId="13D62C02" w14:textId="77777777" w:rsidR="00BD5FD5" w:rsidRDefault="00BD5FD5" w:rsidP="00BD5FD5"/>
          <w:p w14:paraId="241FEF57" w14:textId="77777777" w:rsidR="0099228D" w:rsidRPr="00262BCE" w:rsidRDefault="0099228D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782DA967" w14:textId="77777777" w:rsidR="0099228D" w:rsidRPr="00262BCE" w:rsidRDefault="0099228D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D570F" w:rsidRPr="00262BCE" w14:paraId="15298B4A" w14:textId="77777777" w:rsidTr="008823B6">
        <w:trPr>
          <w:trHeight w:val="340"/>
        </w:trPr>
        <w:tc>
          <w:tcPr>
            <w:tcW w:w="2689" w:type="dxa"/>
          </w:tcPr>
          <w:p w14:paraId="02CDC8C1" w14:textId="53A56482" w:rsidR="0099228D" w:rsidRDefault="00A3732B" w:rsidP="008F35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011BEB" w:rsidRPr="00262BCE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C813BBF" w14:textId="7C9307C5" w:rsidR="004B6496" w:rsidRPr="00262BCE" w:rsidRDefault="004B6496" w:rsidP="008F35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Efficient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Frontier</w:t>
            </w:r>
            <w:proofErr w:type="spellEnd"/>
          </w:p>
          <w:p w14:paraId="5BCE4024" w14:textId="77777777" w:rsidR="00262BCE" w:rsidRDefault="00262BCE" w:rsidP="008F35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(10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5C0F1CB" w14:textId="2F9E0262" w:rsidR="004B6496" w:rsidRPr="00262BCE" w:rsidRDefault="004B6496" w:rsidP="008F35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1F2F4275" w14:textId="316878BE" w:rsidR="0099228D" w:rsidRDefault="00CE58B3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42C43EB2" wp14:editId="2DD2C4D5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103065</wp:posOffset>
                  </wp:positionV>
                  <wp:extent cx="3742059" cy="1989574"/>
                  <wp:effectExtent l="0" t="0" r="4445" b="0"/>
                  <wp:wrapNone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2059" cy="1989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43F9C42" w14:textId="41388C3B" w:rsidR="00BD5FD5" w:rsidRDefault="00BD5FD5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984248" w14:textId="0890649D" w:rsidR="00BD5FD5" w:rsidRDefault="00BD5FD5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1EBDA40" w14:textId="2187E104" w:rsidR="00BD5FD5" w:rsidRDefault="00BD5FD5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A6072E" w14:textId="48D3B6AA" w:rsidR="00BD5FD5" w:rsidRDefault="00BD5FD5" w:rsidP="00BD5FD5"/>
          <w:p w14:paraId="7D136E26" w14:textId="6D759233" w:rsidR="00BD5FD5" w:rsidRDefault="00BD5FD5" w:rsidP="00BD5FD5"/>
          <w:p w14:paraId="5276AC08" w14:textId="2DB29256" w:rsidR="00BD5FD5" w:rsidRDefault="00BD5FD5" w:rsidP="00BD5FD5"/>
          <w:p w14:paraId="36A4C881" w14:textId="6AACDFD7" w:rsidR="00BD5FD5" w:rsidRDefault="00BD5FD5" w:rsidP="00BD5FD5"/>
          <w:p w14:paraId="0514394A" w14:textId="0839E40B" w:rsidR="00BD5FD5" w:rsidRDefault="00BD5FD5" w:rsidP="00BD5FD5"/>
          <w:p w14:paraId="2FEE35CA" w14:textId="60925E46" w:rsidR="001870B1" w:rsidRDefault="001870B1" w:rsidP="00BD5FD5"/>
          <w:p w14:paraId="6A377FBD" w14:textId="77777777" w:rsidR="001870B1" w:rsidRDefault="001870B1" w:rsidP="00BD5FD5"/>
          <w:p w14:paraId="7C5AD100" w14:textId="23D28357" w:rsidR="00BD5FD5" w:rsidRDefault="00BD5FD5" w:rsidP="00D306B1">
            <w:pPr>
              <w:rPr>
                <w:b/>
              </w:rPr>
            </w:pPr>
          </w:p>
          <w:p w14:paraId="5E055C19" w14:textId="0EAB0D77" w:rsidR="00CE58B3" w:rsidRDefault="00CE58B3" w:rsidP="00D306B1">
            <w:pPr>
              <w:rPr>
                <w:b/>
              </w:rPr>
            </w:pPr>
          </w:p>
          <w:p w14:paraId="533054AA" w14:textId="002CCDB6" w:rsidR="00CE58B3" w:rsidRDefault="00CE58B3" w:rsidP="00D306B1">
            <w:pPr>
              <w:rPr>
                <w:b/>
              </w:rPr>
            </w:pPr>
          </w:p>
          <w:p w14:paraId="51DC6B53" w14:textId="100E2F71" w:rsidR="00CE58B3" w:rsidRDefault="00CE58B3" w:rsidP="00D306B1">
            <w:pPr>
              <w:rPr>
                <w:b/>
              </w:rPr>
            </w:pPr>
          </w:p>
          <w:p w14:paraId="0B3EAD37" w14:textId="6ECABD5E" w:rsidR="00CE58B3" w:rsidRDefault="00CE58B3" w:rsidP="00D306B1">
            <w:pPr>
              <w:rPr>
                <w:b/>
              </w:rPr>
            </w:pPr>
          </w:p>
          <w:p w14:paraId="72CFB528" w14:textId="77777777" w:rsidR="00366226" w:rsidRDefault="00366226" w:rsidP="00D306B1">
            <w:pPr>
              <w:rPr>
                <w:b/>
              </w:rPr>
            </w:pPr>
          </w:p>
          <w:p w14:paraId="3846D502" w14:textId="106678E2" w:rsidR="00CE58B3" w:rsidRDefault="00CE58B3" w:rsidP="00D306B1">
            <w:pPr>
              <w:rPr>
                <w:b/>
              </w:rPr>
            </w:pPr>
          </w:p>
          <w:p w14:paraId="463830B2" w14:textId="77777777" w:rsidR="00CE58B3" w:rsidRDefault="00CE58B3" w:rsidP="00D306B1">
            <w:pPr>
              <w:rPr>
                <w:b/>
              </w:rPr>
            </w:pPr>
          </w:p>
          <w:p w14:paraId="6608ED8F" w14:textId="4815834C" w:rsidR="001870B1" w:rsidRPr="00262BCE" w:rsidRDefault="001870B1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7F8E679A" w14:textId="77777777" w:rsidR="0099228D" w:rsidRPr="00262BCE" w:rsidRDefault="0099228D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D570F" w:rsidRPr="00930169" w14:paraId="0E79B948" w14:textId="77777777" w:rsidTr="008823B6">
        <w:trPr>
          <w:trHeight w:val="340"/>
        </w:trPr>
        <w:tc>
          <w:tcPr>
            <w:tcW w:w="2689" w:type="dxa"/>
          </w:tcPr>
          <w:p w14:paraId="0967D6B8" w14:textId="0A36BC60" w:rsidR="0099228D" w:rsidRDefault="00A3732B" w:rsidP="008F35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</w:t>
            </w:r>
            <w:r w:rsidR="00262BCE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BD6D0B8" w14:textId="0FB10AD8" w:rsidR="004B6496" w:rsidRDefault="004B6496" w:rsidP="008F35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Minimum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Variance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Portfolio</w:t>
            </w:r>
          </w:p>
          <w:p w14:paraId="77278518" w14:textId="198D1D54" w:rsidR="00262BCE" w:rsidRDefault="00262BCE" w:rsidP="008F35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A3732B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E11A80B" w14:textId="05A71D9B" w:rsidR="00262BCE" w:rsidRPr="00262BCE" w:rsidRDefault="00262BCE" w:rsidP="008F35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5F553F9F" w14:textId="2D98DA3D" w:rsidR="00930169" w:rsidRDefault="00930169" w:rsidP="0093016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Deutsche Bank: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  <w:r w:rsidRPr="0093016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0.066436  </w:t>
            </w:r>
          </w:p>
          <w:p w14:paraId="0E4AE669" w14:textId="6EEA04B0" w:rsidR="00930169" w:rsidRDefault="00930169" w:rsidP="0093016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Allianz: </w:t>
            </w:r>
            <w:r w:rsidRPr="0093016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-0.071499  </w:t>
            </w:r>
          </w:p>
          <w:p w14:paraId="665CF6A4" w14:textId="41FC2E57" w:rsidR="00930169" w:rsidRPr="00930169" w:rsidRDefault="00930169" w:rsidP="00930169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BASF:</w:t>
            </w:r>
            <w:r w:rsidRPr="0093016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Pr="0093016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0.056154 </w:t>
            </w:r>
          </w:p>
          <w:p w14:paraId="08F784FF" w14:textId="6373E08D" w:rsidR="00930169" w:rsidRPr="00930169" w:rsidRDefault="00930169" w:rsidP="00930169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Siemens: </w:t>
            </w:r>
            <w:r w:rsidRPr="0093016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-0.005552 </w:t>
            </w:r>
          </w:p>
          <w:p w14:paraId="567FD8BA" w14:textId="6488643B" w:rsidR="00930169" w:rsidRPr="00930169" w:rsidRDefault="00930169" w:rsidP="00930169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30169">
              <w:rPr>
                <w:rFonts w:ascii="Arial" w:hAnsi="Arial" w:cs="Arial"/>
                <w:bCs/>
                <w:sz w:val="20"/>
                <w:szCs w:val="20"/>
              </w:rPr>
              <w:t>BMW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: </w:t>
            </w:r>
            <w:r w:rsidRPr="0093016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0.009113  </w:t>
            </w:r>
          </w:p>
          <w:p w14:paraId="1D2DFCFB" w14:textId="77777777" w:rsidR="00930169" w:rsidRPr="00930169" w:rsidRDefault="00930169" w:rsidP="00930169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3016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Bayer: </w:t>
            </w:r>
            <w:r w:rsidRPr="0093016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0.130691   </w:t>
            </w:r>
          </w:p>
          <w:p w14:paraId="05E6222C" w14:textId="1462CDBC" w:rsidR="00930169" w:rsidRPr="00930169" w:rsidRDefault="00930169" w:rsidP="00930169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30169">
              <w:rPr>
                <w:rFonts w:ascii="Arial" w:hAnsi="Arial" w:cs="Arial"/>
                <w:bCs/>
                <w:sz w:val="20"/>
                <w:szCs w:val="20"/>
                <w:lang w:val="en-US"/>
              </w:rPr>
              <w:t>EON: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Pr="00930169">
              <w:rPr>
                <w:rFonts w:ascii="Arial" w:hAnsi="Arial" w:cs="Arial"/>
                <w:bCs/>
                <w:sz w:val="20"/>
                <w:szCs w:val="20"/>
                <w:lang w:val="en-US"/>
              </w:rPr>
              <w:t>0.273466</w:t>
            </w:r>
          </w:p>
          <w:p w14:paraId="2219D19E" w14:textId="1AD831D0" w:rsidR="00930169" w:rsidRDefault="00930169" w:rsidP="00930169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RWE: </w:t>
            </w:r>
            <w:r w:rsidRPr="0093016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-0.001065  </w:t>
            </w:r>
          </w:p>
          <w:p w14:paraId="20E9CFF2" w14:textId="3A77C1DF" w:rsidR="00930169" w:rsidRDefault="00930169" w:rsidP="00930169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Henkel: </w:t>
            </w:r>
            <w:r w:rsidRPr="0093016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0.572786  </w:t>
            </w:r>
          </w:p>
          <w:p w14:paraId="7E527D55" w14:textId="0612E76E" w:rsidR="00930169" w:rsidRDefault="00930169" w:rsidP="00930169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SAP:</w:t>
            </w:r>
            <w:r w:rsidRPr="0093016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Pr="00930169">
              <w:rPr>
                <w:rFonts w:ascii="Arial" w:hAnsi="Arial" w:cs="Arial"/>
                <w:bCs/>
                <w:sz w:val="20"/>
                <w:szCs w:val="20"/>
                <w:lang w:val="en-US"/>
              </w:rPr>
              <w:t>0.102341</w:t>
            </w:r>
          </w:p>
          <w:p w14:paraId="046113ED" w14:textId="721DC51A" w:rsidR="00930169" w:rsidRDefault="00930169" w:rsidP="00930169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---</w:t>
            </w:r>
          </w:p>
          <w:p w14:paraId="7AC288C7" w14:textId="7BAF3A2B" w:rsidR="00930169" w:rsidRDefault="00930169" w:rsidP="00930169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Std: </w:t>
            </w:r>
            <w:r w:rsidRPr="0093016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0.202217  </w:t>
            </w:r>
          </w:p>
          <w:p w14:paraId="156ABA68" w14:textId="77777777" w:rsidR="00930169" w:rsidRPr="00930169" w:rsidRDefault="00930169" w:rsidP="00930169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Return: </w:t>
            </w:r>
            <w:r w:rsidRPr="0093016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0.118572   </w:t>
            </w:r>
          </w:p>
          <w:p w14:paraId="020B5739" w14:textId="14B8B2BF" w:rsidR="00930169" w:rsidRDefault="00930169" w:rsidP="00930169">
            <w:r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64384" behindDoc="0" locked="0" layoutInCell="1" allowOverlap="1" wp14:anchorId="22CF3405" wp14:editId="5BA760C7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148737</wp:posOffset>
                  </wp:positionV>
                  <wp:extent cx="3740397" cy="1989573"/>
                  <wp:effectExtent l="0" t="0" r="6350" b="0"/>
                  <wp:wrapNone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397" cy="1989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B370F05" w14:textId="3BB11D2A" w:rsidR="001870B1" w:rsidRPr="00930169" w:rsidRDefault="001870B1" w:rsidP="00930169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34392301" w14:textId="0D4B8C83" w:rsidR="001870B1" w:rsidRPr="001870B1" w:rsidRDefault="001870B1" w:rsidP="001870B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25484831" w14:textId="122A5A37" w:rsidR="001870B1" w:rsidRPr="001870B1" w:rsidRDefault="001870B1" w:rsidP="001870B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4817A360" w14:textId="077207BF" w:rsidR="001870B1" w:rsidRPr="001870B1" w:rsidRDefault="001870B1" w:rsidP="001870B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3FE8024C" w14:textId="13B0F47D" w:rsidR="001870B1" w:rsidRPr="001870B1" w:rsidRDefault="001870B1" w:rsidP="001870B1">
            <w:pPr>
              <w:rPr>
                <w:lang w:val="en-US"/>
              </w:rPr>
            </w:pPr>
          </w:p>
          <w:p w14:paraId="2AB57B53" w14:textId="667D7A5C" w:rsidR="001870B1" w:rsidRPr="001870B1" w:rsidRDefault="001870B1" w:rsidP="001870B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7C824595" w14:textId="7A4FCEF0" w:rsidR="001870B1" w:rsidRPr="001870B1" w:rsidRDefault="001870B1" w:rsidP="001870B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1DA65664" w14:textId="3D1238C5" w:rsidR="001870B1" w:rsidRPr="001870B1" w:rsidRDefault="001870B1" w:rsidP="001870B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4FBBE477" w14:textId="546A0499" w:rsidR="001870B1" w:rsidRPr="001870B1" w:rsidRDefault="001870B1" w:rsidP="001870B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6FE10887" w14:textId="0DCA6C75" w:rsidR="001870B1" w:rsidRPr="001870B1" w:rsidRDefault="001870B1" w:rsidP="001870B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57D27603" w14:textId="28004848" w:rsidR="001870B1" w:rsidRPr="001870B1" w:rsidRDefault="001870B1" w:rsidP="001870B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48985366" w14:textId="77777777" w:rsidR="001870B1" w:rsidRPr="001870B1" w:rsidRDefault="001870B1" w:rsidP="001870B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03BE0315" w14:textId="77777777" w:rsidR="001870B1" w:rsidRPr="001870B1" w:rsidRDefault="001870B1" w:rsidP="001870B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14:paraId="0668989F" w14:textId="2B88F0A1" w:rsidR="001870B1" w:rsidRPr="001870B1" w:rsidRDefault="001870B1" w:rsidP="001870B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5B3D184" w14:textId="77777777" w:rsidR="0099228D" w:rsidRPr="001870B1" w:rsidRDefault="0099228D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BD570F" w:rsidRPr="00930169" w14:paraId="3C20687A" w14:textId="77777777" w:rsidTr="008823B6">
        <w:trPr>
          <w:trHeight w:val="340"/>
        </w:trPr>
        <w:tc>
          <w:tcPr>
            <w:tcW w:w="2689" w:type="dxa"/>
          </w:tcPr>
          <w:p w14:paraId="7A82C5AE" w14:textId="45729053" w:rsidR="00E119BF" w:rsidRDefault="00E119BF" w:rsidP="00E1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d)</w:t>
            </w:r>
          </w:p>
          <w:p w14:paraId="1ADF4654" w14:textId="5B3DD5E0" w:rsidR="000F42B4" w:rsidRDefault="000F42B4" w:rsidP="00E119B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Tangency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Portfolio</w:t>
            </w:r>
          </w:p>
          <w:p w14:paraId="05E6A88A" w14:textId="77777777" w:rsidR="00E119BF" w:rsidRDefault="00E119BF" w:rsidP="00E1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(10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BFE075B" w14:textId="157D7C4B" w:rsidR="00930169" w:rsidRDefault="00930169" w:rsidP="00930169"/>
          <w:p w14:paraId="094A4687" w14:textId="77777777" w:rsidR="00A3732B" w:rsidRDefault="00A3732B" w:rsidP="008F35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034998E5" w14:textId="1BAB8A4F" w:rsidR="00930169" w:rsidRDefault="00930169" w:rsidP="0093016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Deutsche Bank: </w:t>
            </w:r>
            <w:r w:rsidRPr="00930169">
              <w:rPr>
                <w:rFonts w:ascii="Arial" w:hAnsi="Arial" w:cs="Arial"/>
                <w:bCs/>
                <w:sz w:val="20"/>
                <w:szCs w:val="20"/>
              </w:rPr>
              <w:t>-0.364317</w:t>
            </w:r>
          </w:p>
          <w:p w14:paraId="397B456F" w14:textId="7289593F" w:rsidR="00930169" w:rsidRDefault="00930169" w:rsidP="0093016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Allianz: </w:t>
            </w:r>
            <w:r w:rsidRPr="00930169">
              <w:rPr>
                <w:rFonts w:ascii="Arial" w:hAnsi="Arial" w:cs="Arial"/>
                <w:bCs/>
                <w:sz w:val="20"/>
                <w:szCs w:val="20"/>
              </w:rPr>
              <w:t>-0.040848</w:t>
            </w:r>
          </w:p>
          <w:p w14:paraId="49238EAA" w14:textId="513A22FC" w:rsidR="00930169" w:rsidRPr="00930169" w:rsidRDefault="00930169" w:rsidP="0093016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BASF:</w:t>
            </w:r>
            <w:r w:rsidRPr="00930169">
              <w:rPr>
                <w:rFonts w:ascii="Arial" w:hAnsi="Arial" w:cs="Arial"/>
                <w:bCs/>
                <w:sz w:val="20"/>
                <w:szCs w:val="20"/>
              </w:rPr>
              <w:t xml:space="preserve"> 0.605459</w:t>
            </w:r>
          </w:p>
          <w:p w14:paraId="2AED8489" w14:textId="2A58E7D0" w:rsidR="00930169" w:rsidRDefault="00930169" w:rsidP="0093016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Siemens: </w:t>
            </w:r>
            <w:r w:rsidRPr="00930169">
              <w:rPr>
                <w:rFonts w:ascii="Arial" w:hAnsi="Arial" w:cs="Arial"/>
                <w:bCs/>
                <w:sz w:val="20"/>
                <w:szCs w:val="20"/>
              </w:rPr>
              <w:t>0.128199</w:t>
            </w:r>
          </w:p>
          <w:p w14:paraId="473F22F6" w14:textId="282D7630" w:rsidR="00930169" w:rsidRPr="00930169" w:rsidRDefault="00930169" w:rsidP="0093016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30169">
              <w:rPr>
                <w:rFonts w:ascii="Arial" w:hAnsi="Arial" w:cs="Arial"/>
                <w:bCs/>
                <w:sz w:val="20"/>
                <w:szCs w:val="20"/>
              </w:rPr>
              <w:t>BMW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: </w:t>
            </w:r>
            <w:r w:rsidRPr="00930169">
              <w:rPr>
                <w:rFonts w:ascii="Arial" w:hAnsi="Arial" w:cs="Arial"/>
                <w:bCs/>
                <w:sz w:val="20"/>
                <w:szCs w:val="20"/>
              </w:rPr>
              <w:t>0.007585</w:t>
            </w:r>
          </w:p>
          <w:p w14:paraId="5C2D0DE8" w14:textId="2A31919A" w:rsidR="00930169" w:rsidRPr="00930169" w:rsidRDefault="00930169" w:rsidP="0093016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30169">
              <w:rPr>
                <w:rFonts w:ascii="Arial" w:hAnsi="Arial" w:cs="Arial"/>
                <w:bCs/>
                <w:sz w:val="20"/>
                <w:szCs w:val="20"/>
              </w:rPr>
              <w:t>Bayer: -0.133672</w:t>
            </w:r>
          </w:p>
          <w:p w14:paraId="477B759E" w14:textId="2B144AD2" w:rsidR="00930169" w:rsidRPr="00930169" w:rsidRDefault="00930169" w:rsidP="0093016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30169">
              <w:rPr>
                <w:rFonts w:ascii="Arial" w:hAnsi="Arial" w:cs="Arial"/>
                <w:bCs/>
                <w:sz w:val="20"/>
                <w:szCs w:val="20"/>
              </w:rPr>
              <w:t>EON: -0.093512</w:t>
            </w:r>
          </w:p>
          <w:p w14:paraId="665BFD4C" w14:textId="14FB679F" w:rsidR="00930169" w:rsidRPr="00930169" w:rsidRDefault="00930169" w:rsidP="00930169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3016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RWE: 0.057294 </w:t>
            </w:r>
          </w:p>
          <w:p w14:paraId="721130B6" w14:textId="64E0EF70" w:rsidR="00930169" w:rsidRPr="00930169" w:rsidRDefault="00930169" w:rsidP="00930169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930169">
              <w:rPr>
                <w:rFonts w:ascii="Arial" w:hAnsi="Arial" w:cs="Arial"/>
                <w:bCs/>
                <w:sz w:val="20"/>
                <w:szCs w:val="20"/>
                <w:lang w:val="en-US"/>
              </w:rPr>
              <w:t>Henkel: 0.524171</w:t>
            </w:r>
          </w:p>
          <w:p w14:paraId="1886A9BC" w14:textId="051A9687" w:rsidR="00930169" w:rsidRDefault="00930169" w:rsidP="00930169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SAP:</w:t>
            </w:r>
            <w:r w:rsidRPr="0093016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0.309642</w:t>
            </w:r>
          </w:p>
          <w:p w14:paraId="012A4F44" w14:textId="6A3D7CF1" w:rsidR="00930169" w:rsidRDefault="00930169" w:rsidP="00930169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---</w:t>
            </w:r>
          </w:p>
          <w:p w14:paraId="4F2F9F7F" w14:textId="4AE18788" w:rsidR="00930169" w:rsidRDefault="00930169" w:rsidP="00930169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Std: </w:t>
            </w:r>
            <w:r w:rsidRPr="00930169">
              <w:rPr>
                <w:rFonts w:ascii="Arial" w:hAnsi="Arial" w:cs="Arial"/>
                <w:bCs/>
                <w:sz w:val="20"/>
                <w:szCs w:val="20"/>
                <w:lang w:val="en-US"/>
              </w:rPr>
              <w:t>0.254532</w:t>
            </w:r>
          </w:p>
          <w:p w14:paraId="7106A307" w14:textId="52AE2A7E" w:rsidR="00930169" w:rsidRDefault="00930169" w:rsidP="00930169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Return: </w:t>
            </w:r>
            <w:r w:rsidRPr="00930169">
              <w:rPr>
                <w:rFonts w:ascii="Arial" w:hAnsi="Arial" w:cs="Arial"/>
                <w:bCs/>
                <w:sz w:val="20"/>
                <w:szCs w:val="20"/>
                <w:lang w:val="en-US"/>
              </w:rPr>
              <w:t>0.187539</w:t>
            </w:r>
          </w:p>
          <w:p w14:paraId="7EA107B9" w14:textId="53F2CCD0" w:rsidR="00930169" w:rsidRPr="00930169" w:rsidRDefault="00930169" w:rsidP="00930169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65408" behindDoc="0" locked="0" layoutInCell="1" allowOverlap="1" wp14:anchorId="32CA752D" wp14:editId="3AC3E30A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130845</wp:posOffset>
                  </wp:positionV>
                  <wp:extent cx="3740150" cy="1989455"/>
                  <wp:effectExtent l="0" t="0" r="6350" b="0"/>
                  <wp:wrapNone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150" cy="198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5D270B5" w14:textId="6CC4C628" w:rsidR="00A3732B" w:rsidRDefault="00A3732B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75CC3DBF" w14:textId="2DE0BA83" w:rsidR="001870B1" w:rsidRPr="001870B1" w:rsidRDefault="001870B1" w:rsidP="001870B1">
            <w:pPr>
              <w:rPr>
                <w:lang w:val="en-US"/>
              </w:rPr>
            </w:pPr>
          </w:p>
          <w:p w14:paraId="03F99B62" w14:textId="77777777" w:rsidR="001870B1" w:rsidRDefault="001870B1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0D21DD57" w14:textId="77777777" w:rsidR="001870B1" w:rsidRDefault="001870B1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7B73000D" w14:textId="77777777" w:rsidR="001870B1" w:rsidRDefault="001870B1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7C1FFC7B" w14:textId="77777777" w:rsidR="001870B1" w:rsidRDefault="001870B1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3281B165" w14:textId="77777777" w:rsidR="001870B1" w:rsidRDefault="001870B1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0DF0693A" w14:textId="77777777" w:rsidR="001870B1" w:rsidRDefault="001870B1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63ECDE34" w14:textId="77777777" w:rsidR="001870B1" w:rsidRDefault="001870B1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7BD79776" w14:textId="77777777" w:rsidR="001870B1" w:rsidRDefault="001870B1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10CD7EDC" w14:textId="77777777" w:rsidR="001870B1" w:rsidRDefault="001870B1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2EC8E151" w14:textId="77777777" w:rsidR="001870B1" w:rsidRDefault="001870B1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120A2ED1" w14:textId="77777777" w:rsidR="001870B1" w:rsidRDefault="001870B1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14:paraId="018064D8" w14:textId="6B78BD7C" w:rsidR="001870B1" w:rsidRPr="001870B1" w:rsidRDefault="001870B1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5A954A1" w14:textId="77777777" w:rsidR="00A3732B" w:rsidRPr="001870B1" w:rsidRDefault="00A3732B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BD570F" w:rsidRPr="00930169" w14:paraId="6CCE1F5B" w14:textId="77777777" w:rsidTr="008823B6">
        <w:trPr>
          <w:trHeight w:val="340"/>
        </w:trPr>
        <w:tc>
          <w:tcPr>
            <w:tcW w:w="2689" w:type="dxa"/>
          </w:tcPr>
          <w:p w14:paraId="7CDC6F73" w14:textId="3E4822FB" w:rsidR="00E119BF" w:rsidRDefault="00E119BF" w:rsidP="00E1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e)</w:t>
            </w:r>
          </w:p>
          <w:p w14:paraId="7072D0DF" w14:textId="745932E4" w:rsidR="003F0D0C" w:rsidRDefault="003F0D0C" w:rsidP="00E1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Portfolio Choice</w:t>
            </w:r>
          </w:p>
          <w:p w14:paraId="2FAC8D42" w14:textId="754ED3C3" w:rsidR="00E119BF" w:rsidRDefault="00E119BF" w:rsidP="00E1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(6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9FA89ED" w14:textId="77777777" w:rsidR="00E119BF" w:rsidRDefault="00E119BF" w:rsidP="008F35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1E253904" w14:textId="77777777" w:rsidR="001870B1" w:rsidRPr="001870B1" w:rsidRDefault="001870B1" w:rsidP="001870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>Optimal allocation for portfolio in ETF and risk-free asset:</w:t>
            </w:r>
          </w:p>
          <w:p w14:paraId="150918EF" w14:textId="77777777" w:rsidR="001870B1" w:rsidRPr="001870B1" w:rsidRDefault="001870B1" w:rsidP="001870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14:paraId="190E516F" w14:textId="6417EA48" w:rsidR="001870B1" w:rsidRPr="001870B1" w:rsidRDefault="001870B1" w:rsidP="001870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>Weight in ETF: 36.84%</w:t>
            </w:r>
          </w:p>
          <w:p w14:paraId="6766631D" w14:textId="77777777" w:rsidR="00E119BF" w:rsidRDefault="001870B1" w:rsidP="001870B1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1870B1">
              <w:rPr>
                <w:rFonts w:ascii="Arial" w:hAnsi="Arial" w:cs="Arial"/>
                <w:bCs/>
                <w:sz w:val="20"/>
                <w:szCs w:val="20"/>
                <w:lang w:val="en-US"/>
              </w:rPr>
              <w:t>Weight in risk-free asset: 63.16%</w:t>
            </w:r>
          </w:p>
          <w:p w14:paraId="1B8A348C" w14:textId="0F91CCB1" w:rsidR="00892682" w:rsidRPr="001870B1" w:rsidRDefault="00892682" w:rsidP="001870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00EA49F" w14:textId="77777777" w:rsidR="00E119BF" w:rsidRPr="001870B1" w:rsidRDefault="00E119BF" w:rsidP="00D306B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</w:tbl>
    <w:p w14:paraId="01A0AA18" w14:textId="3D9D5BF3" w:rsidR="00B3111E" w:rsidRPr="001870B1" w:rsidRDefault="00B3111E" w:rsidP="008823B6">
      <w:pPr>
        <w:rPr>
          <w:rFonts w:ascii="Arial" w:hAnsi="Arial" w:cs="Arial"/>
          <w:sz w:val="28"/>
          <w:szCs w:val="28"/>
          <w:lang w:val="en-US"/>
        </w:rPr>
      </w:pPr>
    </w:p>
    <w:sectPr w:rsidR="00B3111E" w:rsidRPr="001870B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23BD8" w14:textId="77777777" w:rsidR="00FB3B5B" w:rsidRDefault="00FB3B5B" w:rsidP="00670E15">
      <w:r>
        <w:separator/>
      </w:r>
    </w:p>
  </w:endnote>
  <w:endnote w:type="continuationSeparator" w:id="0">
    <w:p w14:paraId="4E354D38" w14:textId="77777777" w:rsidR="00FB3B5B" w:rsidRDefault="00FB3B5B" w:rsidP="00670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53533" w14:textId="77777777" w:rsidR="00FB3B5B" w:rsidRDefault="00FB3B5B" w:rsidP="00670E15">
      <w:r>
        <w:separator/>
      </w:r>
    </w:p>
  </w:footnote>
  <w:footnote w:type="continuationSeparator" w:id="0">
    <w:p w14:paraId="3AD2FD0E" w14:textId="77777777" w:rsidR="00FB3B5B" w:rsidRDefault="00FB3B5B" w:rsidP="00670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D2DF8"/>
    <w:multiLevelType w:val="hybridMultilevel"/>
    <w:tmpl w:val="F2ECE9D0"/>
    <w:lvl w:ilvl="0" w:tplc="6CDEE3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F0AFA"/>
    <w:multiLevelType w:val="hybridMultilevel"/>
    <w:tmpl w:val="7DC0AAA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80553"/>
    <w:multiLevelType w:val="multilevel"/>
    <w:tmpl w:val="01B48F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C025D04"/>
    <w:multiLevelType w:val="multilevel"/>
    <w:tmpl w:val="422AAB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88"/>
    <w:rsid w:val="00011BEB"/>
    <w:rsid w:val="00014E8E"/>
    <w:rsid w:val="000179AF"/>
    <w:rsid w:val="00026709"/>
    <w:rsid w:val="00027416"/>
    <w:rsid w:val="00030DAB"/>
    <w:rsid w:val="00031FCF"/>
    <w:rsid w:val="000405C2"/>
    <w:rsid w:val="00044CFE"/>
    <w:rsid w:val="00045B64"/>
    <w:rsid w:val="000469E0"/>
    <w:rsid w:val="000512A3"/>
    <w:rsid w:val="00061809"/>
    <w:rsid w:val="000657AB"/>
    <w:rsid w:val="000700B8"/>
    <w:rsid w:val="000726A5"/>
    <w:rsid w:val="000808C5"/>
    <w:rsid w:val="00080DA8"/>
    <w:rsid w:val="00091D8C"/>
    <w:rsid w:val="00091F43"/>
    <w:rsid w:val="000A33C8"/>
    <w:rsid w:val="000A42E6"/>
    <w:rsid w:val="000B2FC6"/>
    <w:rsid w:val="000D1FD9"/>
    <w:rsid w:val="000E30BC"/>
    <w:rsid w:val="000E509E"/>
    <w:rsid w:val="000E5A1B"/>
    <w:rsid w:val="000E7191"/>
    <w:rsid w:val="000F1200"/>
    <w:rsid w:val="000F42B4"/>
    <w:rsid w:val="000F52A9"/>
    <w:rsid w:val="00103DA4"/>
    <w:rsid w:val="00105074"/>
    <w:rsid w:val="0011098C"/>
    <w:rsid w:val="0011635F"/>
    <w:rsid w:val="001176C2"/>
    <w:rsid w:val="00126BBD"/>
    <w:rsid w:val="001310E9"/>
    <w:rsid w:val="0013282E"/>
    <w:rsid w:val="0014605B"/>
    <w:rsid w:val="00152821"/>
    <w:rsid w:val="00152CA4"/>
    <w:rsid w:val="00152D3F"/>
    <w:rsid w:val="0015481B"/>
    <w:rsid w:val="00162F44"/>
    <w:rsid w:val="00165699"/>
    <w:rsid w:val="001657D2"/>
    <w:rsid w:val="00167B6C"/>
    <w:rsid w:val="00170A54"/>
    <w:rsid w:val="001730AF"/>
    <w:rsid w:val="0017368C"/>
    <w:rsid w:val="00175590"/>
    <w:rsid w:val="00184DC4"/>
    <w:rsid w:val="00185D26"/>
    <w:rsid w:val="001870B1"/>
    <w:rsid w:val="00195BA1"/>
    <w:rsid w:val="001A2C44"/>
    <w:rsid w:val="001A37BE"/>
    <w:rsid w:val="001A490C"/>
    <w:rsid w:val="001A5E37"/>
    <w:rsid w:val="001C4402"/>
    <w:rsid w:val="001D760A"/>
    <w:rsid w:val="001F0EB6"/>
    <w:rsid w:val="001F6670"/>
    <w:rsid w:val="00206ADF"/>
    <w:rsid w:val="002075EB"/>
    <w:rsid w:val="00217B04"/>
    <w:rsid w:val="0022079D"/>
    <w:rsid w:val="002213BE"/>
    <w:rsid w:val="00222142"/>
    <w:rsid w:val="0022281B"/>
    <w:rsid w:val="0023224A"/>
    <w:rsid w:val="00233D2C"/>
    <w:rsid w:val="002402E9"/>
    <w:rsid w:val="00262BCE"/>
    <w:rsid w:val="00263C87"/>
    <w:rsid w:val="0026649B"/>
    <w:rsid w:val="002669E5"/>
    <w:rsid w:val="002813BF"/>
    <w:rsid w:val="00297BA2"/>
    <w:rsid w:val="002A4B95"/>
    <w:rsid w:val="002B3F1B"/>
    <w:rsid w:val="002C55EB"/>
    <w:rsid w:val="002C65D9"/>
    <w:rsid w:val="002D0B8A"/>
    <w:rsid w:val="002D3485"/>
    <w:rsid w:val="002D4783"/>
    <w:rsid w:val="002E006B"/>
    <w:rsid w:val="002F0DF5"/>
    <w:rsid w:val="002F755C"/>
    <w:rsid w:val="00300921"/>
    <w:rsid w:val="00303129"/>
    <w:rsid w:val="003169CF"/>
    <w:rsid w:val="0032277F"/>
    <w:rsid w:val="00326CFC"/>
    <w:rsid w:val="00334464"/>
    <w:rsid w:val="00334E0E"/>
    <w:rsid w:val="00336FA7"/>
    <w:rsid w:val="00340E33"/>
    <w:rsid w:val="00343519"/>
    <w:rsid w:val="003609AD"/>
    <w:rsid w:val="00366226"/>
    <w:rsid w:val="00367E1B"/>
    <w:rsid w:val="003712C1"/>
    <w:rsid w:val="00390D75"/>
    <w:rsid w:val="0039434D"/>
    <w:rsid w:val="003B0F1A"/>
    <w:rsid w:val="003B25B3"/>
    <w:rsid w:val="003B2CC8"/>
    <w:rsid w:val="003D21BC"/>
    <w:rsid w:val="003D347D"/>
    <w:rsid w:val="003E0539"/>
    <w:rsid w:val="003E5228"/>
    <w:rsid w:val="003F0A0C"/>
    <w:rsid w:val="003F0D0C"/>
    <w:rsid w:val="003F1C45"/>
    <w:rsid w:val="003F6D73"/>
    <w:rsid w:val="00400177"/>
    <w:rsid w:val="0040726B"/>
    <w:rsid w:val="00411158"/>
    <w:rsid w:val="004170F8"/>
    <w:rsid w:val="00426017"/>
    <w:rsid w:val="004304F1"/>
    <w:rsid w:val="004341F9"/>
    <w:rsid w:val="00440A5B"/>
    <w:rsid w:val="00442DFD"/>
    <w:rsid w:val="00442E18"/>
    <w:rsid w:val="00445FBA"/>
    <w:rsid w:val="004475DF"/>
    <w:rsid w:val="004520B8"/>
    <w:rsid w:val="00454B3E"/>
    <w:rsid w:val="0045618F"/>
    <w:rsid w:val="00456CF8"/>
    <w:rsid w:val="004607C9"/>
    <w:rsid w:val="00461A5E"/>
    <w:rsid w:val="00462193"/>
    <w:rsid w:val="004670AA"/>
    <w:rsid w:val="00475938"/>
    <w:rsid w:val="00482500"/>
    <w:rsid w:val="004827FD"/>
    <w:rsid w:val="004904C1"/>
    <w:rsid w:val="00490880"/>
    <w:rsid w:val="00491D51"/>
    <w:rsid w:val="0049392F"/>
    <w:rsid w:val="004A0FC1"/>
    <w:rsid w:val="004A6C18"/>
    <w:rsid w:val="004B36BC"/>
    <w:rsid w:val="004B562C"/>
    <w:rsid w:val="004B6496"/>
    <w:rsid w:val="004D1C0F"/>
    <w:rsid w:val="004D3023"/>
    <w:rsid w:val="004E2A6D"/>
    <w:rsid w:val="004E4A0E"/>
    <w:rsid w:val="004E7E5E"/>
    <w:rsid w:val="004F0A0E"/>
    <w:rsid w:val="004F56C0"/>
    <w:rsid w:val="005064E5"/>
    <w:rsid w:val="00512D6E"/>
    <w:rsid w:val="005148D6"/>
    <w:rsid w:val="00514AE8"/>
    <w:rsid w:val="005408C6"/>
    <w:rsid w:val="00554FD7"/>
    <w:rsid w:val="00563358"/>
    <w:rsid w:val="00565ABF"/>
    <w:rsid w:val="00574919"/>
    <w:rsid w:val="005845CD"/>
    <w:rsid w:val="00584D26"/>
    <w:rsid w:val="00585541"/>
    <w:rsid w:val="00586F98"/>
    <w:rsid w:val="00587076"/>
    <w:rsid w:val="005922FD"/>
    <w:rsid w:val="00596E10"/>
    <w:rsid w:val="005A5294"/>
    <w:rsid w:val="005B7EE7"/>
    <w:rsid w:val="005C2072"/>
    <w:rsid w:val="005D36F0"/>
    <w:rsid w:val="005D5815"/>
    <w:rsid w:val="005F0974"/>
    <w:rsid w:val="005F6DF5"/>
    <w:rsid w:val="005F77A6"/>
    <w:rsid w:val="00600EEC"/>
    <w:rsid w:val="00604CC3"/>
    <w:rsid w:val="0061185F"/>
    <w:rsid w:val="0061306B"/>
    <w:rsid w:val="00617259"/>
    <w:rsid w:val="00623FBE"/>
    <w:rsid w:val="006250D2"/>
    <w:rsid w:val="00626076"/>
    <w:rsid w:val="006308C4"/>
    <w:rsid w:val="006516B8"/>
    <w:rsid w:val="00665FBF"/>
    <w:rsid w:val="00666A9C"/>
    <w:rsid w:val="00670E15"/>
    <w:rsid w:val="0067760C"/>
    <w:rsid w:val="00677EF5"/>
    <w:rsid w:val="006844BA"/>
    <w:rsid w:val="0069082C"/>
    <w:rsid w:val="00691093"/>
    <w:rsid w:val="006946F0"/>
    <w:rsid w:val="006A06F1"/>
    <w:rsid w:val="006A2468"/>
    <w:rsid w:val="006A2969"/>
    <w:rsid w:val="006A6A62"/>
    <w:rsid w:val="006B1F13"/>
    <w:rsid w:val="006C45D4"/>
    <w:rsid w:val="006E4363"/>
    <w:rsid w:val="006E5534"/>
    <w:rsid w:val="006E6054"/>
    <w:rsid w:val="006F4339"/>
    <w:rsid w:val="0070037A"/>
    <w:rsid w:val="0071141F"/>
    <w:rsid w:val="00724073"/>
    <w:rsid w:val="007262B7"/>
    <w:rsid w:val="00732DE6"/>
    <w:rsid w:val="00737958"/>
    <w:rsid w:val="007421FE"/>
    <w:rsid w:val="007474FC"/>
    <w:rsid w:val="00751EA9"/>
    <w:rsid w:val="00774694"/>
    <w:rsid w:val="00777B1B"/>
    <w:rsid w:val="00783ED6"/>
    <w:rsid w:val="007855FD"/>
    <w:rsid w:val="007868B9"/>
    <w:rsid w:val="00790128"/>
    <w:rsid w:val="00796E1A"/>
    <w:rsid w:val="007B59F6"/>
    <w:rsid w:val="007C2BB5"/>
    <w:rsid w:val="007C4246"/>
    <w:rsid w:val="007C452C"/>
    <w:rsid w:val="007D0E04"/>
    <w:rsid w:val="007D61DC"/>
    <w:rsid w:val="007D6278"/>
    <w:rsid w:val="007F0765"/>
    <w:rsid w:val="007F46ED"/>
    <w:rsid w:val="008055A5"/>
    <w:rsid w:val="00811B2C"/>
    <w:rsid w:val="00815068"/>
    <w:rsid w:val="00821FD6"/>
    <w:rsid w:val="00823E53"/>
    <w:rsid w:val="00826371"/>
    <w:rsid w:val="00831AEF"/>
    <w:rsid w:val="0084400A"/>
    <w:rsid w:val="008471CC"/>
    <w:rsid w:val="00852AF3"/>
    <w:rsid w:val="0086192C"/>
    <w:rsid w:val="008629FA"/>
    <w:rsid w:val="0087034C"/>
    <w:rsid w:val="00870430"/>
    <w:rsid w:val="008729DD"/>
    <w:rsid w:val="0087557D"/>
    <w:rsid w:val="008815BD"/>
    <w:rsid w:val="008823B6"/>
    <w:rsid w:val="00892682"/>
    <w:rsid w:val="0089698A"/>
    <w:rsid w:val="00897601"/>
    <w:rsid w:val="008A39F2"/>
    <w:rsid w:val="008B4588"/>
    <w:rsid w:val="008B78E7"/>
    <w:rsid w:val="008C21C7"/>
    <w:rsid w:val="008D7DB8"/>
    <w:rsid w:val="008F300D"/>
    <w:rsid w:val="008F35A6"/>
    <w:rsid w:val="008F4227"/>
    <w:rsid w:val="008F7DD1"/>
    <w:rsid w:val="00901703"/>
    <w:rsid w:val="00907ABB"/>
    <w:rsid w:val="00914E0C"/>
    <w:rsid w:val="009151CF"/>
    <w:rsid w:val="0092427F"/>
    <w:rsid w:val="00930169"/>
    <w:rsid w:val="00930788"/>
    <w:rsid w:val="009342EF"/>
    <w:rsid w:val="009344D2"/>
    <w:rsid w:val="00935FA5"/>
    <w:rsid w:val="009423DD"/>
    <w:rsid w:val="00951B45"/>
    <w:rsid w:val="00976099"/>
    <w:rsid w:val="00983D0E"/>
    <w:rsid w:val="00985B8A"/>
    <w:rsid w:val="00987A3F"/>
    <w:rsid w:val="0099228D"/>
    <w:rsid w:val="00995D67"/>
    <w:rsid w:val="009A2758"/>
    <w:rsid w:val="009A4208"/>
    <w:rsid w:val="009B3925"/>
    <w:rsid w:val="009C0DD8"/>
    <w:rsid w:val="009C67D2"/>
    <w:rsid w:val="009E2A63"/>
    <w:rsid w:val="009F076C"/>
    <w:rsid w:val="009F2234"/>
    <w:rsid w:val="009F3A0C"/>
    <w:rsid w:val="009F715B"/>
    <w:rsid w:val="00A11049"/>
    <w:rsid w:val="00A12D7D"/>
    <w:rsid w:val="00A252FF"/>
    <w:rsid w:val="00A27460"/>
    <w:rsid w:val="00A32F0A"/>
    <w:rsid w:val="00A3732B"/>
    <w:rsid w:val="00A37D56"/>
    <w:rsid w:val="00A4011C"/>
    <w:rsid w:val="00A43A39"/>
    <w:rsid w:val="00A50859"/>
    <w:rsid w:val="00A56867"/>
    <w:rsid w:val="00A774B9"/>
    <w:rsid w:val="00A925F9"/>
    <w:rsid w:val="00A93F85"/>
    <w:rsid w:val="00A95EB2"/>
    <w:rsid w:val="00A96BF7"/>
    <w:rsid w:val="00AA707D"/>
    <w:rsid w:val="00AB6D74"/>
    <w:rsid w:val="00AB7AAD"/>
    <w:rsid w:val="00AC7ED1"/>
    <w:rsid w:val="00AD0A42"/>
    <w:rsid w:val="00AD4C98"/>
    <w:rsid w:val="00AE4046"/>
    <w:rsid w:val="00AE5002"/>
    <w:rsid w:val="00AE5896"/>
    <w:rsid w:val="00AF13D9"/>
    <w:rsid w:val="00AF5D25"/>
    <w:rsid w:val="00B079D2"/>
    <w:rsid w:val="00B10D95"/>
    <w:rsid w:val="00B13CD0"/>
    <w:rsid w:val="00B161A7"/>
    <w:rsid w:val="00B215B7"/>
    <w:rsid w:val="00B27D94"/>
    <w:rsid w:val="00B3111E"/>
    <w:rsid w:val="00B313AB"/>
    <w:rsid w:val="00B320CB"/>
    <w:rsid w:val="00B33420"/>
    <w:rsid w:val="00B375F0"/>
    <w:rsid w:val="00B40D06"/>
    <w:rsid w:val="00B5468C"/>
    <w:rsid w:val="00B628CE"/>
    <w:rsid w:val="00B64EEE"/>
    <w:rsid w:val="00B77A01"/>
    <w:rsid w:val="00B77F1F"/>
    <w:rsid w:val="00B8210B"/>
    <w:rsid w:val="00B83548"/>
    <w:rsid w:val="00B84518"/>
    <w:rsid w:val="00B90875"/>
    <w:rsid w:val="00B9798A"/>
    <w:rsid w:val="00BA463A"/>
    <w:rsid w:val="00BA4779"/>
    <w:rsid w:val="00BA6660"/>
    <w:rsid w:val="00BB2E87"/>
    <w:rsid w:val="00BB3D20"/>
    <w:rsid w:val="00BB5892"/>
    <w:rsid w:val="00BD307D"/>
    <w:rsid w:val="00BD570F"/>
    <w:rsid w:val="00BD57B1"/>
    <w:rsid w:val="00BD5FD5"/>
    <w:rsid w:val="00BE06ED"/>
    <w:rsid w:val="00BE30DB"/>
    <w:rsid w:val="00BE5744"/>
    <w:rsid w:val="00BE7E54"/>
    <w:rsid w:val="00C1691B"/>
    <w:rsid w:val="00C23431"/>
    <w:rsid w:val="00C26CCE"/>
    <w:rsid w:val="00C35F56"/>
    <w:rsid w:val="00C4251B"/>
    <w:rsid w:val="00C4498F"/>
    <w:rsid w:val="00C475D8"/>
    <w:rsid w:val="00C53534"/>
    <w:rsid w:val="00C53D9C"/>
    <w:rsid w:val="00C6006E"/>
    <w:rsid w:val="00C635AB"/>
    <w:rsid w:val="00C647BC"/>
    <w:rsid w:val="00C6730C"/>
    <w:rsid w:val="00C7099A"/>
    <w:rsid w:val="00C92153"/>
    <w:rsid w:val="00C97DED"/>
    <w:rsid w:val="00CA4336"/>
    <w:rsid w:val="00CA4705"/>
    <w:rsid w:val="00CA68E0"/>
    <w:rsid w:val="00CB0904"/>
    <w:rsid w:val="00CC0057"/>
    <w:rsid w:val="00CD52A6"/>
    <w:rsid w:val="00CE3E43"/>
    <w:rsid w:val="00CE4429"/>
    <w:rsid w:val="00CE58B3"/>
    <w:rsid w:val="00CE7CF5"/>
    <w:rsid w:val="00CF1780"/>
    <w:rsid w:val="00CF25BA"/>
    <w:rsid w:val="00CF6D37"/>
    <w:rsid w:val="00CF6DCE"/>
    <w:rsid w:val="00CF7440"/>
    <w:rsid w:val="00D000B7"/>
    <w:rsid w:val="00D024B6"/>
    <w:rsid w:val="00D03DC8"/>
    <w:rsid w:val="00D1206A"/>
    <w:rsid w:val="00D13B8E"/>
    <w:rsid w:val="00D20FD4"/>
    <w:rsid w:val="00D306B1"/>
    <w:rsid w:val="00D37C85"/>
    <w:rsid w:val="00D43C21"/>
    <w:rsid w:val="00D5180E"/>
    <w:rsid w:val="00D53B85"/>
    <w:rsid w:val="00D55635"/>
    <w:rsid w:val="00D61C9F"/>
    <w:rsid w:val="00D663C5"/>
    <w:rsid w:val="00D73111"/>
    <w:rsid w:val="00D744D3"/>
    <w:rsid w:val="00D84BF0"/>
    <w:rsid w:val="00D86129"/>
    <w:rsid w:val="00D87265"/>
    <w:rsid w:val="00D97FF5"/>
    <w:rsid w:val="00DA48EB"/>
    <w:rsid w:val="00DA6207"/>
    <w:rsid w:val="00DB2103"/>
    <w:rsid w:val="00DC5DA0"/>
    <w:rsid w:val="00DD4D6F"/>
    <w:rsid w:val="00DE19E9"/>
    <w:rsid w:val="00DF3909"/>
    <w:rsid w:val="00DF3A09"/>
    <w:rsid w:val="00E02B20"/>
    <w:rsid w:val="00E047AF"/>
    <w:rsid w:val="00E05671"/>
    <w:rsid w:val="00E119BF"/>
    <w:rsid w:val="00E2325E"/>
    <w:rsid w:val="00E24200"/>
    <w:rsid w:val="00E24E56"/>
    <w:rsid w:val="00E25396"/>
    <w:rsid w:val="00E30094"/>
    <w:rsid w:val="00E30D89"/>
    <w:rsid w:val="00E33FFD"/>
    <w:rsid w:val="00E34D2C"/>
    <w:rsid w:val="00E42A5F"/>
    <w:rsid w:val="00E443C0"/>
    <w:rsid w:val="00E51927"/>
    <w:rsid w:val="00E60058"/>
    <w:rsid w:val="00E65D25"/>
    <w:rsid w:val="00E70E09"/>
    <w:rsid w:val="00E718DC"/>
    <w:rsid w:val="00E770A6"/>
    <w:rsid w:val="00E80CCF"/>
    <w:rsid w:val="00E84FA5"/>
    <w:rsid w:val="00E9026F"/>
    <w:rsid w:val="00EA6615"/>
    <w:rsid w:val="00EA6777"/>
    <w:rsid w:val="00EB5640"/>
    <w:rsid w:val="00ED0A6B"/>
    <w:rsid w:val="00ED3601"/>
    <w:rsid w:val="00ED5BA6"/>
    <w:rsid w:val="00EF7BB2"/>
    <w:rsid w:val="00F02FD1"/>
    <w:rsid w:val="00F07471"/>
    <w:rsid w:val="00F157E1"/>
    <w:rsid w:val="00F15B8F"/>
    <w:rsid w:val="00F17E83"/>
    <w:rsid w:val="00F208B1"/>
    <w:rsid w:val="00F225B0"/>
    <w:rsid w:val="00F2556D"/>
    <w:rsid w:val="00F31F4A"/>
    <w:rsid w:val="00F56A42"/>
    <w:rsid w:val="00F56C8E"/>
    <w:rsid w:val="00F62199"/>
    <w:rsid w:val="00F671E1"/>
    <w:rsid w:val="00FA0A69"/>
    <w:rsid w:val="00FA4304"/>
    <w:rsid w:val="00FB3B5B"/>
    <w:rsid w:val="00FB5218"/>
    <w:rsid w:val="00FC7794"/>
    <w:rsid w:val="00FD3A38"/>
    <w:rsid w:val="00FD3B88"/>
    <w:rsid w:val="00FD7F60"/>
    <w:rsid w:val="00FE4351"/>
    <w:rsid w:val="00FE4F97"/>
    <w:rsid w:val="00FF4BB3"/>
    <w:rsid w:val="00FF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691374D"/>
  <w15:docId w15:val="{409AE39A-B6CB-4A88-B6DD-6E3ECEA5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30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CH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B4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B4588"/>
    <w:rPr>
      <w:rFonts w:ascii="Courier New" w:eastAsia="Times New Roman" w:hAnsi="Courier New" w:cs="Courier New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111E"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111E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B31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70E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gd15mcfceub">
    <w:name w:val="gd15mcfceub"/>
    <w:basedOn w:val="Absatz-Standardschriftart"/>
    <w:rsid w:val="00AF5D25"/>
  </w:style>
  <w:style w:type="character" w:customStyle="1" w:styleId="gd15mcfckub">
    <w:name w:val="gd15mcfckub"/>
    <w:basedOn w:val="Absatz-Standardschriftart"/>
    <w:rsid w:val="007262B7"/>
  </w:style>
  <w:style w:type="character" w:customStyle="1" w:styleId="gd15mcfcktb">
    <w:name w:val="gd15mcfcktb"/>
    <w:basedOn w:val="Absatz-Standardschriftart"/>
    <w:rsid w:val="007262B7"/>
  </w:style>
  <w:style w:type="character" w:styleId="Platzhaltertext">
    <w:name w:val="Placeholder Text"/>
    <w:basedOn w:val="Absatz-Standardschriftart"/>
    <w:uiPriority w:val="99"/>
    <w:semiHidden/>
    <w:rsid w:val="008F30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581</Words>
  <Characters>3664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 St. Gallen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Karnaukh</dc:creator>
  <cp:lastModifiedBy>Kampe, NiklasLeander</cp:lastModifiedBy>
  <cp:revision>13</cp:revision>
  <dcterms:created xsi:type="dcterms:W3CDTF">2021-10-10T21:27:00Z</dcterms:created>
  <dcterms:modified xsi:type="dcterms:W3CDTF">2021-10-19T09:52:00Z</dcterms:modified>
</cp:coreProperties>
</file>