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6DE5F" w14:textId="77777777" w:rsidR="00B3111E" w:rsidRPr="00262BCE" w:rsidRDefault="00B3111E" w:rsidP="00B3111E">
      <w:pPr>
        <w:jc w:val="center"/>
        <w:rPr>
          <w:rFonts w:ascii="Arial" w:hAnsi="Arial" w:cs="Arial"/>
          <w:sz w:val="24"/>
          <w:szCs w:val="24"/>
        </w:rPr>
      </w:pPr>
      <w:r w:rsidRPr="00262BCE">
        <w:rPr>
          <w:rFonts w:ascii="Arial" w:hAnsi="Arial" w:cs="Arial"/>
          <w:noProof/>
          <w:color w:val="141823"/>
          <w:lang w:eastAsia="zh-CN"/>
        </w:rPr>
        <w:drawing>
          <wp:inline distT="0" distB="0" distL="0" distR="0" wp14:anchorId="295A6966" wp14:editId="0C8A3E02">
            <wp:extent cx="2756848" cy="333101"/>
            <wp:effectExtent l="0" t="0" r="5715" b="0"/>
            <wp:docPr id="1" name="Picture 1" descr="https://scontent-a.xx.fbcdn.net/hphotos-xpa1/v/t1.0-9/10653644_841228305908881_4502395626660580592_n.jpg?oh=7ffb31778779c578aa6328ad777a4d93&amp;oe=54C76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xx.fbcdn.net/hphotos-xpa1/v/t1.0-9/10653644_841228305908881_4502395626660580592_n.jpg?oh=7ffb31778779c578aa6328ad777a4d93&amp;oe=54C76950"/>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5884" b="51489"/>
                    <a:stretch/>
                  </pic:blipFill>
                  <pic:spPr bwMode="auto">
                    <a:xfrm>
                      <a:off x="0" y="0"/>
                      <a:ext cx="2756848" cy="333101"/>
                    </a:xfrm>
                    <a:prstGeom prst="rect">
                      <a:avLst/>
                    </a:prstGeom>
                    <a:noFill/>
                    <a:ln>
                      <a:noFill/>
                    </a:ln>
                    <a:extLst>
                      <a:ext uri="{53640926-AAD7-44D8-BBD7-CCE9431645EC}">
                        <a14:shadowObscured xmlns:a14="http://schemas.microsoft.com/office/drawing/2010/main"/>
                      </a:ext>
                    </a:extLst>
                  </pic:spPr>
                </pic:pic>
              </a:graphicData>
            </a:graphic>
          </wp:inline>
        </w:drawing>
      </w:r>
    </w:p>
    <w:p w14:paraId="3D9DAF3D" w14:textId="4A9528E0" w:rsidR="00B3111E" w:rsidRPr="00262BCE" w:rsidRDefault="00B3111E" w:rsidP="00B3111E">
      <w:pPr>
        <w:jc w:val="center"/>
        <w:rPr>
          <w:rFonts w:ascii="Arial" w:hAnsi="Arial" w:cs="Arial"/>
          <w:b/>
          <w:sz w:val="24"/>
          <w:szCs w:val="24"/>
        </w:rPr>
      </w:pPr>
      <w:r w:rsidRPr="00262BCE">
        <w:rPr>
          <w:rFonts w:ascii="Arial" w:hAnsi="Arial" w:cs="Arial"/>
          <w:sz w:val="24"/>
          <w:szCs w:val="24"/>
        </w:rPr>
        <w:t xml:space="preserve">Solution Sheet on Problem Set </w:t>
      </w:r>
      <w:r w:rsidR="007B156C">
        <w:rPr>
          <w:rFonts w:ascii="Arial" w:hAnsi="Arial" w:cs="Arial"/>
          <w:sz w:val="24"/>
          <w:szCs w:val="24"/>
        </w:rPr>
        <w:t>2</w:t>
      </w:r>
    </w:p>
    <w:p w14:paraId="655890FF" w14:textId="31C2B974" w:rsidR="00B161A7" w:rsidRPr="00262BCE" w:rsidRDefault="00E73953" w:rsidP="00B3111E">
      <w:pPr>
        <w:jc w:val="center"/>
        <w:rPr>
          <w:rFonts w:ascii="Arial" w:hAnsi="Arial" w:cs="Arial"/>
          <w:b/>
          <w:sz w:val="24"/>
          <w:szCs w:val="24"/>
        </w:rPr>
      </w:pPr>
      <w:r>
        <w:rPr>
          <w:rFonts w:ascii="Arial" w:hAnsi="Arial" w:cs="Arial"/>
          <w:b/>
          <w:sz w:val="24"/>
          <w:szCs w:val="24"/>
        </w:rPr>
        <w:t>Risk Measures</w:t>
      </w:r>
    </w:p>
    <w:p w14:paraId="11BF7EAD" w14:textId="12F552A7" w:rsidR="00EA6615" w:rsidRPr="00262BCE" w:rsidRDefault="00F157E1" w:rsidP="00B3111E">
      <w:pPr>
        <w:jc w:val="center"/>
        <w:rPr>
          <w:rFonts w:ascii="Arial" w:hAnsi="Arial" w:cs="Arial"/>
          <w:sz w:val="20"/>
          <w:szCs w:val="20"/>
        </w:rPr>
      </w:pPr>
      <w:r w:rsidRPr="00262BCE">
        <w:rPr>
          <w:rFonts w:ascii="Arial" w:hAnsi="Arial" w:cs="Arial"/>
          <w:sz w:val="20"/>
          <w:szCs w:val="20"/>
        </w:rPr>
        <w:t xml:space="preserve">Deadline: </w:t>
      </w:r>
      <w:r w:rsidR="001F6670">
        <w:rPr>
          <w:rFonts w:ascii="Arial" w:hAnsi="Arial" w:cs="Arial"/>
          <w:sz w:val="20"/>
          <w:szCs w:val="20"/>
        </w:rPr>
        <w:t>1</w:t>
      </w:r>
      <w:r w:rsidR="003A6320">
        <w:rPr>
          <w:rFonts w:ascii="Arial" w:hAnsi="Arial" w:cs="Arial"/>
          <w:sz w:val="20"/>
          <w:szCs w:val="20"/>
        </w:rPr>
        <w:t>6</w:t>
      </w:r>
      <w:r w:rsidR="001F6670">
        <w:rPr>
          <w:rFonts w:ascii="Arial" w:hAnsi="Arial" w:cs="Arial"/>
          <w:sz w:val="20"/>
          <w:szCs w:val="20"/>
        </w:rPr>
        <w:t>.</w:t>
      </w:r>
      <w:r w:rsidR="00732DE6" w:rsidRPr="00262BCE">
        <w:rPr>
          <w:rFonts w:ascii="Arial" w:hAnsi="Arial" w:cs="Arial"/>
          <w:sz w:val="20"/>
          <w:szCs w:val="20"/>
        </w:rPr>
        <w:t>1</w:t>
      </w:r>
      <w:r w:rsidR="003A6320">
        <w:rPr>
          <w:rFonts w:ascii="Arial" w:hAnsi="Arial" w:cs="Arial"/>
          <w:sz w:val="20"/>
          <w:szCs w:val="20"/>
        </w:rPr>
        <w:t>1</w:t>
      </w:r>
      <w:r w:rsidR="001F6670">
        <w:rPr>
          <w:rFonts w:ascii="Arial" w:hAnsi="Arial" w:cs="Arial"/>
          <w:sz w:val="20"/>
          <w:szCs w:val="20"/>
        </w:rPr>
        <w:t>.</w:t>
      </w:r>
      <w:r w:rsidRPr="00262BCE">
        <w:rPr>
          <w:rFonts w:ascii="Arial" w:hAnsi="Arial" w:cs="Arial"/>
          <w:sz w:val="20"/>
          <w:szCs w:val="20"/>
        </w:rPr>
        <w:t>20</w:t>
      </w:r>
      <w:r w:rsidR="000E509E" w:rsidRPr="00262BCE">
        <w:rPr>
          <w:rFonts w:ascii="Arial" w:hAnsi="Arial" w:cs="Arial"/>
          <w:sz w:val="20"/>
          <w:szCs w:val="20"/>
        </w:rPr>
        <w:t>2</w:t>
      </w:r>
      <w:r w:rsidR="001F6670">
        <w:rPr>
          <w:rFonts w:ascii="Arial" w:hAnsi="Arial" w:cs="Arial"/>
          <w:sz w:val="20"/>
          <w:szCs w:val="20"/>
        </w:rPr>
        <w:t>1</w:t>
      </w:r>
    </w:p>
    <w:p w14:paraId="7A6B65DF" w14:textId="773AEEFA" w:rsidR="00B3111E" w:rsidRPr="00262BCE" w:rsidRDefault="00B3111E" w:rsidP="00B3111E">
      <w:pPr>
        <w:jc w:val="center"/>
        <w:rPr>
          <w:rFonts w:ascii="Arial" w:hAnsi="Arial" w:cs="Arial"/>
          <w:b/>
          <w:sz w:val="24"/>
          <w:szCs w:val="24"/>
        </w:rPr>
      </w:pPr>
      <w:r w:rsidRPr="00262BCE">
        <w:rPr>
          <w:rFonts w:ascii="Arial" w:hAnsi="Arial" w:cs="Arial"/>
          <w:b/>
          <w:sz w:val="24"/>
          <w:szCs w:val="24"/>
        </w:rPr>
        <w:t xml:space="preserve">Solved by: </w:t>
      </w:r>
      <w:r w:rsidR="00565C4C">
        <w:rPr>
          <w:rFonts w:ascii="Arial" w:hAnsi="Arial" w:cs="Arial"/>
          <w:b/>
          <w:sz w:val="24"/>
          <w:szCs w:val="24"/>
        </w:rPr>
        <w:t xml:space="preserve">Jonas </w:t>
      </w:r>
      <w:proofErr w:type="spellStart"/>
      <w:r w:rsidR="00565C4C">
        <w:rPr>
          <w:rFonts w:ascii="Arial" w:hAnsi="Arial" w:cs="Arial"/>
          <w:b/>
          <w:sz w:val="24"/>
          <w:szCs w:val="24"/>
        </w:rPr>
        <w:t>Husmann</w:t>
      </w:r>
      <w:proofErr w:type="spellEnd"/>
      <w:r w:rsidR="00565C4C">
        <w:rPr>
          <w:rFonts w:ascii="Arial" w:hAnsi="Arial" w:cs="Arial"/>
          <w:b/>
          <w:sz w:val="24"/>
          <w:szCs w:val="24"/>
        </w:rPr>
        <w:t>, Niklas Kamp</w:t>
      </w:r>
      <w:r w:rsidR="00C41E63">
        <w:rPr>
          <w:rFonts w:ascii="Arial" w:hAnsi="Arial" w:cs="Arial"/>
          <w:b/>
          <w:sz w:val="24"/>
          <w:szCs w:val="24"/>
        </w:rPr>
        <w:t>e</w:t>
      </w:r>
      <w:r w:rsidR="00565C4C">
        <w:rPr>
          <w:rFonts w:ascii="Arial" w:hAnsi="Arial" w:cs="Arial"/>
          <w:b/>
          <w:sz w:val="24"/>
          <w:szCs w:val="24"/>
        </w:rPr>
        <w:t xml:space="preserve"> &amp; Cyril Janak</w:t>
      </w:r>
    </w:p>
    <w:tbl>
      <w:tblPr>
        <w:tblStyle w:val="Tabellenraster"/>
        <w:tblW w:w="9396" w:type="dxa"/>
        <w:tblLook w:val="04A0" w:firstRow="1" w:lastRow="0" w:firstColumn="1" w:lastColumn="0" w:noHBand="0" w:noVBand="1"/>
      </w:tblPr>
      <w:tblGrid>
        <w:gridCol w:w="1811"/>
        <w:gridCol w:w="6690"/>
        <w:gridCol w:w="895"/>
      </w:tblGrid>
      <w:tr w:rsidR="004658DB" w:rsidRPr="00262BCE" w14:paraId="5C49313F" w14:textId="77777777" w:rsidTr="004658DB">
        <w:tc>
          <w:tcPr>
            <w:tcW w:w="1811" w:type="dxa"/>
          </w:tcPr>
          <w:p w14:paraId="0530109B" w14:textId="77777777" w:rsidR="00B3111E" w:rsidRPr="00262BCE" w:rsidRDefault="00B3111E" w:rsidP="00B3111E">
            <w:pPr>
              <w:jc w:val="center"/>
              <w:rPr>
                <w:rFonts w:ascii="Arial" w:hAnsi="Arial" w:cs="Arial"/>
                <w:b/>
                <w:sz w:val="20"/>
                <w:szCs w:val="20"/>
              </w:rPr>
            </w:pPr>
            <w:r w:rsidRPr="00262BCE">
              <w:rPr>
                <w:rFonts w:ascii="Arial" w:hAnsi="Arial" w:cs="Arial"/>
                <w:b/>
                <w:sz w:val="20"/>
                <w:szCs w:val="20"/>
              </w:rPr>
              <w:t>Task</w:t>
            </w:r>
          </w:p>
        </w:tc>
        <w:tc>
          <w:tcPr>
            <w:tcW w:w="6690" w:type="dxa"/>
          </w:tcPr>
          <w:p w14:paraId="1FF9AFB3" w14:textId="363BBB10" w:rsidR="00B3111E" w:rsidRPr="00262BCE" w:rsidRDefault="00B3111E" w:rsidP="00B3111E">
            <w:pPr>
              <w:jc w:val="center"/>
              <w:rPr>
                <w:rFonts w:ascii="Arial" w:hAnsi="Arial" w:cs="Arial"/>
                <w:b/>
                <w:sz w:val="20"/>
                <w:szCs w:val="20"/>
              </w:rPr>
            </w:pPr>
          </w:p>
        </w:tc>
        <w:tc>
          <w:tcPr>
            <w:tcW w:w="895" w:type="dxa"/>
          </w:tcPr>
          <w:p w14:paraId="48D63201" w14:textId="3D0D1DA7" w:rsidR="00B3111E" w:rsidRPr="00262BCE" w:rsidRDefault="00B3111E" w:rsidP="00B3111E">
            <w:pPr>
              <w:jc w:val="center"/>
              <w:rPr>
                <w:rFonts w:ascii="Arial" w:hAnsi="Arial" w:cs="Arial"/>
                <w:b/>
                <w:color w:val="006400"/>
                <w:sz w:val="20"/>
                <w:szCs w:val="20"/>
              </w:rPr>
            </w:pPr>
            <w:r w:rsidRPr="00262BCE">
              <w:rPr>
                <w:rFonts w:ascii="Arial" w:hAnsi="Arial" w:cs="Arial"/>
                <w:b/>
                <w:color w:val="006400"/>
                <w:sz w:val="20"/>
                <w:szCs w:val="20"/>
              </w:rPr>
              <w:t xml:space="preserve">Points </w:t>
            </w:r>
            <w:r w:rsidR="000E509E" w:rsidRPr="00262BCE">
              <w:rPr>
                <w:rFonts w:ascii="Arial" w:hAnsi="Arial" w:cs="Arial"/>
                <w:b/>
                <w:color w:val="006400"/>
                <w:sz w:val="20"/>
                <w:szCs w:val="20"/>
              </w:rPr>
              <w:t>Earned</w:t>
            </w:r>
          </w:p>
        </w:tc>
      </w:tr>
      <w:tr w:rsidR="004658DB" w:rsidRPr="00262BCE" w14:paraId="6640D307" w14:textId="77777777" w:rsidTr="004658DB">
        <w:tc>
          <w:tcPr>
            <w:tcW w:w="1811" w:type="dxa"/>
          </w:tcPr>
          <w:p w14:paraId="4A8C3C64" w14:textId="43D50B1C" w:rsidR="00670E15" w:rsidRPr="00262BCE" w:rsidRDefault="00D27D3F" w:rsidP="000E509E">
            <w:pPr>
              <w:pStyle w:val="Listenabsatz"/>
              <w:numPr>
                <w:ilvl w:val="0"/>
                <w:numId w:val="4"/>
              </w:numPr>
              <w:ind w:left="306"/>
              <w:rPr>
                <w:rFonts w:ascii="Arial" w:hAnsi="Arial" w:cs="Arial"/>
                <w:b/>
                <w:sz w:val="20"/>
                <w:szCs w:val="20"/>
                <w:lang w:val="en-GB"/>
              </w:rPr>
            </w:pPr>
            <w:r w:rsidRPr="00D27D3F">
              <w:rPr>
                <w:rFonts w:ascii="Arial" w:hAnsi="Arial" w:cs="Arial"/>
                <w:b/>
                <w:sz w:val="20"/>
                <w:szCs w:val="20"/>
                <w:lang w:val="en-GB"/>
              </w:rPr>
              <w:t>Estimation, Interpretatio</w:t>
            </w:r>
            <w:r w:rsidR="000657AB">
              <w:rPr>
                <w:rFonts w:ascii="Arial" w:hAnsi="Arial" w:cs="Arial"/>
                <w:b/>
                <w:sz w:val="20"/>
                <w:szCs w:val="20"/>
                <w:lang w:val="en-GB"/>
              </w:rPr>
              <w:t>n</w:t>
            </w:r>
          </w:p>
          <w:p w14:paraId="35E4335F" w14:textId="7177C01F" w:rsidR="000E509E" w:rsidRPr="00262BCE" w:rsidRDefault="000657AB" w:rsidP="000E509E">
            <w:pPr>
              <w:ind w:left="22"/>
              <w:rPr>
                <w:rFonts w:ascii="Arial" w:hAnsi="Arial" w:cs="Arial"/>
                <w:sz w:val="20"/>
                <w:szCs w:val="20"/>
                <w:lang w:val="en-GB"/>
              </w:rPr>
            </w:pPr>
            <w:r>
              <w:rPr>
                <w:rFonts w:ascii="Arial" w:hAnsi="Arial" w:cs="Arial"/>
                <w:sz w:val="20"/>
                <w:szCs w:val="20"/>
                <w:lang w:val="en-GB"/>
              </w:rPr>
              <w:t>a</w:t>
            </w:r>
            <w:r w:rsidR="000E509E" w:rsidRPr="00262BCE">
              <w:rPr>
                <w:rFonts w:ascii="Arial" w:hAnsi="Arial" w:cs="Arial"/>
                <w:sz w:val="20"/>
                <w:szCs w:val="20"/>
                <w:lang w:val="en-GB"/>
              </w:rPr>
              <w:t xml:space="preserve">) </w:t>
            </w:r>
          </w:p>
          <w:p w14:paraId="56907C1D" w14:textId="6800AAF6" w:rsidR="000E509E" w:rsidRDefault="003F4893" w:rsidP="000E509E">
            <w:pPr>
              <w:ind w:left="22"/>
              <w:rPr>
                <w:rFonts w:ascii="Arial" w:hAnsi="Arial" w:cs="Arial"/>
                <w:sz w:val="20"/>
                <w:szCs w:val="20"/>
                <w:lang w:val="en-GB"/>
              </w:rPr>
            </w:pPr>
            <w:r>
              <w:rPr>
                <w:rFonts w:ascii="Arial" w:hAnsi="Arial" w:cs="Arial"/>
                <w:sz w:val="20"/>
                <w:szCs w:val="20"/>
                <w:lang w:val="en-GB"/>
              </w:rPr>
              <w:t xml:space="preserve">Risk measures </w:t>
            </w:r>
            <w:r w:rsidR="008E3CBC">
              <w:rPr>
                <w:rFonts w:ascii="Arial" w:hAnsi="Arial" w:cs="Arial"/>
                <w:sz w:val="20"/>
                <w:szCs w:val="20"/>
                <w:lang w:val="en-GB"/>
              </w:rPr>
              <w:t>of stocks and portfolio returns</w:t>
            </w:r>
          </w:p>
          <w:p w14:paraId="18A6A8DD" w14:textId="20F2C132" w:rsidR="00262BCE" w:rsidRPr="00262BCE" w:rsidRDefault="00262BCE" w:rsidP="000E509E">
            <w:pPr>
              <w:ind w:left="22"/>
              <w:rPr>
                <w:rFonts w:ascii="Arial" w:hAnsi="Arial" w:cs="Arial"/>
                <w:sz w:val="20"/>
                <w:szCs w:val="20"/>
                <w:lang w:val="en-GB"/>
              </w:rPr>
            </w:pPr>
            <w:r>
              <w:rPr>
                <w:rFonts w:ascii="Arial" w:hAnsi="Arial" w:cs="Arial"/>
                <w:sz w:val="20"/>
                <w:szCs w:val="20"/>
                <w:lang w:val="en-GB"/>
              </w:rPr>
              <w:t>(</w:t>
            </w:r>
            <w:r w:rsidR="003F4893">
              <w:rPr>
                <w:rFonts w:ascii="Arial" w:hAnsi="Arial" w:cs="Arial"/>
                <w:sz w:val="20"/>
                <w:szCs w:val="20"/>
                <w:lang w:val="en-GB"/>
              </w:rPr>
              <w:t>12</w:t>
            </w:r>
            <w:r>
              <w:rPr>
                <w:rFonts w:ascii="Arial" w:hAnsi="Arial" w:cs="Arial"/>
                <w:sz w:val="20"/>
                <w:szCs w:val="20"/>
                <w:lang w:val="en-GB"/>
              </w:rPr>
              <w:t xml:space="preserve"> points)</w:t>
            </w:r>
          </w:p>
          <w:p w14:paraId="4E15F56C" w14:textId="0995E575" w:rsidR="000E509E" w:rsidRPr="00262BCE" w:rsidRDefault="000E509E" w:rsidP="000E509E">
            <w:pPr>
              <w:ind w:left="22"/>
              <w:rPr>
                <w:rFonts w:ascii="Arial" w:hAnsi="Arial" w:cs="Arial"/>
                <w:sz w:val="20"/>
                <w:szCs w:val="20"/>
                <w:lang w:val="en-GB"/>
              </w:rPr>
            </w:pPr>
          </w:p>
        </w:tc>
        <w:tc>
          <w:tcPr>
            <w:tcW w:w="6690" w:type="dxa"/>
          </w:tcPr>
          <w:p w14:paraId="45ABD7DB" w14:textId="77777777" w:rsidR="004658DB" w:rsidRDefault="004658DB" w:rsidP="00930788">
            <w:pPr>
              <w:rPr>
                <w:rFonts w:ascii="Arial" w:hAnsi="Arial" w:cs="Arial"/>
                <w:sz w:val="20"/>
                <w:szCs w:val="20"/>
                <w:u w:val="single"/>
              </w:rPr>
            </w:pPr>
          </w:p>
          <w:p w14:paraId="7F2632D6" w14:textId="470FD6AF" w:rsidR="00565C4C" w:rsidRDefault="00565C4C" w:rsidP="00930788">
            <w:pPr>
              <w:rPr>
                <w:rFonts w:ascii="Arial" w:hAnsi="Arial" w:cs="Arial"/>
                <w:sz w:val="20"/>
                <w:szCs w:val="20"/>
              </w:rPr>
            </w:pPr>
            <w:r>
              <w:rPr>
                <w:rFonts w:ascii="Arial" w:hAnsi="Arial" w:cs="Arial"/>
                <w:sz w:val="20"/>
                <w:szCs w:val="20"/>
                <w:u w:val="single"/>
              </w:rPr>
              <w:t>Risk Measures:</w:t>
            </w:r>
          </w:p>
          <w:p w14:paraId="6C566E48" w14:textId="77777777" w:rsidR="00A37D56" w:rsidRDefault="00565C4C" w:rsidP="00930788">
            <w:pPr>
              <w:rPr>
                <w:rFonts w:ascii="Arial" w:hAnsi="Arial" w:cs="Arial"/>
                <w:sz w:val="20"/>
                <w:szCs w:val="20"/>
              </w:rPr>
            </w:pPr>
            <w:r>
              <w:rPr>
                <w:rFonts w:ascii="Arial" w:hAnsi="Arial" w:cs="Arial"/>
                <w:noProof/>
                <w:sz w:val="20"/>
                <w:szCs w:val="20"/>
              </w:rPr>
              <w:drawing>
                <wp:inline distT="0" distB="0" distL="0" distR="0" wp14:anchorId="223CF70C" wp14:editId="2FB3151C">
                  <wp:extent cx="4027805" cy="714935"/>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92301" cy="726383"/>
                          </a:xfrm>
                          <a:prstGeom prst="rect">
                            <a:avLst/>
                          </a:prstGeom>
                          <a:noFill/>
                        </pic:spPr>
                      </pic:pic>
                    </a:graphicData>
                  </a:graphic>
                </wp:inline>
              </w:drawing>
            </w:r>
          </w:p>
          <w:p w14:paraId="6832A4C1" w14:textId="77777777" w:rsidR="00565C4C" w:rsidRDefault="00565C4C" w:rsidP="00930788">
            <w:pPr>
              <w:rPr>
                <w:rFonts w:ascii="Arial" w:hAnsi="Arial" w:cs="Arial"/>
                <w:sz w:val="20"/>
                <w:szCs w:val="20"/>
              </w:rPr>
            </w:pPr>
          </w:p>
          <w:p w14:paraId="6F64CBD2" w14:textId="10BC57A5" w:rsidR="00565C4C" w:rsidRDefault="00565C4C" w:rsidP="00930788">
            <w:pPr>
              <w:rPr>
                <w:rFonts w:ascii="Arial" w:hAnsi="Arial" w:cs="Arial"/>
                <w:sz w:val="20"/>
                <w:szCs w:val="20"/>
                <w:u w:val="single"/>
              </w:rPr>
            </w:pPr>
            <w:r>
              <w:rPr>
                <w:rFonts w:ascii="Arial" w:hAnsi="Arial" w:cs="Arial"/>
                <w:sz w:val="20"/>
                <w:szCs w:val="20"/>
                <w:u w:val="single"/>
              </w:rPr>
              <w:t>Portfolio Returns:</w:t>
            </w:r>
          </w:p>
          <w:p w14:paraId="247B15D5" w14:textId="21014B65" w:rsidR="00565C4C" w:rsidRDefault="00565C4C" w:rsidP="00930788">
            <w:pPr>
              <w:rPr>
                <w:rFonts w:ascii="Arial" w:hAnsi="Arial" w:cs="Arial"/>
                <w:sz w:val="20"/>
                <w:szCs w:val="20"/>
                <w:u w:val="single"/>
              </w:rPr>
            </w:pPr>
          </w:p>
          <w:p w14:paraId="64E0DF25" w14:textId="6C84D60E" w:rsidR="00565C4C" w:rsidRPr="004658DB" w:rsidRDefault="00565C4C" w:rsidP="00930788">
            <w:pPr>
              <w:rPr>
                <w:rFonts w:ascii="Arial" w:hAnsi="Arial" w:cs="Arial"/>
                <w:sz w:val="20"/>
                <w:szCs w:val="20"/>
              </w:rPr>
            </w:pPr>
            <w:r w:rsidRPr="00565C4C">
              <w:rPr>
                <w:rFonts w:ascii="Arial" w:hAnsi="Arial" w:cs="Arial"/>
                <w:noProof/>
                <w:sz w:val="20"/>
                <w:szCs w:val="20"/>
              </w:rPr>
              <w:drawing>
                <wp:inline distT="0" distB="0" distL="0" distR="0" wp14:anchorId="58D5CEFD" wp14:editId="4F5C771C">
                  <wp:extent cx="1141171" cy="1370033"/>
                  <wp:effectExtent l="0" t="0" r="1905" b="190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2385" cy="1407507"/>
                          </a:xfrm>
                          <a:prstGeom prst="rect">
                            <a:avLst/>
                          </a:prstGeom>
                          <a:noFill/>
                        </pic:spPr>
                      </pic:pic>
                    </a:graphicData>
                  </a:graphic>
                </wp:inline>
              </w:drawing>
            </w:r>
          </w:p>
          <w:p w14:paraId="3331460C" w14:textId="08EC1B52" w:rsidR="00565C4C" w:rsidRPr="00565C4C" w:rsidRDefault="00565C4C" w:rsidP="00930788">
            <w:pPr>
              <w:rPr>
                <w:rFonts w:ascii="Arial" w:hAnsi="Arial" w:cs="Arial"/>
                <w:sz w:val="20"/>
                <w:szCs w:val="20"/>
                <w:u w:val="single"/>
              </w:rPr>
            </w:pPr>
          </w:p>
        </w:tc>
        <w:tc>
          <w:tcPr>
            <w:tcW w:w="895" w:type="dxa"/>
          </w:tcPr>
          <w:p w14:paraId="045905D1" w14:textId="77777777" w:rsidR="00B3111E" w:rsidRPr="00262BCE" w:rsidRDefault="00B3111E" w:rsidP="00D306B1">
            <w:pPr>
              <w:rPr>
                <w:rFonts w:ascii="Arial" w:hAnsi="Arial" w:cs="Arial"/>
                <w:b/>
                <w:sz w:val="20"/>
                <w:szCs w:val="20"/>
              </w:rPr>
            </w:pPr>
          </w:p>
        </w:tc>
      </w:tr>
      <w:tr w:rsidR="004658DB" w:rsidRPr="00262BCE" w14:paraId="7EEA8908" w14:textId="77777777" w:rsidTr="004658DB">
        <w:tc>
          <w:tcPr>
            <w:tcW w:w="1811" w:type="dxa"/>
          </w:tcPr>
          <w:p w14:paraId="642C75C3" w14:textId="05F1C069" w:rsidR="008E3CBC" w:rsidRPr="008E3CBC" w:rsidRDefault="008E3CBC" w:rsidP="008E3CBC">
            <w:pPr>
              <w:rPr>
                <w:rFonts w:ascii="Arial" w:hAnsi="Arial" w:cs="Arial"/>
                <w:b/>
                <w:sz w:val="20"/>
                <w:szCs w:val="20"/>
                <w:lang w:val="en-GB"/>
              </w:rPr>
            </w:pPr>
            <w:r w:rsidRPr="008E3CBC">
              <w:rPr>
                <w:rFonts w:ascii="Arial" w:hAnsi="Arial" w:cs="Arial"/>
                <w:sz w:val="20"/>
                <w:szCs w:val="20"/>
              </w:rPr>
              <w:t>b)</w:t>
            </w:r>
            <w:r>
              <w:rPr>
                <w:rFonts w:ascii="Arial" w:hAnsi="Arial" w:cs="Arial"/>
                <w:b/>
                <w:sz w:val="20"/>
                <w:szCs w:val="20"/>
                <w:lang w:val="en-GB"/>
              </w:rPr>
              <w:br/>
            </w:r>
            <w:r w:rsidR="00DC61E0">
              <w:rPr>
                <w:rFonts w:ascii="Arial" w:hAnsi="Arial" w:cs="Arial"/>
                <w:sz w:val="20"/>
                <w:szCs w:val="20"/>
              </w:rPr>
              <w:t xml:space="preserve">Argue: Riskiest and Safest </w:t>
            </w:r>
            <w:r w:rsidR="001B694A">
              <w:rPr>
                <w:rFonts w:ascii="Arial" w:hAnsi="Arial" w:cs="Arial"/>
                <w:sz w:val="20"/>
                <w:szCs w:val="20"/>
              </w:rPr>
              <w:t>investment of a)</w:t>
            </w:r>
            <w:r w:rsidR="00DC61E0" w:rsidRPr="00DC61E0">
              <w:rPr>
                <w:rFonts w:ascii="Arial" w:hAnsi="Arial" w:cs="Arial"/>
                <w:sz w:val="20"/>
                <w:szCs w:val="20"/>
              </w:rPr>
              <w:br/>
              <w:t>(6 points)</w:t>
            </w:r>
            <w:r w:rsidRPr="00DC61E0">
              <w:rPr>
                <w:rFonts w:ascii="Arial" w:hAnsi="Arial" w:cs="Arial"/>
                <w:sz w:val="20"/>
                <w:szCs w:val="20"/>
              </w:rPr>
              <w:br/>
            </w:r>
          </w:p>
        </w:tc>
        <w:tc>
          <w:tcPr>
            <w:tcW w:w="6690" w:type="dxa"/>
          </w:tcPr>
          <w:p w14:paraId="36775FEF" w14:textId="77777777" w:rsidR="00C41E63" w:rsidRDefault="00C41E63" w:rsidP="00930788">
            <w:pPr>
              <w:rPr>
                <w:rFonts w:ascii="Arial" w:hAnsi="Arial" w:cs="Arial"/>
                <w:b/>
                <w:sz w:val="20"/>
                <w:szCs w:val="20"/>
              </w:rPr>
            </w:pPr>
          </w:p>
          <w:p w14:paraId="7279435A" w14:textId="1BE7A90A" w:rsidR="008E3CBC" w:rsidRDefault="004658DB" w:rsidP="00930788">
            <w:pPr>
              <w:rPr>
                <w:rFonts w:ascii="Arial" w:hAnsi="Arial" w:cs="Arial"/>
                <w:b/>
                <w:sz w:val="20"/>
                <w:szCs w:val="20"/>
              </w:rPr>
            </w:pPr>
            <w:r>
              <w:rPr>
                <w:rFonts w:ascii="Arial" w:hAnsi="Arial" w:cs="Arial"/>
                <w:b/>
                <w:noProof/>
                <w:sz w:val="20"/>
                <w:szCs w:val="20"/>
              </w:rPr>
              <w:drawing>
                <wp:inline distT="0" distB="0" distL="0" distR="0" wp14:anchorId="214C9650" wp14:editId="505D8CA2">
                  <wp:extent cx="4027805" cy="664654"/>
                  <wp:effectExtent l="0" t="0" r="0" b="0"/>
                  <wp:docPr id="23" name="Grafik 23"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fik 23" descr="Ein Bild, das Tisch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4040964" cy="666825"/>
                          </a:xfrm>
                          <a:prstGeom prst="rect">
                            <a:avLst/>
                          </a:prstGeom>
                        </pic:spPr>
                      </pic:pic>
                    </a:graphicData>
                  </a:graphic>
                </wp:inline>
              </w:drawing>
            </w:r>
          </w:p>
          <w:p w14:paraId="45000607" w14:textId="77777777" w:rsidR="00565C4C" w:rsidRDefault="00565C4C" w:rsidP="00930788">
            <w:pPr>
              <w:rPr>
                <w:rFonts w:ascii="Arial" w:hAnsi="Arial" w:cs="Arial"/>
                <w:b/>
                <w:sz w:val="20"/>
                <w:szCs w:val="20"/>
              </w:rPr>
            </w:pPr>
          </w:p>
          <w:p w14:paraId="1A599114" w14:textId="77777777" w:rsidR="00565C4C" w:rsidRDefault="00565C4C" w:rsidP="00930788">
            <w:pPr>
              <w:rPr>
                <w:rFonts w:ascii="Arial" w:hAnsi="Arial" w:cs="Arial"/>
                <w:sz w:val="20"/>
                <w:szCs w:val="20"/>
              </w:rPr>
            </w:pPr>
            <w:r w:rsidRPr="00565C4C">
              <w:rPr>
                <w:rFonts w:ascii="Arial" w:hAnsi="Arial" w:cs="Arial"/>
                <w:sz w:val="20"/>
                <w:szCs w:val="20"/>
              </w:rPr>
              <w:t xml:space="preserve">Since </w:t>
            </w:r>
            <w:r>
              <w:rPr>
                <w:rFonts w:ascii="Arial" w:hAnsi="Arial" w:cs="Arial"/>
                <w:sz w:val="20"/>
                <w:szCs w:val="20"/>
              </w:rPr>
              <w:t xml:space="preserve">Intel stands out in every risk measure (with the highest risk value), we can define it as the riskiest asset, whereas </w:t>
            </w:r>
            <w:proofErr w:type="spellStart"/>
            <w:r>
              <w:rPr>
                <w:rFonts w:ascii="Arial" w:hAnsi="Arial" w:cs="Arial"/>
                <w:sz w:val="20"/>
                <w:szCs w:val="20"/>
              </w:rPr>
              <w:t>Exxon_Mobile</w:t>
            </w:r>
            <w:proofErr w:type="spellEnd"/>
            <w:r>
              <w:rPr>
                <w:rFonts w:ascii="Arial" w:hAnsi="Arial" w:cs="Arial"/>
                <w:sz w:val="20"/>
                <w:szCs w:val="20"/>
              </w:rPr>
              <w:t xml:space="preserve"> is the safest single stock investment. Overall, the Portfolio is the safest investment, underlining the effect of diversification (reducing risk by diversifying the Portfolio) </w:t>
            </w:r>
          </w:p>
          <w:p w14:paraId="18AEAA9C" w14:textId="68017104" w:rsidR="00AB2EE5" w:rsidRPr="00565C4C" w:rsidRDefault="00AB2EE5" w:rsidP="00930788">
            <w:pPr>
              <w:rPr>
                <w:rFonts w:ascii="Arial" w:hAnsi="Arial" w:cs="Arial"/>
                <w:sz w:val="20"/>
                <w:szCs w:val="20"/>
              </w:rPr>
            </w:pPr>
          </w:p>
        </w:tc>
        <w:tc>
          <w:tcPr>
            <w:tcW w:w="895" w:type="dxa"/>
          </w:tcPr>
          <w:p w14:paraId="7FD3E44E" w14:textId="77777777" w:rsidR="008E3CBC" w:rsidRPr="00262BCE" w:rsidRDefault="008E3CBC" w:rsidP="00D306B1">
            <w:pPr>
              <w:rPr>
                <w:rFonts w:ascii="Arial" w:hAnsi="Arial" w:cs="Arial"/>
                <w:b/>
                <w:sz w:val="20"/>
                <w:szCs w:val="20"/>
              </w:rPr>
            </w:pPr>
          </w:p>
        </w:tc>
      </w:tr>
      <w:tr w:rsidR="004658DB" w:rsidRPr="00262BCE" w14:paraId="2B3EA119" w14:textId="77777777" w:rsidTr="004658DB">
        <w:trPr>
          <w:trHeight w:val="340"/>
        </w:trPr>
        <w:tc>
          <w:tcPr>
            <w:tcW w:w="1811" w:type="dxa"/>
          </w:tcPr>
          <w:p w14:paraId="5027F5F2" w14:textId="163B1CA1" w:rsidR="000E509E" w:rsidRPr="00683ADD" w:rsidRDefault="000E509E" w:rsidP="000E509E">
            <w:pPr>
              <w:rPr>
                <w:rFonts w:ascii="Arial" w:hAnsi="Arial" w:cs="Arial"/>
                <w:sz w:val="20"/>
                <w:szCs w:val="20"/>
              </w:rPr>
            </w:pPr>
            <w:r w:rsidRPr="00683ADD">
              <w:rPr>
                <w:rFonts w:ascii="Arial" w:hAnsi="Arial" w:cs="Arial"/>
                <w:sz w:val="20"/>
                <w:szCs w:val="20"/>
              </w:rPr>
              <w:t xml:space="preserve">c) </w:t>
            </w:r>
            <w:r w:rsidR="00683ADD" w:rsidRPr="00683ADD">
              <w:rPr>
                <w:rFonts w:ascii="Arial" w:hAnsi="Arial" w:cs="Arial"/>
                <w:sz w:val="20"/>
                <w:szCs w:val="20"/>
              </w:rPr>
              <w:br/>
              <w:t xml:space="preserve">VaR/ES of 21-day </w:t>
            </w:r>
            <w:r w:rsidR="00683ADD">
              <w:rPr>
                <w:rFonts w:ascii="Arial" w:hAnsi="Arial" w:cs="Arial"/>
                <w:sz w:val="20"/>
                <w:szCs w:val="20"/>
              </w:rPr>
              <w:t>rolling window</w:t>
            </w:r>
          </w:p>
          <w:p w14:paraId="7F29C167" w14:textId="1A00B43E" w:rsidR="00262BCE" w:rsidRPr="00262BCE" w:rsidRDefault="00262BCE" w:rsidP="000E509E">
            <w:pPr>
              <w:rPr>
                <w:rFonts w:ascii="Arial" w:hAnsi="Arial" w:cs="Arial"/>
                <w:sz w:val="20"/>
                <w:szCs w:val="20"/>
              </w:rPr>
            </w:pPr>
            <w:r>
              <w:rPr>
                <w:rFonts w:ascii="Arial" w:hAnsi="Arial" w:cs="Arial"/>
                <w:sz w:val="20"/>
                <w:szCs w:val="20"/>
              </w:rPr>
              <w:t>(</w:t>
            </w:r>
            <w:r w:rsidR="001B694A">
              <w:rPr>
                <w:rFonts w:ascii="Arial" w:hAnsi="Arial" w:cs="Arial"/>
                <w:sz w:val="20"/>
                <w:szCs w:val="20"/>
              </w:rPr>
              <w:t>10</w:t>
            </w:r>
            <w:r>
              <w:rPr>
                <w:rFonts w:ascii="Arial" w:hAnsi="Arial" w:cs="Arial"/>
                <w:sz w:val="20"/>
                <w:szCs w:val="20"/>
              </w:rPr>
              <w:t xml:space="preserve"> points)</w:t>
            </w:r>
          </w:p>
          <w:p w14:paraId="5FECA4E8" w14:textId="0284EF0D" w:rsidR="000E509E" w:rsidRPr="00262BCE" w:rsidRDefault="000E509E" w:rsidP="000E509E">
            <w:pPr>
              <w:rPr>
                <w:rFonts w:ascii="Arial" w:hAnsi="Arial" w:cs="Arial"/>
                <w:sz w:val="20"/>
                <w:szCs w:val="20"/>
              </w:rPr>
            </w:pPr>
          </w:p>
        </w:tc>
        <w:tc>
          <w:tcPr>
            <w:tcW w:w="6690" w:type="dxa"/>
          </w:tcPr>
          <w:p w14:paraId="717B69A2" w14:textId="77777777" w:rsidR="00987A81" w:rsidRDefault="00987A81" w:rsidP="00D306B1">
            <w:pPr>
              <w:rPr>
                <w:rFonts w:ascii="Arial" w:hAnsi="Arial" w:cs="Arial"/>
                <w:sz w:val="24"/>
                <w:szCs w:val="24"/>
              </w:rPr>
            </w:pPr>
          </w:p>
          <w:p w14:paraId="0D99A652" w14:textId="77777777" w:rsidR="00A37D56" w:rsidRDefault="00987A81" w:rsidP="00D306B1">
            <w:pPr>
              <w:rPr>
                <w:rFonts w:ascii="Arial" w:hAnsi="Arial" w:cs="Arial"/>
                <w:sz w:val="24"/>
                <w:szCs w:val="24"/>
              </w:rPr>
            </w:pPr>
            <w:r>
              <w:rPr>
                <w:rFonts w:ascii="Arial" w:hAnsi="Arial" w:cs="Arial"/>
                <w:noProof/>
                <w:sz w:val="24"/>
                <w:szCs w:val="24"/>
              </w:rPr>
              <w:drawing>
                <wp:inline distT="0" distB="0" distL="0" distR="0" wp14:anchorId="34CD85EB" wp14:editId="7FB1EDEC">
                  <wp:extent cx="2468887" cy="727587"/>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4159" cy="767452"/>
                          </a:xfrm>
                          <a:prstGeom prst="rect">
                            <a:avLst/>
                          </a:prstGeom>
                          <a:noFill/>
                        </pic:spPr>
                      </pic:pic>
                    </a:graphicData>
                  </a:graphic>
                </wp:inline>
              </w:drawing>
            </w:r>
          </w:p>
          <w:p w14:paraId="2FA0EE2F" w14:textId="26906C5B" w:rsidR="00987A81" w:rsidRPr="00565C4C" w:rsidRDefault="00987A81" w:rsidP="00D306B1">
            <w:pPr>
              <w:rPr>
                <w:rFonts w:ascii="Arial" w:hAnsi="Arial" w:cs="Arial"/>
                <w:sz w:val="24"/>
                <w:szCs w:val="24"/>
              </w:rPr>
            </w:pPr>
          </w:p>
        </w:tc>
        <w:tc>
          <w:tcPr>
            <w:tcW w:w="895" w:type="dxa"/>
          </w:tcPr>
          <w:p w14:paraId="4BDE53B8" w14:textId="77777777" w:rsidR="00B3111E" w:rsidRPr="00262BCE" w:rsidRDefault="00B3111E" w:rsidP="00D306B1">
            <w:pPr>
              <w:rPr>
                <w:rFonts w:ascii="Arial" w:hAnsi="Arial" w:cs="Arial"/>
                <w:b/>
                <w:sz w:val="24"/>
                <w:szCs w:val="24"/>
              </w:rPr>
            </w:pPr>
          </w:p>
        </w:tc>
      </w:tr>
      <w:tr w:rsidR="004658DB" w:rsidRPr="00262BCE" w14:paraId="101E14DF" w14:textId="77777777" w:rsidTr="004658DB">
        <w:trPr>
          <w:trHeight w:val="340"/>
        </w:trPr>
        <w:tc>
          <w:tcPr>
            <w:tcW w:w="1811" w:type="dxa"/>
          </w:tcPr>
          <w:p w14:paraId="7C503C3B" w14:textId="77777777" w:rsidR="00B3111E" w:rsidRPr="00262BCE" w:rsidRDefault="000E509E" w:rsidP="00A37D56">
            <w:pPr>
              <w:rPr>
                <w:rFonts w:ascii="Arial" w:hAnsi="Arial" w:cs="Arial"/>
                <w:sz w:val="20"/>
                <w:szCs w:val="20"/>
              </w:rPr>
            </w:pPr>
            <w:r w:rsidRPr="00262BCE">
              <w:rPr>
                <w:rFonts w:ascii="Arial" w:hAnsi="Arial" w:cs="Arial"/>
                <w:sz w:val="20"/>
                <w:szCs w:val="20"/>
              </w:rPr>
              <w:lastRenderedPageBreak/>
              <w:t>d)</w:t>
            </w:r>
          </w:p>
          <w:p w14:paraId="1CB6FB19" w14:textId="2D78E7D5" w:rsidR="00262BCE" w:rsidRPr="00262BCE" w:rsidRDefault="00AA7B0C" w:rsidP="00A37D56">
            <w:pPr>
              <w:rPr>
                <w:rFonts w:ascii="Arial" w:hAnsi="Arial" w:cs="Arial"/>
                <w:sz w:val="20"/>
                <w:szCs w:val="20"/>
              </w:rPr>
            </w:pPr>
            <w:r>
              <w:rPr>
                <w:rFonts w:ascii="Arial" w:hAnsi="Arial" w:cs="Arial"/>
                <w:sz w:val="20"/>
                <w:szCs w:val="20"/>
              </w:rPr>
              <w:t>Estimate and plot the 5-year rolling Semi-</w:t>
            </w:r>
            <w:proofErr w:type="spellStart"/>
            <w:r>
              <w:rPr>
                <w:rFonts w:ascii="Arial" w:hAnsi="Arial" w:cs="Arial"/>
                <w:sz w:val="20"/>
                <w:szCs w:val="20"/>
              </w:rPr>
              <w:t>St.Dev</w:t>
            </w:r>
            <w:proofErr w:type="spellEnd"/>
            <w:r>
              <w:rPr>
                <w:rFonts w:ascii="Arial" w:hAnsi="Arial" w:cs="Arial"/>
                <w:sz w:val="20"/>
                <w:szCs w:val="20"/>
              </w:rPr>
              <w:t>.</w:t>
            </w:r>
            <w:r w:rsidR="002C5563">
              <w:rPr>
                <w:rFonts w:ascii="Arial" w:hAnsi="Arial" w:cs="Arial"/>
                <w:sz w:val="20"/>
                <w:szCs w:val="20"/>
              </w:rPr>
              <w:br/>
            </w:r>
            <w:r w:rsidR="00262BCE">
              <w:rPr>
                <w:rFonts w:ascii="Arial" w:hAnsi="Arial" w:cs="Arial"/>
                <w:sz w:val="20"/>
                <w:szCs w:val="20"/>
              </w:rPr>
              <w:t>(</w:t>
            </w:r>
            <w:r w:rsidR="00E571BD">
              <w:rPr>
                <w:rFonts w:ascii="Arial" w:hAnsi="Arial" w:cs="Arial"/>
                <w:sz w:val="20"/>
                <w:szCs w:val="20"/>
              </w:rPr>
              <w:t>10</w:t>
            </w:r>
            <w:r w:rsidR="00262BCE">
              <w:rPr>
                <w:rFonts w:ascii="Arial" w:hAnsi="Arial" w:cs="Arial"/>
                <w:sz w:val="20"/>
                <w:szCs w:val="20"/>
              </w:rPr>
              <w:t xml:space="preserve"> points)</w:t>
            </w:r>
            <w:r w:rsidR="002C5563">
              <w:rPr>
                <w:rFonts w:ascii="Arial" w:hAnsi="Arial" w:cs="Arial"/>
                <w:sz w:val="20"/>
                <w:szCs w:val="20"/>
              </w:rPr>
              <w:br/>
            </w:r>
          </w:p>
        </w:tc>
        <w:tc>
          <w:tcPr>
            <w:tcW w:w="6690" w:type="dxa"/>
          </w:tcPr>
          <w:p w14:paraId="4A31FA45" w14:textId="57D4CAA1" w:rsidR="00A37D56" w:rsidRPr="00565C4C" w:rsidRDefault="00C41E63" w:rsidP="00A37D56">
            <w:pPr>
              <w:rPr>
                <w:rFonts w:ascii="Arial" w:hAnsi="Arial" w:cs="Arial"/>
                <w:sz w:val="24"/>
                <w:szCs w:val="24"/>
              </w:rPr>
            </w:pPr>
            <w:r>
              <w:rPr>
                <w:noProof/>
              </w:rPr>
              <w:drawing>
                <wp:inline distT="0" distB="0" distL="0" distR="0" wp14:anchorId="196E6805" wp14:editId="4C636FBA">
                  <wp:extent cx="3722773" cy="2083819"/>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5933" cy="2119173"/>
                          </a:xfrm>
                          <a:prstGeom prst="rect">
                            <a:avLst/>
                          </a:prstGeom>
                        </pic:spPr>
                      </pic:pic>
                    </a:graphicData>
                  </a:graphic>
                </wp:inline>
              </w:drawing>
            </w:r>
          </w:p>
        </w:tc>
        <w:tc>
          <w:tcPr>
            <w:tcW w:w="895" w:type="dxa"/>
          </w:tcPr>
          <w:p w14:paraId="7A5B000E" w14:textId="77777777" w:rsidR="00B3111E" w:rsidRPr="00262BCE" w:rsidRDefault="00B3111E" w:rsidP="00D306B1">
            <w:pPr>
              <w:rPr>
                <w:rFonts w:ascii="Arial" w:hAnsi="Arial" w:cs="Arial"/>
                <w:b/>
                <w:sz w:val="24"/>
                <w:szCs w:val="24"/>
              </w:rPr>
            </w:pPr>
          </w:p>
        </w:tc>
      </w:tr>
      <w:tr w:rsidR="004658DB" w:rsidRPr="00262BCE" w14:paraId="2C8CE0E5" w14:textId="77777777" w:rsidTr="004658DB">
        <w:trPr>
          <w:trHeight w:val="340"/>
        </w:trPr>
        <w:tc>
          <w:tcPr>
            <w:tcW w:w="1811" w:type="dxa"/>
            <w:shd w:val="clear" w:color="auto" w:fill="auto"/>
          </w:tcPr>
          <w:p w14:paraId="79ED07F3" w14:textId="1FF5D722" w:rsidR="000E509E" w:rsidRPr="00262BCE" w:rsidRDefault="000E509E" w:rsidP="00670E15">
            <w:pPr>
              <w:rPr>
                <w:rFonts w:ascii="Arial" w:hAnsi="Arial" w:cs="Arial"/>
                <w:sz w:val="20"/>
                <w:szCs w:val="20"/>
              </w:rPr>
            </w:pPr>
            <w:r w:rsidRPr="00262BCE">
              <w:rPr>
                <w:rFonts w:ascii="Arial" w:hAnsi="Arial" w:cs="Arial"/>
                <w:sz w:val="20"/>
                <w:szCs w:val="20"/>
              </w:rPr>
              <w:t>e)</w:t>
            </w:r>
            <w:r w:rsidR="00B9055D">
              <w:rPr>
                <w:rFonts w:ascii="Arial" w:hAnsi="Arial" w:cs="Arial"/>
                <w:sz w:val="20"/>
                <w:szCs w:val="20"/>
              </w:rPr>
              <w:br/>
            </w:r>
            <w:r w:rsidR="008E2F1A">
              <w:rPr>
                <w:rFonts w:ascii="Arial" w:hAnsi="Arial" w:cs="Arial"/>
                <w:sz w:val="20"/>
                <w:szCs w:val="20"/>
              </w:rPr>
              <w:t>Identify the 5 riskiest periods</w:t>
            </w:r>
            <w:r w:rsidRPr="00262BCE">
              <w:rPr>
                <w:rFonts w:ascii="Arial" w:hAnsi="Arial" w:cs="Arial"/>
                <w:sz w:val="20"/>
                <w:szCs w:val="20"/>
              </w:rPr>
              <w:t xml:space="preserve"> </w:t>
            </w:r>
          </w:p>
          <w:p w14:paraId="3498D1F9" w14:textId="7B3BBFD3" w:rsidR="00262BCE" w:rsidRPr="00262BCE" w:rsidRDefault="00262BCE" w:rsidP="00670E15">
            <w:pPr>
              <w:rPr>
                <w:rFonts w:ascii="Arial" w:hAnsi="Arial" w:cs="Arial"/>
                <w:sz w:val="20"/>
                <w:szCs w:val="20"/>
              </w:rPr>
            </w:pPr>
            <w:r>
              <w:rPr>
                <w:rFonts w:ascii="Arial" w:hAnsi="Arial" w:cs="Arial"/>
                <w:sz w:val="20"/>
                <w:szCs w:val="20"/>
              </w:rPr>
              <w:t>(</w:t>
            </w:r>
            <w:r w:rsidR="00B9055D">
              <w:rPr>
                <w:rFonts w:ascii="Arial" w:hAnsi="Arial" w:cs="Arial"/>
                <w:sz w:val="20"/>
                <w:szCs w:val="20"/>
              </w:rPr>
              <w:t>8</w:t>
            </w:r>
            <w:r>
              <w:rPr>
                <w:rFonts w:ascii="Arial" w:hAnsi="Arial" w:cs="Arial"/>
                <w:sz w:val="20"/>
                <w:szCs w:val="20"/>
              </w:rPr>
              <w:t xml:space="preserve"> points)</w:t>
            </w:r>
          </w:p>
          <w:p w14:paraId="1C1DA26E" w14:textId="6239EF43" w:rsidR="000E509E" w:rsidRPr="00262BCE" w:rsidRDefault="000E509E" w:rsidP="00670E15">
            <w:pPr>
              <w:rPr>
                <w:rFonts w:ascii="Arial" w:hAnsi="Arial" w:cs="Arial"/>
                <w:sz w:val="20"/>
                <w:szCs w:val="20"/>
              </w:rPr>
            </w:pPr>
          </w:p>
        </w:tc>
        <w:tc>
          <w:tcPr>
            <w:tcW w:w="6690" w:type="dxa"/>
          </w:tcPr>
          <w:p w14:paraId="1DCFDB47" w14:textId="77777777" w:rsidR="00A37D56" w:rsidRDefault="002E0BD1" w:rsidP="00A37D56">
            <w:pPr>
              <w:rPr>
                <w:rFonts w:ascii="Arial" w:hAnsi="Arial" w:cs="Arial"/>
                <w:b/>
                <w:sz w:val="24"/>
                <w:szCs w:val="24"/>
              </w:rPr>
            </w:pPr>
            <w:r>
              <w:rPr>
                <w:noProof/>
              </w:rPr>
              <w:drawing>
                <wp:inline distT="0" distB="0" distL="0" distR="0" wp14:anchorId="7E09297B" wp14:editId="57F6CCD6">
                  <wp:extent cx="3858260" cy="2241696"/>
                  <wp:effectExtent l="0" t="0" r="889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7866" cy="2247277"/>
                          </a:xfrm>
                          <a:prstGeom prst="rect">
                            <a:avLst/>
                          </a:prstGeom>
                        </pic:spPr>
                      </pic:pic>
                    </a:graphicData>
                  </a:graphic>
                </wp:inline>
              </w:drawing>
            </w:r>
          </w:p>
          <w:p w14:paraId="27B83A87" w14:textId="70880E0D" w:rsidR="002E0BD1" w:rsidRPr="00C41E63" w:rsidRDefault="002E0BD1" w:rsidP="00A37D56">
            <w:pPr>
              <w:rPr>
                <w:rFonts w:ascii="Arial" w:hAnsi="Arial" w:cs="Arial"/>
                <w:bCs/>
                <w:sz w:val="20"/>
                <w:szCs w:val="20"/>
              </w:rPr>
            </w:pPr>
            <w:r w:rsidRPr="00C41E63">
              <w:rPr>
                <w:rFonts w:ascii="Arial" w:hAnsi="Arial" w:cs="Arial"/>
                <w:bCs/>
                <w:sz w:val="20"/>
                <w:szCs w:val="20"/>
              </w:rPr>
              <w:t xml:space="preserve">The Semi Std. Estimations shows five periods, where </w:t>
            </w:r>
            <w:r w:rsidR="008E044A">
              <w:rPr>
                <w:rFonts w:ascii="Arial" w:hAnsi="Arial" w:cs="Arial"/>
                <w:bCs/>
                <w:sz w:val="20"/>
                <w:szCs w:val="20"/>
              </w:rPr>
              <w:t>the</w:t>
            </w:r>
            <w:r w:rsidRPr="00C41E63">
              <w:rPr>
                <w:rFonts w:ascii="Arial" w:hAnsi="Arial" w:cs="Arial"/>
                <w:bCs/>
                <w:sz w:val="20"/>
                <w:szCs w:val="20"/>
              </w:rPr>
              <w:t xml:space="preserve"> graph is increasing sharply in a short time, stays at a higher level for </w:t>
            </w:r>
            <w:proofErr w:type="gramStart"/>
            <w:r w:rsidRPr="00C41E63">
              <w:rPr>
                <w:rFonts w:ascii="Arial" w:hAnsi="Arial" w:cs="Arial"/>
                <w:bCs/>
                <w:sz w:val="20"/>
                <w:szCs w:val="20"/>
              </w:rPr>
              <w:t>a period of time</w:t>
            </w:r>
            <w:proofErr w:type="gramEnd"/>
            <w:r w:rsidRPr="00C41E63">
              <w:rPr>
                <w:rFonts w:ascii="Arial" w:hAnsi="Arial" w:cs="Arial"/>
                <w:bCs/>
                <w:sz w:val="20"/>
                <w:szCs w:val="20"/>
              </w:rPr>
              <w:t xml:space="preserve"> and then sharply decreases again. </w:t>
            </w:r>
          </w:p>
          <w:p w14:paraId="0708EAA2" w14:textId="7C1E0F5B" w:rsidR="002E0BD1" w:rsidRPr="00C41E63" w:rsidRDefault="002E0BD1" w:rsidP="00A37D56">
            <w:pPr>
              <w:rPr>
                <w:rFonts w:ascii="Arial" w:hAnsi="Arial" w:cs="Arial"/>
                <w:bCs/>
                <w:sz w:val="20"/>
                <w:szCs w:val="20"/>
              </w:rPr>
            </w:pPr>
          </w:p>
          <w:p w14:paraId="28401357" w14:textId="59E5278D" w:rsidR="002E0BD1" w:rsidRPr="00C41E63" w:rsidRDefault="002E0BD1" w:rsidP="00A37D56">
            <w:pPr>
              <w:rPr>
                <w:rFonts w:ascii="Arial" w:hAnsi="Arial" w:cs="Arial"/>
                <w:bCs/>
                <w:sz w:val="20"/>
                <w:szCs w:val="20"/>
              </w:rPr>
            </w:pPr>
            <w:r w:rsidRPr="00C41E63">
              <w:rPr>
                <w:rFonts w:ascii="Arial" w:hAnsi="Arial" w:cs="Arial"/>
                <w:bCs/>
                <w:sz w:val="20"/>
                <w:szCs w:val="20"/>
              </w:rPr>
              <w:t>The first period, right before 1980, relates to the Oil Shock of 1978-1979. Associated with events in the Middle East and driven by a strong global oil demand, oil prices began to rise rapidly. More than doubling between April 1979 and April 1980. Leading to an economical driven stock market crash.</w:t>
            </w:r>
          </w:p>
          <w:p w14:paraId="472B2DB4" w14:textId="5E85384B" w:rsidR="002E0BD1" w:rsidRPr="00C41E63" w:rsidRDefault="002E0BD1" w:rsidP="00A37D56">
            <w:pPr>
              <w:rPr>
                <w:rFonts w:ascii="Arial" w:hAnsi="Arial" w:cs="Arial"/>
                <w:bCs/>
                <w:sz w:val="20"/>
                <w:szCs w:val="20"/>
              </w:rPr>
            </w:pPr>
          </w:p>
          <w:p w14:paraId="37CD7049" w14:textId="4CD821BB" w:rsidR="002E0BD1" w:rsidRPr="00C41E63" w:rsidRDefault="002E0BD1" w:rsidP="00A37D56">
            <w:pPr>
              <w:rPr>
                <w:rFonts w:ascii="Arial" w:hAnsi="Arial" w:cs="Arial"/>
                <w:bCs/>
                <w:sz w:val="20"/>
                <w:szCs w:val="20"/>
              </w:rPr>
            </w:pPr>
            <w:r w:rsidRPr="00C41E63">
              <w:rPr>
                <w:rFonts w:ascii="Arial" w:hAnsi="Arial" w:cs="Arial"/>
                <w:bCs/>
                <w:sz w:val="20"/>
                <w:szCs w:val="20"/>
              </w:rPr>
              <w:t xml:space="preserve">The second period begins on October 19, 1987 – so called Black Monday. The Dow Jones decreased by 22.6% (508 points) </w:t>
            </w:r>
            <w:r w:rsidR="00934ECA" w:rsidRPr="00C41E63">
              <w:rPr>
                <w:rFonts w:ascii="Arial" w:hAnsi="Arial" w:cs="Arial"/>
                <w:bCs/>
                <w:sz w:val="20"/>
                <w:szCs w:val="20"/>
              </w:rPr>
              <w:t>within</w:t>
            </w:r>
            <w:r w:rsidRPr="00C41E63">
              <w:rPr>
                <w:rFonts w:ascii="Arial" w:hAnsi="Arial" w:cs="Arial"/>
                <w:bCs/>
                <w:sz w:val="20"/>
                <w:szCs w:val="20"/>
              </w:rPr>
              <w:t xml:space="preserve"> one day. </w:t>
            </w:r>
            <w:r w:rsidR="00C716AE" w:rsidRPr="00C41E63">
              <w:rPr>
                <w:rFonts w:ascii="Arial" w:hAnsi="Arial" w:cs="Arial"/>
                <w:bCs/>
                <w:sz w:val="20"/>
                <w:szCs w:val="20"/>
              </w:rPr>
              <w:t xml:space="preserve">The Fed increased (for the first time in three years) the interest rate for short-term lending, leading to increased uncertainty. Additionally, there was a loss of trust into the US-Dollar after James Baker (finance minister of </w:t>
            </w:r>
            <w:r w:rsidR="00934ECA" w:rsidRPr="00C41E63">
              <w:rPr>
                <w:rFonts w:ascii="Arial" w:hAnsi="Arial" w:cs="Arial"/>
                <w:bCs/>
                <w:sz w:val="20"/>
                <w:szCs w:val="20"/>
              </w:rPr>
              <w:t>President</w:t>
            </w:r>
            <w:r w:rsidR="00C716AE" w:rsidRPr="00C41E63">
              <w:rPr>
                <w:rFonts w:ascii="Arial" w:hAnsi="Arial" w:cs="Arial"/>
                <w:bCs/>
                <w:sz w:val="20"/>
                <w:szCs w:val="20"/>
              </w:rPr>
              <w:t xml:space="preserve"> Reagan) publicly stated, that </w:t>
            </w:r>
            <w:proofErr w:type="gramStart"/>
            <w:r w:rsidR="00C716AE" w:rsidRPr="00C41E63">
              <w:rPr>
                <w:rFonts w:ascii="Arial" w:hAnsi="Arial" w:cs="Arial"/>
                <w:bCs/>
                <w:sz w:val="20"/>
                <w:szCs w:val="20"/>
              </w:rPr>
              <w:t>the</w:t>
            </w:r>
            <w:proofErr w:type="gramEnd"/>
            <w:r w:rsidR="00C716AE" w:rsidRPr="00C41E63">
              <w:rPr>
                <w:rFonts w:ascii="Arial" w:hAnsi="Arial" w:cs="Arial"/>
                <w:bCs/>
                <w:sz w:val="20"/>
                <w:szCs w:val="20"/>
              </w:rPr>
              <w:t xml:space="preserve"> would not strengthen the US Dollar and will take a devaluation of the US Dollar into account.</w:t>
            </w:r>
          </w:p>
          <w:p w14:paraId="328854EC" w14:textId="332EB0C9" w:rsidR="00C716AE" w:rsidRPr="00C41E63" w:rsidRDefault="00C716AE" w:rsidP="00A37D56">
            <w:pPr>
              <w:rPr>
                <w:rFonts w:ascii="Arial" w:hAnsi="Arial" w:cs="Arial"/>
                <w:bCs/>
                <w:sz w:val="20"/>
                <w:szCs w:val="20"/>
              </w:rPr>
            </w:pPr>
          </w:p>
          <w:p w14:paraId="2140DAB3" w14:textId="56E37421" w:rsidR="00C716AE" w:rsidRPr="00C41E63" w:rsidRDefault="00C716AE" w:rsidP="00A37D56">
            <w:pPr>
              <w:rPr>
                <w:rFonts w:ascii="Arial" w:hAnsi="Arial" w:cs="Arial"/>
                <w:bCs/>
                <w:sz w:val="20"/>
                <w:szCs w:val="20"/>
              </w:rPr>
            </w:pPr>
            <w:r w:rsidRPr="00C41E63">
              <w:rPr>
                <w:rFonts w:ascii="Arial" w:hAnsi="Arial" w:cs="Arial"/>
                <w:bCs/>
                <w:sz w:val="20"/>
                <w:szCs w:val="20"/>
              </w:rPr>
              <w:t xml:space="preserve">The third period marks the dot com bubble, which busted in </w:t>
            </w:r>
            <w:r w:rsidR="00934ECA" w:rsidRPr="00C41E63">
              <w:rPr>
                <w:rFonts w:ascii="Arial" w:hAnsi="Arial" w:cs="Arial"/>
                <w:bCs/>
                <w:sz w:val="20"/>
                <w:szCs w:val="20"/>
              </w:rPr>
              <w:t>March</w:t>
            </w:r>
            <w:r w:rsidRPr="00C41E63">
              <w:rPr>
                <w:rFonts w:ascii="Arial" w:hAnsi="Arial" w:cs="Arial"/>
                <w:bCs/>
                <w:sz w:val="20"/>
                <w:szCs w:val="20"/>
              </w:rPr>
              <w:t xml:space="preserve"> 2000. High expected revenues and a lot of speculation into firms, which were not profitable at all, leading to strong growing equity prices. Many firms became insolvent and in </w:t>
            </w:r>
            <w:r w:rsidR="00934ECA" w:rsidRPr="00C41E63">
              <w:rPr>
                <w:rFonts w:ascii="Arial" w:hAnsi="Arial" w:cs="Arial"/>
                <w:bCs/>
                <w:sz w:val="20"/>
                <w:szCs w:val="20"/>
              </w:rPr>
              <w:t>March</w:t>
            </w:r>
            <w:r w:rsidRPr="00C41E63">
              <w:rPr>
                <w:rFonts w:ascii="Arial" w:hAnsi="Arial" w:cs="Arial"/>
                <w:bCs/>
                <w:sz w:val="20"/>
                <w:szCs w:val="20"/>
              </w:rPr>
              <w:t xml:space="preserve"> 2000 the equity prices went down, leading to high volume selling on the stock market, leading to a market crash.</w:t>
            </w:r>
          </w:p>
          <w:p w14:paraId="6DEA0B62" w14:textId="46C39E65" w:rsidR="00C716AE" w:rsidRPr="00C41E63" w:rsidRDefault="00C716AE" w:rsidP="00A37D56">
            <w:pPr>
              <w:rPr>
                <w:rFonts w:ascii="Arial" w:hAnsi="Arial" w:cs="Arial"/>
                <w:bCs/>
                <w:sz w:val="20"/>
                <w:szCs w:val="20"/>
              </w:rPr>
            </w:pPr>
          </w:p>
          <w:p w14:paraId="59A062D4" w14:textId="45082BE9" w:rsidR="00C716AE" w:rsidRPr="00C41E63" w:rsidRDefault="00C716AE" w:rsidP="00A37D56">
            <w:pPr>
              <w:rPr>
                <w:rFonts w:ascii="Arial" w:hAnsi="Arial" w:cs="Arial"/>
                <w:bCs/>
                <w:sz w:val="20"/>
                <w:szCs w:val="20"/>
              </w:rPr>
            </w:pPr>
            <w:r w:rsidRPr="00C41E63">
              <w:rPr>
                <w:rFonts w:ascii="Arial" w:hAnsi="Arial" w:cs="Arial"/>
                <w:bCs/>
                <w:sz w:val="20"/>
                <w:szCs w:val="20"/>
              </w:rPr>
              <w:lastRenderedPageBreak/>
              <w:t xml:space="preserve">The fourth period is related to the global </w:t>
            </w:r>
            <w:r w:rsidR="006973AE" w:rsidRPr="00C41E63">
              <w:rPr>
                <w:rFonts w:ascii="Arial" w:hAnsi="Arial" w:cs="Arial"/>
                <w:bCs/>
                <w:sz w:val="20"/>
                <w:szCs w:val="20"/>
              </w:rPr>
              <w:t xml:space="preserve">financial crisis of 2007 – 2008. On of the reasons for this crisis were the speculative mortgage market in the US in combination with an unexpected increase of the interest rate for interbank foreign exchange market. </w:t>
            </w:r>
          </w:p>
          <w:p w14:paraId="658960EF" w14:textId="6258A21D" w:rsidR="006973AE" w:rsidRPr="00C41E63" w:rsidRDefault="006973AE" w:rsidP="00A37D56">
            <w:pPr>
              <w:rPr>
                <w:rFonts w:ascii="Arial" w:hAnsi="Arial" w:cs="Arial"/>
                <w:bCs/>
                <w:sz w:val="20"/>
                <w:szCs w:val="20"/>
              </w:rPr>
            </w:pPr>
          </w:p>
          <w:p w14:paraId="7D5024F2" w14:textId="6BEB7DEB" w:rsidR="006973AE" w:rsidRPr="00C41E63" w:rsidRDefault="006973AE" w:rsidP="00A37D56">
            <w:pPr>
              <w:rPr>
                <w:rFonts w:ascii="Arial" w:hAnsi="Arial" w:cs="Arial"/>
                <w:bCs/>
                <w:sz w:val="20"/>
                <w:szCs w:val="20"/>
              </w:rPr>
            </w:pPr>
            <w:r w:rsidRPr="00C41E63">
              <w:rPr>
                <w:rFonts w:ascii="Arial" w:hAnsi="Arial" w:cs="Arial"/>
                <w:bCs/>
                <w:sz w:val="20"/>
                <w:szCs w:val="20"/>
              </w:rPr>
              <w:t>The last crisis is the – still ongoing – COVID-19 crisis. After an outbreak in China, the virus reached Europe and the USA early 2020 leading to strong losses in Equity markets. However, the Fed and other national banks strongly increased liquidity on the market, leading to fast recovery on the equity market. For example, the SMI reached his pre-COVID-19 Level within 14 months. For comparison, it took almost 12 years to reach the level before the financial crisis 2007.</w:t>
            </w:r>
          </w:p>
          <w:p w14:paraId="3E329500" w14:textId="6EEDFA73" w:rsidR="00565C4C" w:rsidRPr="00262BCE" w:rsidRDefault="00565C4C" w:rsidP="00A37D56">
            <w:pPr>
              <w:rPr>
                <w:rFonts w:ascii="Arial" w:hAnsi="Arial" w:cs="Arial"/>
                <w:b/>
                <w:sz w:val="24"/>
                <w:szCs w:val="24"/>
              </w:rPr>
            </w:pPr>
          </w:p>
        </w:tc>
        <w:tc>
          <w:tcPr>
            <w:tcW w:w="895" w:type="dxa"/>
          </w:tcPr>
          <w:p w14:paraId="358AE556" w14:textId="77777777" w:rsidR="00B3111E" w:rsidRPr="00262BCE" w:rsidRDefault="00B3111E" w:rsidP="00D306B1">
            <w:pPr>
              <w:rPr>
                <w:rFonts w:ascii="Arial" w:hAnsi="Arial" w:cs="Arial"/>
                <w:b/>
                <w:sz w:val="24"/>
                <w:szCs w:val="24"/>
              </w:rPr>
            </w:pPr>
          </w:p>
        </w:tc>
      </w:tr>
      <w:tr w:rsidR="004658DB" w:rsidRPr="00262BCE" w14:paraId="4BB14DBD" w14:textId="77777777" w:rsidTr="004658DB">
        <w:trPr>
          <w:trHeight w:val="340"/>
        </w:trPr>
        <w:tc>
          <w:tcPr>
            <w:tcW w:w="1811" w:type="dxa"/>
          </w:tcPr>
          <w:p w14:paraId="5B83225B" w14:textId="232CBE89" w:rsidR="00670E15" w:rsidRPr="00262BCE" w:rsidRDefault="000E509E" w:rsidP="00670E15">
            <w:pPr>
              <w:rPr>
                <w:rFonts w:ascii="Arial" w:hAnsi="Arial" w:cs="Arial"/>
                <w:sz w:val="20"/>
                <w:szCs w:val="20"/>
              </w:rPr>
            </w:pPr>
            <w:r w:rsidRPr="00262BCE">
              <w:rPr>
                <w:rFonts w:ascii="Arial" w:hAnsi="Arial" w:cs="Arial"/>
                <w:sz w:val="20"/>
                <w:szCs w:val="20"/>
              </w:rPr>
              <w:t>f)</w:t>
            </w:r>
            <w:r w:rsidR="000175E7">
              <w:rPr>
                <w:rFonts w:ascii="Arial" w:hAnsi="Arial" w:cs="Arial"/>
                <w:sz w:val="20"/>
                <w:szCs w:val="20"/>
              </w:rPr>
              <w:br/>
            </w:r>
            <w:r w:rsidR="00B74DA9">
              <w:rPr>
                <w:rFonts w:ascii="Arial" w:hAnsi="Arial" w:cs="Arial"/>
                <w:sz w:val="20"/>
                <w:szCs w:val="20"/>
              </w:rPr>
              <w:t>Difference between mean and median</w:t>
            </w:r>
          </w:p>
          <w:p w14:paraId="592C3F12" w14:textId="5C567384" w:rsidR="00262BCE" w:rsidRPr="00262BCE" w:rsidRDefault="00262BCE" w:rsidP="00670E15">
            <w:pPr>
              <w:rPr>
                <w:rFonts w:ascii="Arial" w:hAnsi="Arial" w:cs="Arial"/>
                <w:sz w:val="20"/>
                <w:szCs w:val="20"/>
              </w:rPr>
            </w:pPr>
            <w:r>
              <w:rPr>
                <w:rFonts w:ascii="Arial" w:hAnsi="Arial" w:cs="Arial"/>
                <w:sz w:val="20"/>
                <w:szCs w:val="20"/>
              </w:rPr>
              <w:t>(</w:t>
            </w:r>
            <w:r w:rsidR="00B12E80">
              <w:rPr>
                <w:rFonts w:ascii="Arial" w:hAnsi="Arial" w:cs="Arial"/>
                <w:sz w:val="20"/>
                <w:szCs w:val="20"/>
              </w:rPr>
              <w:t>6</w:t>
            </w:r>
            <w:r>
              <w:rPr>
                <w:rFonts w:ascii="Arial" w:hAnsi="Arial" w:cs="Arial"/>
                <w:sz w:val="20"/>
                <w:szCs w:val="20"/>
              </w:rPr>
              <w:t xml:space="preserve"> points)</w:t>
            </w:r>
          </w:p>
          <w:p w14:paraId="69B90FE6" w14:textId="50C9E4D5" w:rsidR="000E509E" w:rsidRPr="00262BCE" w:rsidRDefault="000E509E" w:rsidP="00670E15">
            <w:pPr>
              <w:rPr>
                <w:rFonts w:ascii="Arial" w:hAnsi="Arial" w:cs="Arial"/>
                <w:sz w:val="20"/>
                <w:szCs w:val="20"/>
              </w:rPr>
            </w:pPr>
          </w:p>
        </w:tc>
        <w:tc>
          <w:tcPr>
            <w:tcW w:w="6690" w:type="dxa"/>
          </w:tcPr>
          <w:p w14:paraId="577BFE8C" w14:textId="77777777" w:rsidR="00565C4C" w:rsidRPr="00C41E63" w:rsidRDefault="00565C4C" w:rsidP="00D306B1">
            <w:pPr>
              <w:rPr>
                <w:rFonts w:ascii="Arial" w:hAnsi="Arial" w:cs="Arial"/>
                <w:b/>
                <w:sz w:val="20"/>
                <w:szCs w:val="20"/>
              </w:rPr>
            </w:pPr>
          </w:p>
          <w:p w14:paraId="2FBACF03" w14:textId="760BED48" w:rsidR="00AB2EE5" w:rsidRPr="00AB2EE5" w:rsidRDefault="00AB2EE5" w:rsidP="00AB2EE5">
            <w:pPr>
              <w:rPr>
                <w:rFonts w:ascii="Arial" w:hAnsi="Arial" w:cs="Arial"/>
                <w:sz w:val="20"/>
                <w:szCs w:val="20"/>
              </w:rPr>
            </w:pPr>
            <w:r w:rsidRPr="00AB2EE5">
              <w:rPr>
                <w:rFonts w:ascii="Arial" w:hAnsi="Arial" w:cs="Arial"/>
                <w:sz w:val="20"/>
                <w:szCs w:val="20"/>
              </w:rPr>
              <w:t>The mean of the return series is 0.01475</w:t>
            </w:r>
          </w:p>
          <w:p w14:paraId="379DB0A9" w14:textId="429AD68C" w:rsidR="004B36BC" w:rsidRPr="00AB2EE5" w:rsidRDefault="00AB2EE5" w:rsidP="00AB2EE5">
            <w:pPr>
              <w:rPr>
                <w:rFonts w:ascii="Arial" w:hAnsi="Arial" w:cs="Arial"/>
                <w:sz w:val="20"/>
                <w:szCs w:val="20"/>
              </w:rPr>
            </w:pPr>
            <w:r w:rsidRPr="00AB2EE5">
              <w:rPr>
                <w:rFonts w:ascii="Arial" w:hAnsi="Arial" w:cs="Arial"/>
                <w:sz w:val="20"/>
                <w:szCs w:val="20"/>
              </w:rPr>
              <w:t>The median of the return series is 0.01562</w:t>
            </w:r>
          </w:p>
          <w:p w14:paraId="06FFC861" w14:textId="77777777" w:rsidR="008F2347" w:rsidRPr="00C41E63" w:rsidRDefault="008F2347" w:rsidP="00D306B1">
            <w:pPr>
              <w:rPr>
                <w:rFonts w:ascii="Arial" w:hAnsi="Arial" w:cs="Arial"/>
                <w:b/>
                <w:sz w:val="20"/>
                <w:szCs w:val="20"/>
              </w:rPr>
            </w:pPr>
          </w:p>
          <w:p w14:paraId="3FE740CE" w14:textId="4DF1502D" w:rsidR="008F2347" w:rsidRDefault="008F2347" w:rsidP="00D306B1">
            <w:pPr>
              <w:rPr>
                <w:rFonts w:ascii="Arial" w:hAnsi="Arial" w:cs="Arial"/>
                <w:sz w:val="20"/>
                <w:szCs w:val="20"/>
              </w:rPr>
            </w:pPr>
            <w:r w:rsidRPr="00C41E63">
              <w:rPr>
                <w:rFonts w:ascii="Arial" w:hAnsi="Arial" w:cs="Arial"/>
                <w:sz w:val="20"/>
                <w:szCs w:val="20"/>
              </w:rPr>
              <w:t xml:space="preserve">Usually, in stock analysis the median is handy to use, when we observe significant skewness in the data, when the data has a long </w:t>
            </w:r>
            <w:r w:rsidR="00934ECA" w:rsidRPr="00C41E63">
              <w:rPr>
                <w:rFonts w:ascii="Arial" w:hAnsi="Arial" w:cs="Arial"/>
                <w:sz w:val="20"/>
                <w:szCs w:val="20"/>
              </w:rPr>
              <w:t>tail,</w:t>
            </w:r>
            <w:r w:rsidRPr="00C41E63">
              <w:rPr>
                <w:rFonts w:ascii="Arial" w:hAnsi="Arial" w:cs="Arial"/>
                <w:sz w:val="20"/>
                <w:szCs w:val="20"/>
              </w:rPr>
              <w:t xml:space="preserve"> and it is useful when </w:t>
            </w:r>
            <w:r w:rsidR="00C4120F">
              <w:rPr>
                <w:rFonts w:ascii="Arial" w:hAnsi="Arial" w:cs="Arial"/>
                <w:sz w:val="20"/>
                <w:szCs w:val="20"/>
              </w:rPr>
              <w:t>outliers</w:t>
            </w:r>
            <w:r w:rsidRPr="00C41E63">
              <w:rPr>
                <w:rFonts w:ascii="Arial" w:hAnsi="Arial" w:cs="Arial"/>
                <w:sz w:val="20"/>
                <w:szCs w:val="20"/>
              </w:rPr>
              <w:t xml:space="preserve"> carry significant weight in the data. In our dataset, the difference between the mean and the median is not very large. Therefor</w:t>
            </w:r>
            <w:r w:rsidR="00AB2EE5">
              <w:rPr>
                <w:rFonts w:ascii="Arial" w:hAnsi="Arial" w:cs="Arial"/>
                <w:sz w:val="20"/>
                <w:szCs w:val="20"/>
              </w:rPr>
              <w:t>e</w:t>
            </w:r>
            <w:r w:rsidRPr="00C41E63">
              <w:rPr>
                <w:rFonts w:ascii="Arial" w:hAnsi="Arial" w:cs="Arial"/>
                <w:sz w:val="20"/>
                <w:szCs w:val="20"/>
              </w:rPr>
              <w:t xml:space="preserve">, we can conclude that we do not have many outliers, which are distorting the </w:t>
            </w:r>
            <w:r w:rsidR="00934ECA" w:rsidRPr="00C41E63">
              <w:rPr>
                <w:rFonts w:ascii="Arial" w:hAnsi="Arial" w:cs="Arial"/>
                <w:sz w:val="20"/>
                <w:szCs w:val="20"/>
              </w:rPr>
              <w:t>distribution,</w:t>
            </w:r>
            <w:r w:rsidRPr="00C41E63">
              <w:rPr>
                <w:rFonts w:ascii="Arial" w:hAnsi="Arial" w:cs="Arial"/>
                <w:sz w:val="20"/>
                <w:szCs w:val="20"/>
              </w:rPr>
              <w:t xml:space="preserve"> nor do we have large tail risks.</w:t>
            </w:r>
          </w:p>
          <w:p w14:paraId="7BA3CAE9" w14:textId="49258835" w:rsidR="00AB2EE5" w:rsidRPr="00C41E63" w:rsidRDefault="00AB2EE5" w:rsidP="00D306B1">
            <w:pPr>
              <w:rPr>
                <w:rFonts w:ascii="Arial" w:hAnsi="Arial" w:cs="Arial"/>
                <w:sz w:val="20"/>
                <w:szCs w:val="20"/>
              </w:rPr>
            </w:pPr>
          </w:p>
        </w:tc>
        <w:tc>
          <w:tcPr>
            <w:tcW w:w="895" w:type="dxa"/>
          </w:tcPr>
          <w:p w14:paraId="55AC3D1C" w14:textId="77777777" w:rsidR="00D306B1" w:rsidRPr="00262BCE" w:rsidRDefault="00D306B1" w:rsidP="00D306B1">
            <w:pPr>
              <w:rPr>
                <w:rFonts w:ascii="Arial" w:hAnsi="Arial" w:cs="Arial"/>
                <w:b/>
                <w:sz w:val="24"/>
                <w:szCs w:val="24"/>
              </w:rPr>
            </w:pPr>
          </w:p>
        </w:tc>
      </w:tr>
      <w:tr w:rsidR="004658DB" w:rsidRPr="00262BCE" w14:paraId="5EAEA5F7" w14:textId="77777777" w:rsidTr="004658DB">
        <w:tblPrEx>
          <w:tblCellMar>
            <w:left w:w="70" w:type="dxa"/>
            <w:right w:w="70" w:type="dxa"/>
          </w:tblCellMar>
        </w:tblPrEx>
        <w:trPr>
          <w:trHeight w:val="340"/>
        </w:trPr>
        <w:tc>
          <w:tcPr>
            <w:tcW w:w="1811" w:type="dxa"/>
          </w:tcPr>
          <w:p w14:paraId="0D55CB09" w14:textId="5AB95113" w:rsidR="00670E15" w:rsidRPr="00262BCE" w:rsidRDefault="000E509E" w:rsidP="00A4011C">
            <w:pPr>
              <w:rPr>
                <w:rFonts w:ascii="Arial" w:hAnsi="Arial" w:cs="Arial"/>
                <w:sz w:val="20"/>
                <w:szCs w:val="20"/>
              </w:rPr>
            </w:pPr>
            <w:r w:rsidRPr="00262BCE">
              <w:rPr>
                <w:rFonts w:ascii="Arial" w:hAnsi="Arial" w:cs="Arial"/>
                <w:sz w:val="20"/>
                <w:szCs w:val="20"/>
              </w:rPr>
              <w:t>g)</w:t>
            </w:r>
            <w:r w:rsidR="00132620">
              <w:rPr>
                <w:rFonts w:ascii="Arial" w:hAnsi="Arial" w:cs="Arial"/>
                <w:sz w:val="20"/>
                <w:szCs w:val="20"/>
              </w:rPr>
              <w:br/>
              <w:t>Histogram of returns</w:t>
            </w:r>
          </w:p>
          <w:p w14:paraId="667EA439" w14:textId="4844F05E" w:rsidR="000E509E" w:rsidRPr="00262BCE" w:rsidRDefault="00262BCE" w:rsidP="00A4011C">
            <w:pPr>
              <w:rPr>
                <w:rFonts w:ascii="Arial" w:hAnsi="Arial" w:cs="Arial"/>
                <w:sz w:val="20"/>
                <w:szCs w:val="20"/>
              </w:rPr>
            </w:pPr>
            <w:r>
              <w:rPr>
                <w:rFonts w:ascii="Arial" w:hAnsi="Arial" w:cs="Arial"/>
                <w:sz w:val="20"/>
                <w:szCs w:val="20"/>
              </w:rPr>
              <w:t>(8 points)</w:t>
            </w:r>
            <w:r w:rsidR="00132620">
              <w:rPr>
                <w:rFonts w:ascii="Arial" w:hAnsi="Arial" w:cs="Arial"/>
                <w:sz w:val="20"/>
                <w:szCs w:val="20"/>
              </w:rPr>
              <w:br/>
            </w:r>
          </w:p>
        </w:tc>
        <w:tc>
          <w:tcPr>
            <w:tcW w:w="6690" w:type="dxa"/>
          </w:tcPr>
          <w:p w14:paraId="73FC2F10" w14:textId="77777777" w:rsidR="008F2347" w:rsidRDefault="008F2347" w:rsidP="00D306B1">
            <w:pPr>
              <w:rPr>
                <w:noProof/>
              </w:rPr>
            </w:pPr>
          </w:p>
          <w:p w14:paraId="6A35C62B" w14:textId="1D2F7B0D" w:rsidR="004658DB" w:rsidRDefault="004658DB" w:rsidP="004658DB">
            <w:r>
              <w:rPr>
                <w:rFonts w:ascii="Arial" w:hAnsi="Arial" w:cs="Arial"/>
                <w:b/>
                <w:noProof/>
              </w:rPr>
              <w:drawing>
                <wp:inline distT="0" distB="0" distL="0" distR="0" wp14:anchorId="237C14C6" wp14:editId="7DC35DF6">
                  <wp:extent cx="4070514" cy="2970332"/>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7334" cy="2982606"/>
                          </a:xfrm>
                          <a:prstGeom prst="rect">
                            <a:avLst/>
                          </a:prstGeom>
                          <a:noFill/>
                          <a:ln>
                            <a:noFill/>
                          </a:ln>
                        </pic:spPr>
                      </pic:pic>
                    </a:graphicData>
                  </a:graphic>
                </wp:inline>
              </w:drawing>
            </w:r>
          </w:p>
          <w:p w14:paraId="0A9153CA" w14:textId="293FEF90" w:rsidR="00D306B1" w:rsidRDefault="00D306B1" w:rsidP="00D306B1">
            <w:pPr>
              <w:rPr>
                <w:rFonts w:ascii="Arial" w:hAnsi="Arial" w:cs="Arial"/>
                <w:b/>
                <w:sz w:val="24"/>
                <w:szCs w:val="24"/>
              </w:rPr>
            </w:pPr>
          </w:p>
          <w:p w14:paraId="660ADC18" w14:textId="0D7776FB" w:rsidR="008F2347" w:rsidRPr="00C41E63" w:rsidRDefault="008F2347" w:rsidP="00D306B1">
            <w:pPr>
              <w:rPr>
                <w:rFonts w:ascii="Arial" w:hAnsi="Arial" w:cs="Arial"/>
                <w:bCs/>
                <w:sz w:val="20"/>
                <w:szCs w:val="20"/>
              </w:rPr>
            </w:pPr>
            <w:r w:rsidRPr="00C41E63">
              <w:rPr>
                <w:rFonts w:ascii="Arial" w:hAnsi="Arial" w:cs="Arial"/>
                <w:bCs/>
                <w:sz w:val="20"/>
                <w:szCs w:val="20"/>
              </w:rPr>
              <w:t xml:space="preserve">The plot shows that our monthly returns are not normally distributed. Our results are highly concentrated around the mean (which confirms our results from f) and slightly negatively skewed. We can also observe that we do not have large outliers (positively or negatively). </w:t>
            </w:r>
          </w:p>
          <w:p w14:paraId="395DE846" w14:textId="6A78DA2A" w:rsidR="004C5740" w:rsidRDefault="004C5740" w:rsidP="00D306B1">
            <w:pPr>
              <w:rPr>
                <w:rFonts w:ascii="Arial" w:hAnsi="Arial" w:cs="Arial"/>
                <w:b/>
                <w:sz w:val="24"/>
                <w:szCs w:val="24"/>
              </w:rPr>
            </w:pPr>
          </w:p>
          <w:p w14:paraId="39567093" w14:textId="44297FC8" w:rsidR="004658DB" w:rsidRDefault="004658DB" w:rsidP="00D306B1">
            <w:pPr>
              <w:rPr>
                <w:rFonts w:ascii="Arial" w:hAnsi="Arial" w:cs="Arial"/>
                <w:b/>
                <w:sz w:val="24"/>
                <w:szCs w:val="24"/>
              </w:rPr>
            </w:pPr>
          </w:p>
          <w:p w14:paraId="07180755" w14:textId="77777777" w:rsidR="004658DB" w:rsidRDefault="004658DB" w:rsidP="00D306B1">
            <w:pPr>
              <w:rPr>
                <w:rFonts w:ascii="Arial" w:hAnsi="Arial" w:cs="Arial"/>
                <w:b/>
                <w:sz w:val="24"/>
                <w:szCs w:val="24"/>
              </w:rPr>
            </w:pPr>
          </w:p>
          <w:p w14:paraId="236F1745" w14:textId="62A49262" w:rsidR="004C5740" w:rsidRPr="00262BCE" w:rsidRDefault="004C5740" w:rsidP="00D306B1">
            <w:pPr>
              <w:rPr>
                <w:rFonts w:ascii="Arial" w:hAnsi="Arial" w:cs="Arial"/>
                <w:b/>
                <w:sz w:val="24"/>
                <w:szCs w:val="24"/>
              </w:rPr>
            </w:pPr>
          </w:p>
        </w:tc>
        <w:tc>
          <w:tcPr>
            <w:tcW w:w="895" w:type="dxa"/>
          </w:tcPr>
          <w:p w14:paraId="77DC6F81" w14:textId="77777777" w:rsidR="00D306B1" w:rsidRPr="00262BCE" w:rsidRDefault="00D306B1" w:rsidP="00D306B1">
            <w:pPr>
              <w:rPr>
                <w:rFonts w:ascii="Arial" w:hAnsi="Arial" w:cs="Arial"/>
                <w:b/>
                <w:sz w:val="24"/>
                <w:szCs w:val="24"/>
              </w:rPr>
            </w:pPr>
          </w:p>
        </w:tc>
      </w:tr>
      <w:tr w:rsidR="004658DB" w:rsidRPr="00262BCE" w14:paraId="4D066283" w14:textId="77777777" w:rsidTr="004658DB">
        <w:tblPrEx>
          <w:tblCellMar>
            <w:left w:w="70" w:type="dxa"/>
            <w:right w:w="70" w:type="dxa"/>
          </w:tblCellMar>
        </w:tblPrEx>
        <w:trPr>
          <w:trHeight w:val="340"/>
        </w:trPr>
        <w:tc>
          <w:tcPr>
            <w:tcW w:w="1811" w:type="dxa"/>
          </w:tcPr>
          <w:p w14:paraId="0D3A613E" w14:textId="6FABE60A" w:rsidR="00670E15" w:rsidRPr="00262BCE" w:rsidRDefault="00454B3E" w:rsidP="000E509E">
            <w:pPr>
              <w:rPr>
                <w:rFonts w:ascii="Arial" w:hAnsi="Arial" w:cs="Arial"/>
                <w:sz w:val="20"/>
                <w:szCs w:val="20"/>
              </w:rPr>
            </w:pPr>
            <w:r w:rsidRPr="00262BCE">
              <w:rPr>
                <w:rFonts w:ascii="Arial" w:hAnsi="Arial" w:cs="Arial"/>
                <w:sz w:val="20"/>
                <w:szCs w:val="20"/>
              </w:rPr>
              <w:lastRenderedPageBreak/>
              <w:t>h)</w:t>
            </w:r>
            <w:r w:rsidR="00132620">
              <w:rPr>
                <w:rFonts w:ascii="Arial" w:hAnsi="Arial" w:cs="Arial"/>
                <w:sz w:val="20"/>
                <w:szCs w:val="20"/>
              </w:rPr>
              <w:br/>
            </w:r>
            <w:r w:rsidR="0041613D">
              <w:rPr>
                <w:rFonts w:ascii="Arial" w:hAnsi="Arial" w:cs="Arial"/>
                <w:sz w:val="20"/>
                <w:szCs w:val="20"/>
              </w:rPr>
              <w:t>Draw and interpret a Q-Q plot</w:t>
            </w:r>
          </w:p>
          <w:p w14:paraId="49095A27" w14:textId="09F0212C" w:rsidR="00262BCE" w:rsidRPr="00262BCE" w:rsidRDefault="00262BCE" w:rsidP="000E509E">
            <w:pPr>
              <w:rPr>
                <w:rFonts w:ascii="Arial" w:hAnsi="Arial" w:cs="Arial"/>
                <w:sz w:val="20"/>
                <w:szCs w:val="20"/>
              </w:rPr>
            </w:pPr>
            <w:r>
              <w:rPr>
                <w:rFonts w:ascii="Arial" w:hAnsi="Arial" w:cs="Arial"/>
                <w:sz w:val="20"/>
                <w:szCs w:val="20"/>
              </w:rPr>
              <w:t>(</w:t>
            </w:r>
            <w:r w:rsidR="0041613D">
              <w:rPr>
                <w:rFonts w:ascii="Arial" w:hAnsi="Arial" w:cs="Arial"/>
                <w:sz w:val="20"/>
                <w:szCs w:val="20"/>
              </w:rPr>
              <w:t>8</w:t>
            </w:r>
            <w:r>
              <w:rPr>
                <w:rFonts w:ascii="Arial" w:hAnsi="Arial" w:cs="Arial"/>
                <w:sz w:val="20"/>
                <w:szCs w:val="20"/>
              </w:rPr>
              <w:t xml:space="preserve"> points)</w:t>
            </w:r>
            <w:r w:rsidR="00132620">
              <w:rPr>
                <w:rFonts w:ascii="Arial" w:hAnsi="Arial" w:cs="Arial"/>
                <w:sz w:val="20"/>
                <w:szCs w:val="20"/>
              </w:rPr>
              <w:br/>
            </w:r>
          </w:p>
        </w:tc>
        <w:tc>
          <w:tcPr>
            <w:tcW w:w="6690" w:type="dxa"/>
          </w:tcPr>
          <w:p w14:paraId="68DC5981" w14:textId="4AF89902" w:rsidR="004C5740" w:rsidRDefault="004C5740" w:rsidP="00D306B1">
            <w:pPr>
              <w:rPr>
                <w:rFonts w:ascii="Arial" w:hAnsi="Arial" w:cs="Arial"/>
                <w:b/>
                <w:sz w:val="24"/>
                <w:szCs w:val="24"/>
              </w:rPr>
            </w:pPr>
          </w:p>
          <w:p w14:paraId="0A95B160" w14:textId="487BA0F9" w:rsidR="004658DB" w:rsidRDefault="004658DB" w:rsidP="004658DB">
            <w:r>
              <w:rPr>
                <w:rFonts w:ascii="Arial" w:hAnsi="Arial" w:cs="Arial"/>
                <w:b/>
                <w:noProof/>
              </w:rPr>
              <w:drawing>
                <wp:inline distT="0" distB="0" distL="0" distR="0" wp14:anchorId="4E82CA3F" wp14:editId="63A80C43">
                  <wp:extent cx="3972048" cy="2637952"/>
                  <wp:effectExtent l="0" t="0" r="317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6885" cy="2641164"/>
                          </a:xfrm>
                          <a:prstGeom prst="rect">
                            <a:avLst/>
                          </a:prstGeom>
                          <a:noFill/>
                          <a:ln>
                            <a:noFill/>
                          </a:ln>
                        </pic:spPr>
                      </pic:pic>
                    </a:graphicData>
                  </a:graphic>
                </wp:inline>
              </w:drawing>
            </w:r>
          </w:p>
          <w:p w14:paraId="1D268995" w14:textId="77777777" w:rsidR="004658DB" w:rsidRDefault="004658DB" w:rsidP="00D306B1">
            <w:pPr>
              <w:rPr>
                <w:rFonts w:ascii="Arial" w:hAnsi="Arial" w:cs="Arial"/>
                <w:bCs/>
                <w:sz w:val="20"/>
                <w:szCs w:val="20"/>
              </w:rPr>
            </w:pPr>
          </w:p>
          <w:p w14:paraId="55F9F43E" w14:textId="40EB4799" w:rsidR="007C21FC" w:rsidRPr="00C41E63" w:rsidRDefault="008F2347" w:rsidP="00D306B1">
            <w:pPr>
              <w:rPr>
                <w:rFonts w:ascii="Arial" w:hAnsi="Arial" w:cs="Arial"/>
                <w:bCs/>
                <w:sz w:val="20"/>
                <w:szCs w:val="20"/>
              </w:rPr>
            </w:pPr>
            <w:r w:rsidRPr="00C41E63">
              <w:rPr>
                <w:rFonts w:ascii="Arial" w:hAnsi="Arial" w:cs="Arial"/>
                <w:bCs/>
                <w:sz w:val="20"/>
                <w:szCs w:val="20"/>
              </w:rPr>
              <w:t xml:space="preserve">The Q-Q plot shows our assumption that our monthly returns are not normally distributed, but strongly concentrated around the mean. </w:t>
            </w:r>
            <w:r w:rsidR="007C21FC" w:rsidRPr="00C41E63">
              <w:rPr>
                <w:rFonts w:ascii="Arial" w:hAnsi="Arial" w:cs="Arial"/>
                <w:bCs/>
                <w:sz w:val="20"/>
                <w:szCs w:val="20"/>
              </w:rPr>
              <w:t>Additionally, we can see the fat tails, which are typical for equity returns.</w:t>
            </w:r>
          </w:p>
          <w:p w14:paraId="539D158A" w14:textId="77777777" w:rsidR="007C21FC" w:rsidRPr="00C41E63" w:rsidRDefault="007C21FC" w:rsidP="00D306B1">
            <w:pPr>
              <w:rPr>
                <w:rFonts w:ascii="Arial" w:hAnsi="Arial" w:cs="Arial"/>
                <w:bCs/>
                <w:sz w:val="20"/>
                <w:szCs w:val="20"/>
              </w:rPr>
            </w:pPr>
          </w:p>
          <w:p w14:paraId="3A79C1FD" w14:textId="711BD3E6" w:rsidR="008F2347" w:rsidRPr="00C41E63" w:rsidRDefault="008F2347" w:rsidP="00D306B1">
            <w:pPr>
              <w:rPr>
                <w:rFonts w:ascii="Arial" w:hAnsi="Arial" w:cs="Arial"/>
                <w:bCs/>
                <w:sz w:val="20"/>
                <w:szCs w:val="20"/>
              </w:rPr>
            </w:pPr>
            <w:r w:rsidRPr="00C41E63">
              <w:rPr>
                <w:rFonts w:ascii="Arial" w:hAnsi="Arial" w:cs="Arial"/>
                <w:bCs/>
                <w:sz w:val="20"/>
                <w:szCs w:val="20"/>
              </w:rPr>
              <w:t>This also translates into the strong kurtosis (3.73)</w:t>
            </w:r>
            <w:r w:rsidR="00CB3326" w:rsidRPr="00C41E63">
              <w:rPr>
                <w:rFonts w:ascii="Arial" w:hAnsi="Arial" w:cs="Arial"/>
                <w:bCs/>
                <w:sz w:val="20"/>
                <w:szCs w:val="20"/>
              </w:rPr>
              <w:t>. We also observe the slightly negative skewness.</w:t>
            </w:r>
          </w:p>
          <w:p w14:paraId="350984E0" w14:textId="77777777" w:rsidR="00CB3326" w:rsidRPr="008F2347" w:rsidRDefault="00CB3326" w:rsidP="00D306B1">
            <w:pPr>
              <w:rPr>
                <w:rFonts w:ascii="Arial" w:hAnsi="Arial" w:cs="Arial"/>
                <w:bCs/>
                <w:sz w:val="24"/>
                <w:szCs w:val="24"/>
              </w:rPr>
            </w:pPr>
          </w:p>
          <w:p w14:paraId="6D9B7864" w14:textId="4E7FA99E" w:rsidR="007431A8" w:rsidRPr="007431A8" w:rsidRDefault="007431A8" w:rsidP="007431A8">
            <w:pPr>
              <w:rPr>
                <w:rFonts w:ascii="Arial" w:hAnsi="Arial" w:cs="Arial"/>
                <w:bCs/>
                <w:sz w:val="20"/>
                <w:szCs w:val="20"/>
              </w:rPr>
            </w:pPr>
            <w:r w:rsidRPr="007431A8">
              <w:rPr>
                <w:rFonts w:ascii="Arial" w:hAnsi="Arial" w:cs="Arial"/>
                <w:bCs/>
                <w:sz w:val="20"/>
                <w:szCs w:val="20"/>
              </w:rPr>
              <w:t>The Sk</w:t>
            </w:r>
            <w:r>
              <w:rPr>
                <w:rFonts w:ascii="Arial" w:hAnsi="Arial" w:cs="Arial"/>
                <w:bCs/>
                <w:sz w:val="20"/>
                <w:szCs w:val="20"/>
              </w:rPr>
              <w:t>ew</w:t>
            </w:r>
            <w:r w:rsidRPr="007431A8">
              <w:rPr>
                <w:rFonts w:ascii="Arial" w:hAnsi="Arial" w:cs="Arial"/>
                <w:bCs/>
                <w:sz w:val="20"/>
                <w:szCs w:val="20"/>
              </w:rPr>
              <w:t>ness of the return series is -0.2990</w:t>
            </w:r>
          </w:p>
          <w:p w14:paraId="00AFAF8A" w14:textId="23222906" w:rsidR="00D83C88" w:rsidRPr="007431A8" w:rsidRDefault="007431A8" w:rsidP="007431A8">
            <w:pPr>
              <w:rPr>
                <w:rFonts w:ascii="Arial" w:hAnsi="Arial" w:cs="Arial"/>
                <w:bCs/>
                <w:sz w:val="20"/>
                <w:szCs w:val="20"/>
              </w:rPr>
            </w:pPr>
            <w:r w:rsidRPr="007431A8">
              <w:rPr>
                <w:rFonts w:ascii="Arial" w:hAnsi="Arial" w:cs="Arial"/>
                <w:bCs/>
                <w:sz w:val="20"/>
                <w:szCs w:val="20"/>
              </w:rPr>
              <w:t>The Kurtosis of the return series is 3.7303</w:t>
            </w:r>
          </w:p>
          <w:p w14:paraId="06D4704D" w14:textId="0E662BEC" w:rsidR="00565C4C" w:rsidRPr="00262BCE" w:rsidRDefault="00565C4C" w:rsidP="00D306B1">
            <w:pPr>
              <w:rPr>
                <w:rFonts w:ascii="Arial" w:hAnsi="Arial" w:cs="Arial"/>
                <w:b/>
                <w:sz w:val="24"/>
                <w:szCs w:val="24"/>
              </w:rPr>
            </w:pPr>
          </w:p>
        </w:tc>
        <w:tc>
          <w:tcPr>
            <w:tcW w:w="895" w:type="dxa"/>
          </w:tcPr>
          <w:p w14:paraId="1EE4DD31" w14:textId="44B6ABE8" w:rsidR="00D306B1" w:rsidRPr="00262BCE" w:rsidRDefault="00D306B1" w:rsidP="00D306B1">
            <w:pPr>
              <w:rPr>
                <w:rFonts w:ascii="Arial" w:hAnsi="Arial" w:cs="Arial"/>
                <w:b/>
                <w:sz w:val="24"/>
                <w:szCs w:val="24"/>
              </w:rPr>
            </w:pPr>
          </w:p>
        </w:tc>
      </w:tr>
      <w:tr w:rsidR="002377FF" w:rsidRPr="00262BCE" w14:paraId="4E2785C5" w14:textId="77777777" w:rsidTr="004658DB">
        <w:tblPrEx>
          <w:tblCellMar>
            <w:left w:w="70" w:type="dxa"/>
            <w:right w:w="70" w:type="dxa"/>
          </w:tblCellMar>
        </w:tblPrEx>
        <w:trPr>
          <w:trHeight w:val="340"/>
        </w:trPr>
        <w:tc>
          <w:tcPr>
            <w:tcW w:w="1811" w:type="dxa"/>
          </w:tcPr>
          <w:p w14:paraId="131542BA" w14:textId="6B926B39" w:rsidR="00D306B1" w:rsidRPr="00262BCE" w:rsidRDefault="00402326" w:rsidP="00454B3E">
            <w:pPr>
              <w:pStyle w:val="Listenabsatz"/>
              <w:numPr>
                <w:ilvl w:val="0"/>
                <w:numId w:val="4"/>
              </w:numPr>
              <w:ind w:left="306" w:hanging="306"/>
              <w:rPr>
                <w:rFonts w:ascii="Arial" w:hAnsi="Arial" w:cs="Arial"/>
                <w:sz w:val="20"/>
                <w:szCs w:val="20"/>
              </w:rPr>
            </w:pPr>
            <w:r>
              <w:rPr>
                <w:rFonts w:ascii="Arial" w:hAnsi="Arial" w:cs="Arial"/>
                <w:b/>
                <w:sz w:val="20"/>
                <w:szCs w:val="20"/>
                <w:lang w:val="en-GB"/>
              </w:rPr>
              <w:t>Risk Targeting</w:t>
            </w:r>
          </w:p>
          <w:p w14:paraId="7FCF8A03" w14:textId="5977FC33" w:rsidR="00454B3E" w:rsidRPr="00262BCE" w:rsidRDefault="00454B3E" w:rsidP="00454B3E">
            <w:pPr>
              <w:rPr>
                <w:rFonts w:ascii="Arial" w:hAnsi="Arial" w:cs="Arial"/>
                <w:sz w:val="20"/>
                <w:szCs w:val="20"/>
              </w:rPr>
            </w:pPr>
            <w:r w:rsidRPr="00262BCE">
              <w:rPr>
                <w:rFonts w:ascii="Arial" w:hAnsi="Arial" w:cs="Arial"/>
                <w:sz w:val="20"/>
                <w:szCs w:val="20"/>
              </w:rPr>
              <w:t>a)</w:t>
            </w:r>
            <w:r w:rsidR="00402326">
              <w:rPr>
                <w:rFonts w:ascii="Arial" w:hAnsi="Arial" w:cs="Arial"/>
                <w:sz w:val="20"/>
                <w:szCs w:val="20"/>
              </w:rPr>
              <w:br/>
            </w:r>
            <w:r w:rsidR="00EA7377">
              <w:rPr>
                <w:rFonts w:ascii="Arial" w:hAnsi="Arial" w:cs="Arial"/>
                <w:sz w:val="20"/>
                <w:szCs w:val="20"/>
              </w:rPr>
              <w:t>Create the risk-targeting strategy, report s</w:t>
            </w:r>
            <w:r w:rsidR="00435775">
              <w:rPr>
                <w:rFonts w:ascii="Arial" w:hAnsi="Arial" w:cs="Arial"/>
                <w:sz w:val="20"/>
                <w:szCs w:val="20"/>
              </w:rPr>
              <w:t>tatistics on mean and volatility</w:t>
            </w:r>
          </w:p>
          <w:p w14:paraId="08FE20E6" w14:textId="45C8BBD8" w:rsidR="00262BCE" w:rsidRPr="00262BCE" w:rsidRDefault="00262BCE" w:rsidP="00454B3E">
            <w:pPr>
              <w:rPr>
                <w:rFonts w:ascii="Arial" w:hAnsi="Arial" w:cs="Arial"/>
                <w:sz w:val="20"/>
                <w:szCs w:val="20"/>
              </w:rPr>
            </w:pPr>
            <w:r>
              <w:rPr>
                <w:rFonts w:ascii="Arial" w:hAnsi="Arial" w:cs="Arial"/>
                <w:sz w:val="20"/>
                <w:szCs w:val="20"/>
              </w:rPr>
              <w:t>(</w:t>
            </w:r>
            <w:r w:rsidR="00402326">
              <w:rPr>
                <w:rFonts w:ascii="Arial" w:hAnsi="Arial" w:cs="Arial"/>
                <w:sz w:val="20"/>
                <w:szCs w:val="20"/>
              </w:rPr>
              <w:t>16</w:t>
            </w:r>
            <w:r>
              <w:rPr>
                <w:rFonts w:ascii="Arial" w:hAnsi="Arial" w:cs="Arial"/>
                <w:sz w:val="20"/>
                <w:szCs w:val="20"/>
              </w:rPr>
              <w:t xml:space="preserve"> points)</w:t>
            </w:r>
            <w:r w:rsidR="00132620">
              <w:rPr>
                <w:rFonts w:ascii="Arial" w:hAnsi="Arial" w:cs="Arial"/>
                <w:sz w:val="20"/>
                <w:szCs w:val="20"/>
              </w:rPr>
              <w:br/>
            </w:r>
          </w:p>
        </w:tc>
        <w:tc>
          <w:tcPr>
            <w:tcW w:w="6690" w:type="dxa"/>
          </w:tcPr>
          <w:p w14:paraId="0BB0CE01" w14:textId="77777777" w:rsidR="00FE2412" w:rsidRDefault="00FE2412" w:rsidP="00D306B1">
            <w:pPr>
              <w:rPr>
                <w:rFonts w:ascii="Arial" w:hAnsi="Arial" w:cs="Arial"/>
                <w:sz w:val="20"/>
                <w:szCs w:val="20"/>
              </w:rPr>
            </w:pPr>
          </w:p>
          <w:p w14:paraId="1164537D" w14:textId="3F85ECA1" w:rsidR="00900BE6" w:rsidRDefault="002377FF" w:rsidP="00D306B1">
            <w:pPr>
              <w:rPr>
                <w:rFonts w:ascii="Arial" w:hAnsi="Arial" w:cs="Arial"/>
                <w:sz w:val="20"/>
                <w:szCs w:val="20"/>
              </w:rPr>
            </w:pPr>
            <w:r>
              <w:rPr>
                <w:rFonts w:ascii="Arial" w:hAnsi="Arial" w:cs="Arial"/>
                <w:noProof/>
                <w:sz w:val="20"/>
                <w:szCs w:val="20"/>
              </w:rPr>
              <w:drawing>
                <wp:inline distT="0" distB="0" distL="0" distR="0" wp14:anchorId="0FD3BEB9" wp14:editId="1840B7A2">
                  <wp:extent cx="4089021" cy="1740310"/>
                  <wp:effectExtent l="0" t="0" r="635" b="0"/>
                  <wp:docPr id="13" name="Grafik 13"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isch enthält.&#10;&#10;Automatisch generierte Beschreibung"/>
                          <pic:cNvPicPr/>
                        </pic:nvPicPr>
                        <pic:blipFill>
                          <a:blip r:embed="rId16">
                            <a:extLst>
                              <a:ext uri="{28A0092B-C50C-407E-A947-70E740481C1C}">
                                <a14:useLocalDpi xmlns:a14="http://schemas.microsoft.com/office/drawing/2010/main" val="0"/>
                              </a:ext>
                            </a:extLst>
                          </a:blip>
                          <a:stretch>
                            <a:fillRect/>
                          </a:stretch>
                        </pic:blipFill>
                        <pic:spPr>
                          <a:xfrm>
                            <a:off x="0" y="0"/>
                            <a:ext cx="4105538" cy="1747340"/>
                          </a:xfrm>
                          <a:prstGeom prst="rect">
                            <a:avLst/>
                          </a:prstGeom>
                        </pic:spPr>
                      </pic:pic>
                    </a:graphicData>
                  </a:graphic>
                </wp:inline>
              </w:drawing>
            </w:r>
          </w:p>
          <w:p w14:paraId="49D9AA85" w14:textId="5834FBC0" w:rsidR="00900BE6" w:rsidRDefault="00900BE6" w:rsidP="00D306B1">
            <w:pPr>
              <w:rPr>
                <w:rFonts w:ascii="Arial" w:hAnsi="Arial" w:cs="Arial"/>
                <w:sz w:val="20"/>
                <w:szCs w:val="20"/>
              </w:rPr>
            </w:pPr>
          </w:p>
          <w:p w14:paraId="03AAC860" w14:textId="49D5B343" w:rsidR="002377FF" w:rsidRDefault="002377FF" w:rsidP="00D306B1">
            <w:pPr>
              <w:rPr>
                <w:rFonts w:ascii="Arial" w:hAnsi="Arial" w:cs="Arial"/>
                <w:sz w:val="20"/>
                <w:szCs w:val="20"/>
              </w:rPr>
            </w:pPr>
          </w:p>
          <w:p w14:paraId="264AE782" w14:textId="22A03BB9" w:rsidR="002377FF" w:rsidRDefault="002377FF" w:rsidP="00D306B1">
            <w:pPr>
              <w:rPr>
                <w:rFonts w:ascii="Arial" w:hAnsi="Arial" w:cs="Arial"/>
                <w:sz w:val="20"/>
                <w:szCs w:val="20"/>
              </w:rPr>
            </w:pPr>
          </w:p>
          <w:p w14:paraId="781FE558" w14:textId="7AAE698F" w:rsidR="002377FF" w:rsidRDefault="002377FF" w:rsidP="00D306B1">
            <w:pPr>
              <w:rPr>
                <w:rFonts w:ascii="Arial" w:hAnsi="Arial" w:cs="Arial"/>
                <w:sz w:val="20"/>
                <w:szCs w:val="20"/>
              </w:rPr>
            </w:pPr>
          </w:p>
          <w:p w14:paraId="10149840" w14:textId="01218820" w:rsidR="002377FF" w:rsidRDefault="002377FF" w:rsidP="00D306B1">
            <w:pPr>
              <w:rPr>
                <w:rFonts w:ascii="Arial" w:hAnsi="Arial" w:cs="Arial"/>
                <w:sz w:val="20"/>
                <w:szCs w:val="20"/>
              </w:rPr>
            </w:pPr>
          </w:p>
          <w:p w14:paraId="7E6FE1ED" w14:textId="253B4B0B" w:rsidR="002377FF" w:rsidRDefault="002377FF" w:rsidP="00D306B1">
            <w:pPr>
              <w:rPr>
                <w:rFonts w:ascii="Arial" w:hAnsi="Arial" w:cs="Arial"/>
                <w:sz w:val="20"/>
                <w:szCs w:val="20"/>
              </w:rPr>
            </w:pPr>
          </w:p>
          <w:p w14:paraId="6EBAB372" w14:textId="0B82FD13" w:rsidR="002377FF" w:rsidRDefault="002377FF" w:rsidP="00D306B1">
            <w:pPr>
              <w:rPr>
                <w:rFonts w:ascii="Arial" w:hAnsi="Arial" w:cs="Arial"/>
                <w:sz w:val="20"/>
                <w:szCs w:val="20"/>
              </w:rPr>
            </w:pPr>
          </w:p>
          <w:p w14:paraId="3B3381AB" w14:textId="420246B3" w:rsidR="002377FF" w:rsidRDefault="002377FF" w:rsidP="00D306B1">
            <w:pPr>
              <w:rPr>
                <w:rFonts w:ascii="Arial" w:hAnsi="Arial" w:cs="Arial"/>
                <w:sz w:val="20"/>
                <w:szCs w:val="20"/>
              </w:rPr>
            </w:pPr>
          </w:p>
          <w:p w14:paraId="6C5F291A" w14:textId="19B8AFC0" w:rsidR="002377FF" w:rsidRDefault="002377FF" w:rsidP="00D306B1">
            <w:pPr>
              <w:rPr>
                <w:rFonts w:ascii="Arial" w:hAnsi="Arial" w:cs="Arial"/>
                <w:sz w:val="20"/>
                <w:szCs w:val="20"/>
              </w:rPr>
            </w:pPr>
          </w:p>
          <w:p w14:paraId="5D3B2267" w14:textId="40A3B876" w:rsidR="002377FF" w:rsidRDefault="002377FF" w:rsidP="00D306B1">
            <w:pPr>
              <w:rPr>
                <w:rFonts w:ascii="Arial" w:hAnsi="Arial" w:cs="Arial"/>
                <w:sz w:val="20"/>
                <w:szCs w:val="20"/>
              </w:rPr>
            </w:pPr>
          </w:p>
          <w:p w14:paraId="63E8680C" w14:textId="65EC84C0" w:rsidR="002377FF" w:rsidRDefault="002377FF" w:rsidP="00D306B1">
            <w:pPr>
              <w:rPr>
                <w:rFonts w:ascii="Arial" w:hAnsi="Arial" w:cs="Arial"/>
                <w:sz w:val="20"/>
                <w:szCs w:val="20"/>
              </w:rPr>
            </w:pPr>
          </w:p>
          <w:p w14:paraId="3DADA546" w14:textId="49AA3B02" w:rsidR="002377FF" w:rsidRDefault="002377FF" w:rsidP="00D306B1">
            <w:pPr>
              <w:rPr>
                <w:rFonts w:ascii="Arial" w:hAnsi="Arial" w:cs="Arial"/>
                <w:sz w:val="20"/>
                <w:szCs w:val="20"/>
              </w:rPr>
            </w:pPr>
          </w:p>
          <w:p w14:paraId="22A687A2" w14:textId="69AE0566" w:rsidR="002377FF" w:rsidRDefault="002377FF" w:rsidP="00D306B1">
            <w:pPr>
              <w:rPr>
                <w:rFonts w:ascii="Arial" w:hAnsi="Arial" w:cs="Arial"/>
                <w:sz w:val="20"/>
                <w:szCs w:val="20"/>
              </w:rPr>
            </w:pPr>
          </w:p>
          <w:p w14:paraId="5412190F" w14:textId="555829B7" w:rsidR="002377FF" w:rsidRDefault="002377FF" w:rsidP="00D306B1">
            <w:pPr>
              <w:rPr>
                <w:rFonts w:ascii="Arial" w:hAnsi="Arial" w:cs="Arial"/>
                <w:sz w:val="20"/>
                <w:szCs w:val="20"/>
              </w:rPr>
            </w:pPr>
          </w:p>
          <w:p w14:paraId="57A996FD" w14:textId="20124054" w:rsidR="00900BE6" w:rsidRDefault="00900BE6" w:rsidP="00D306B1">
            <w:pPr>
              <w:rPr>
                <w:rFonts w:ascii="Arial" w:hAnsi="Arial" w:cs="Arial"/>
                <w:sz w:val="20"/>
                <w:szCs w:val="20"/>
              </w:rPr>
            </w:pPr>
          </w:p>
          <w:p w14:paraId="4F68D512" w14:textId="57CF1250" w:rsidR="002377FF" w:rsidRDefault="002377FF" w:rsidP="002377FF">
            <w:r>
              <w:rPr>
                <w:noProof/>
              </w:rPr>
              <w:drawing>
                <wp:inline distT="0" distB="0" distL="0" distR="0" wp14:anchorId="7901A6CC" wp14:editId="17BA1143">
                  <wp:extent cx="4159230" cy="234313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5618" cy="2352367"/>
                          </a:xfrm>
                          <a:prstGeom prst="rect">
                            <a:avLst/>
                          </a:prstGeom>
                          <a:noFill/>
                          <a:ln>
                            <a:noFill/>
                          </a:ln>
                        </pic:spPr>
                      </pic:pic>
                    </a:graphicData>
                  </a:graphic>
                </wp:inline>
              </w:drawing>
            </w:r>
          </w:p>
          <w:p w14:paraId="2C7C90A6" w14:textId="41C6002E" w:rsidR="00900BE6" w:rsidRDefault="00900BE6" w:rsidP="00D306B1">
            <w:pPr>
              <w:rPr>
                <w:rFonts w:ascii="Arial" w:hAnsi="Arial" w:cs="Arial"/>
                <w:sz w:val="20"/>
                <w:szCs w:val="20"/>
              </w:rPr>
            </w:pPr>
          </w:p>
          <w:p w14:paraId="1949AB31" w14:textId="20EBE9F3" w:rsidR="002377FF" w:rsidRDefault="002377FF" w:rsidP="002377FF">
            <w:r>
              <w:rPr>
                <w:rFonts w:ascii="Arial" w:hAnsi="Arial" w:cs="Arial"/>
                <w:noProof/>
                <w:sz w:val="20"/>
                <w:szCs w:val="20"/>
              </w:rPr>
              <w:drawing>
                <wp:inline distT="0" distB="0" distL="0" distR="0" wp14:anchorId="2F4F890E" wp14:editId="730DC1B6">
                  <wp:extent cx="4159230" cy="2247551"/>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77948" cy="2257666"/>
                          </a:xfrm>
                          <a:prstGeom prst="rect">
                            <a:avLst/>
                          </a:prstGeom>
                          <a:noFill/>
                          <a:ln>
                            <a:noFill/>
                          </a:ln>
                        </pic:spPr>
                      </pic:pic>
                    </a:graphicData>
                  </a:graphic>
                </wp:inline>
              </w:drawing>
            </w:r>
          </w:p>
          <w:p w14:paraId="0CBAAF5C" w14:textId="77777777" w:rsidR="00FE2412" w:rsidRDefault="00FE2412" w:rsidP="00D306B1">
            <w:pPr>
              <w:rPr>
                <w:rFonts w:ascii="Arial" w:hAnsi="Arial" w:cs="Arial"/>
                <w:sz w:val="20"/>
                <w:szCs w:val="20"/>
              </w:rPr>
            </w:pPr>
          </w:p>
          <w:p w14:paraId="621AE2DB" w14:textId="09507CD9" w:rsidR="006933ED" w:rsidRPr="006933ED" w:rsidRDefault="006933ED" w:rsidP="006933ED">
            <w:pPr>
              <w:rPr>
                <w:rFonts w:ascii="Arial" w:hAnsi="Arial" w:cs="Arial"/>
                <w:sz w:val="20"/>
                <w:szCs w:val="20"/>
              </w:rPr>
            </w:pPr>
            <w:r w:rsidRPr="006933ED">
              <w:rPr>
                <w:rFonts w:ascii="Arial" w:hAnsi="Arial" w:cs="Arial"/>
                <w:sz w:val="20"/>
                <w:szCs w:val="20"/>
              </w:rPr>
              <w:t xml:space="preserve">Mean Portfolio Return: </w:t>
            </w:r>
            <w:r w:rsidR="002377FF" w:rsidRPr="002377FF">
              <w:rPr>
                <w:rFonts w:ascii="Arial" w:hAnsi="Arial" w:cs="Arial"/>
                <w:sz w:val="20"/>
                <w:szCs w:val="20"/>
              </w:rPr>
              <w:t>0.0178</w:t>
            </w:r>
            <w:r w:rsidR="002377FF">
              <w:rPr>
                <w:rFonts w:ascii="Arial" w:hAnsi="Arial" w:cs="Arial"/>
                <w:sz w:val="20"/>
                <w:szCs w:val="20"/>
              </w:rPr>
              <w:t>3</w:t>
            </w:r>
          </w:p>
          <w:p w14:paraId="1840BAD9" w14:textId="26EEA0CA" w:rsidR="00FE2412" w:rsidRPr="00262BCE" w:rsidRDefault="006933ED" w:rsidP="006933ED">
            <w:pPr>
              <w:rPr>
                <w:rFonts w:ascii="Arial" w:hAnsi="Arial" w:cs="Arial"/>
                <w:sz w:val="20"/>
                <w:szCs w:val="20"/>
              </w:rPr>
            </w:pPr>
            <w:r w:rsidRPr="006933ED">
              <w:rPr>
                <w:rFonts w:ascii="Arial" w:hAnsi="Arial" w:cs="Arial"/>
                <w:sz w:val="20"/>
                <w:szCs w:val="20"/>
              </w:rPr>
              <w:t xml:space="preserve">Portfolio Volatility: </w:t>
            </w:r>
            <w:r w:rsidR="002377FF" w:rsidRPr="002377FF">
              <w:rPr>
                <w:rFonts w:ascii="Arial" w:hAnsi="Arial" w:cs="Arial"/>
                <w:sz w:val="20"/>
                <w:szCs w:val="20"/>
              </w:rPr>
              <w:t>0.0723</w:t>
            </w:r>
            <w:r w:rsidR="002377FF">
              <w:rPr>
                <w:rFonts w:ascii="Arial" w:hAnsi="Arial" w:cs="Arial"/>
                <w:sz w:val="20"/>
                <w:szCs w:val="20"/>
              </w:rPr>
              <w:t>2</w:t>
            </w:r>
            <w:r>
              <w:rPr>
                <w:rFonts w:ascii="Arial" w:hAnsi="Arial" w:cs="Arial"/>
                <w:sz w:val="20"/>
                <w:szCs w:val="20"/>
              </w:rPr>
              <w:br/>
            </w:r>
          </w:p>
        </w:tc>
        <w:tc>
          <w:tcPr>
            <w:tcW w:w="895" w:type="dxa"/>
          </w:tcPr>
          <w:p w14:paraId="064CDF84" w14:textId="77777777" w:rsidR="00D306B1" w:rsidRPr="00262BCE" w:rsidRDefault="00D306B1" w:rsidP="00D306B1">
            <w:pPr>
              <w:rPr>
                <w:rFonts w:ascii="Arial" w:hAnsi="Arial" w:cs="Arial"/>
                <w:sz w:val="20"/>
                <w:szCs w:val="20"/>
              </w:rPr>
            </w:pPr>
          </w:p>
        </w:tc>
      </w:tr>
      <w:tr w:rsidR="004658DB" w:rsidRPr="00262BCE" w14:paraId="675E04FB" w14:textId="77777777" w:rsidTr="004658DB">
        <w:trPr>
          <w:trHeight w:val="340"/>
        </w:trPr>
        <w:tc>
          <w:tcPr>
            <w:tcW w:w="1811" w:type="dxa"/>
          </w:tcPr>
          <w:p w14:paraId="117E57AA" w14:textId="7BB942D8" w:rsidR="003E5228" w:rsidRDefault="00454B3E" w:rsidP="00A4011C">
            <w:pPr>
              <w:rPr>
                <w:rFonts w:ascii="Arial" w:hAnsi="Arial" w:cs="Arial"/>
                <w:sz w:val="20"/>
                <w:szCs w:val="20"/>
              </w:rPr>
            </w:pPr>
            <w:r w:rsidRPr="00262BCE">
              <w:rPr>
                <w:rFonts w:ascii="Arial" w:hAnsi="Arial" w:cs="Arial"/>
                <w:sz w:val="20"/>
                <w:szCs w:val="20"/>
              </w:rPr>
              <w:t xml:space="preserve">b) </w:t>
            </w:r>
          </w:p>
          <w:p w14:paraId="0D464E1C" w14:textId="1F65CA15" w:rsidR="00F574F0" w:rsidRDefault="00F574F0" w:rsidP="00A4011C">
            <w:pPr>
              <w:rPr>
                <w:rFonts w:ascii="Arial" w:hAnsi="Arial" w:cs="Arial"/>
                <w:sz w:val="20"/>
                <w:szCs w:val="20"/>
              </w:rPr>
            </w:pPr>
            <w:r>
              <w:rPr>
                <w:rFonts w:ascii="Arial" w:hAnsi="Arial" w:cs="Arial"/>
                <w:sz w:val="20"/>
                <w:szCs w:val="20"/>
              </w:rPr>
              <w:t>How often was the VaR exceeded? How did the strategy perform?</w:t>
            </w:r>
          </w:p>
          <w:p w14:paraId="67CB16DC" w14:textId="672B1B0A" w:rsidR="00262BCE" w:rsidRPr="00262BCE" w:rsidRDefault="00262BCE" w:rsidP="00A4011C">
            <w:pPr>
              <w:rPr>
                <w:rFonts w:ascii="Arial" w:hAnsi="Arial" w:cs="Arial"/>
                <w:sz w:val="20"/>
                <w:szCs w:val="20"/>
              </w:rPr>
            </w:pPr>
            <w:r>
              <w:rPr>
                <w:rFonts w:ascii="Arial" w:hAnsi="Arial" w:cs="Arial"/>
                <w:sz w:val="20"/>
                <w:szCs w:val="20"/>
              </w:rPr>
              <w:t>(</w:t>
            </w:r>
            <w:r w:rsidR="00F574F0">
              <w:rPr>
                <w:rFonts w:ascii="Arial" w:hAnsi="Arial" w:cs="Arial"/>
                <w:sz w:val="20"/>
                <w:szCs w:val="20"/>
              </w:rPr>
              <w:t>10</w:t>
            </w:r>
            <w:r>
              <w:rPr>
                <w:rFonts w:ascii="Arial" w:hAnsi="Arial" w:cs="Arial"/>
                <w:sz w:val="20"/>
                <w:szCs w:val="20"/>
              </w:rPr>
              <w:t xml:space="preserve"> points)</w:t>
            </w:r>
          </w:p>
          <w:p w14:paraId="5C3DDB77" w14:textId="11A5D3E4" w:rsidR="00454B3E" w:rsidRPr="00262BCE" w:rsidRDefault="00454B3E" w:rsidP="00A4011C">
            <w:pPr>
              <w:rPr>
                <w:rFonts w:ascii="Arial" w:hAnsi="Arial" w:cs="Arial"/>
                <w:sz w:val="20"/>
                <w:szCs w:val="20"/>
              </w:rPr>
            </w:pPr>
          </w:p>
        </w:tc>
        <w:tc>
          <w:tcPr>
            <w:tcW w:w="6690" w:type="dxa"/>
          </w:tcPr>
          <w:p w14:paraId="13667BFD" w14:textId="77777777" w:rsidR="00900BE6" w:rsidRDefault="00900BE6" w:rsidP="00900BE6">
            <w:pPr>
              <w:rPr>
                <w:rFonts w:ascii="Arial" w:hAnsi="Arial" w:cs="Arial"/>
                <w:sz w:val="20"/>
                <w:szCs w:val="20"/>
              </w:rPr>
            </w:pPr>
          </w:p>
          <w:p w14:paraId="65212FEF" w14:textId="7FE5CC02" w:rsidR="002377FF" w:rsidRDefault="002377FF" w:rsidP="002377FF">
            <w:pPr>
              <w:rPr>
                <w:rFonts w:ascii="Arial" w:hAnsi="Arial" w:cs="Arial"/>
                <w:sz w:val="20"/>
                <w:szCs w:val="20"/>
              </w:rPr>
            </w:pPr>
            <w:r w:rsidRPr="002377FF">
              <w:rPr>
                <w:rFonts w:ascii="Arial" w:hAnsi="Arial" w:cs="Arial"/>
                <w:sz w:val="20"/>
                <w:szCs w:val="20"/>
              </w:rPr>
              <w:t>Number of exceeded months: 40</w:t>
            </w:r>
          </w:p>
          <w:p w14:paraId="2DD066AF" w14:textId="77777777" w:rsidR="002377FF" w:rsidRPr="002377FF" w:rsidRDefault="002377FF" w:rsidP="002377FF">
            <w:pPr>
              <w:rPr>
                <w:rFonts w:ascii="Arial" w:hAnsi="Arial" w:cs="Arial"/>
                <w:sz w:val="20"/>
                <w:szCs w:val="20"/>
              </w:rPr>
            </w:pPr>
          </w:p>
          <w:p w14:paraId="4538D26B" w14:textId="77777777" w:rsidR="002377FF" w:rsidRPr="002377FF" w:rsidRDefault="002377FF" w:rsidP="002377FF">
            <w:pPr>
              <w:rPr>
                <w:rFonts w:ascii="Arial" w:hAnsi="Arial" w:cs="Arial"/>
                <w:sz w:val="20"/>
                <w:szCs w:val="20"/>
              </w:rPr>
            </w:pPr>
            <w:r w:rsidRPr="002377FF">
              <w:rPr>
                <w:rFonts w:ascii="Arial" w:hAnsi="Arial" w:cs="Arial"/>
                <w:sz w:val="20"/>
                <w:szCs w:val="20"/>
              </w:rPr>
              <w:t>Exceeded months: 1973-02 - VaR: 0.0539</w:t>
            </w:r>
          </w:p>
          <w:p w14:paraId="2FED309C" w14:textId="77777777" w:rsidR="002377FF" w:rsidRPr="002377FF" w:rsidRDefault="002377FF" w:rsidP="002377FF">
            <w:pPr>
              <w:rPr>
                <w:rFonts w:ascii="Arial" w:hAnsi="Arial" w:cs="Arial"/>
                <w:sz w:val="20"/>
                <w:szCs w:val="20"/>
              </w:rPr>
            </w:pPr>
            <w:r w:rsidRPr="002377FF">
              <w:rPr>
                <w:rFonts w:ascii="Arial" w:hAnsi="Arial" w:cs="Arial"/>
                <w:sz w:val="20"/>
                <w:szCs w:val="20"/>
              </w:rPr>
              <w:t>Exceeded months: 1973-08 - VaR: 0.0619</w:t>
            </w:r>
          </w:p>
          <w:p w14:paraId="396E8D11" w14:textId="77777777" w:rsidR="002377FF" w:rsidRPr="002377FF" w:rsidRDefault="002377FF" w:rsidP="002377FF">
            <w:pPr>
              <w:rPr>
                <w:rFonts w:ascii="Arial" w:hAnsi="Arial" w:cs="Arial"/>
                <w:sz w:val="20"/>
                <w:szCs w:val="20"/>
              </w:rPr>
            </w:pPr>
            <w:r w:rsidRPr="002377FF">
              <w:rPr>
                <w:rFonts w:ascii="Arial" w:hAnsi="Arial" w:cs="Arial"/>
                <w:sz w:val="20"/>
                <w:szCs w:val="20"/>
              </w:rPr>
              <w:t>Exceeded months: 1973-09 - VaR: 0.0568</w:t>
            </w:r>
          </w:p>
          <w:p w14:paraId="61268816" w14:textId="77777777" w:rsidR="002377FF" w:rsidRPr="002377FF" w:rsidRDefault="002377FF" w:rsidP="002377FF">
            <w:pPr>
              <w:rPr>
                <w:rFonts w:ascii="Arial" w:hAnsi="Arial" w:cs="Arial"/>
                <w:sz w:val="20"/>
                <w:szCs w:val="20"/>
              </w:rPr>
            </w:pPr>
            <w:r w:rsidRPr="002377FF">
              <w:rPr>
                <w:rFonts w:ascii="Arial" w:hAnsi="Arial" w:cs="Arial"/>
                <w:sz w:val="20"/>
                <w:szCs w:val="20"/>
              </w:rPr>
              <w:t>Exceeded months: 1973-10 - VaR: 0.0525</w:t>
            </w:r>
          </w:p>
          <w:p w14:paraId="1E3F95B3" w14:textId="77777777" w:rsidR="002377FF" w:rsidRPr="002377FF" w:rsidRDefault="002377FF" w:rsidP="002377FF">
            <w:pPr>
              <w:rPr>
                <w:rFonts w:ascii="Arial" w:hAnsi="Arial" w:cs="Arial"/>
                <w:sz w:val="20"/>
                <w:szCs w:val="20"/>
              </w:rPr>
            </w:pPr>
            <w:r w:rsidRPr="002377FF">
              <w:rPr>
                <w:rFonts w:ascii="Arial" w:hAnsi="Arial" w:cs="Arial"/>
                <w:sz w:val="20"/>
                <w:szCs w:val="20"/>
              </w:rPr>
              <w:t>Exceeded months: 1973-11 - VaR: 0.0631</w:t>
            </w:r>
          </w:p>
          <w:p w14:paraId="085EC87A" w14:textId="77777777" w:rsidR="002377FF" w:rsidRPr="002377FF" w:rsidRDefault="002377FF" w:rsidP="002377FF">
            <w:pPr>
              <w:rPr>
                <w:rFonts w:ascii="Arial" w:hAnsi="Arial" w:cs="Arial"/>
                <w:sz w:val="20"/>
                <w:szCs w:val="20"/>
              </w:rPr>
            </w:pPr>
            <w:r w:rsidRPr="002377FF">
              <w:rPr>
                <w:rFonts w:ascii="Arial" w:hAnsi="Arial" w:cs="Arial"/>
                <w:sz w:val="20"/>
                <w:szCs w:val="20"/>
              </w:rPr>
              <w:t>Exceeded months: 1973-12 - VaR: 0.0585</w:t>
            </w:r>
          </w:p>
          <w:p w14:paraId="373D98A2" w14:textId="77777777" w:rsidR="002377FF" w:rsidRPr="002377FF" w:rsidRDefault="002377FF" w:rsidP="002377FF">
            <w:pPr>
              <w:rPr>
                <w:rFonts w:ascii="Arial" w:hAnsi="Arial" w:cs="Arial"/>
                <w:sz w:val="20"/>
                <w:szCs w:val="20"/>
              </w:rPr>
            </w:pPr>
            <w:r w:rsidRPr="002377FF">
              <w:rPr>
                <w:rFonts w:ascii="Arial" w:hAnsi="Arial" w:cs="Arial"/>
                <w:sz w:val="20"/>
                <w:szCs w:val="20"/>
              </w:rPr>
              <w:t>Exceeded months: 1974-01 - VaR: 0.055</w:t>
            </w:r>
          </w:p>
          <w:p w14:paraId="51154E0D" w14:textId="77777777" w:rsidR="002377FF" w:rsidRPr="002377FF" w:rsidRDefault="002377FF" w:rsidP="002377FF">
            <w:pPr>
              <w:rPr>
                <w:rFonts w:ascii="Arial" w:hAnsi="Arial" w:cs="Arial"/>
                <w:sz w:val="20"/>
                <w:szCs w:val="20"/>
              </w:rPr>
            </w:pPr>
            <w:r w:rsidRPr="002377FF">
              <w:rPr>
                <w:rFonts w:ascii="Arial" w:hAnsi="Arial" w:cs="Arial"/>
                <w:sz w:val="20"/>
                <w:szCs w:val="20"/>
              </w:rPr>
              <w:t>Exceeded months: 1974-03 - VaR: 0.0524</w:t>
            </w:r>
          </w:p>
          <w:p w14:paraId="39602256" w14:textId="77777777" w:rsidR="002377FF" w:rsidRPr="002377FF" w:rsidRDefault="002377FF" w:rsidP="002377FF">
            <w:pPr>
              <w:rPr>
                <w:rFonts w:ascii="Arial" w:hAnsi="Arial" w:cs="Arial"/>
                <w:sz w:val="20"/>
                <w:szCs w:val="20"/>
              </w:rPr>
            </w:pPr>
            <w:r w:rsidRPr="002377FF">
              <w:rPr>
                <w:rFonts w:ascii="Arial" w:hAnsi="Arial" w:cs="Arial"/>
                <w:sz w:val="20"/>
                <w:szCs w:val="20"/>
              </w:rPr>
              <w:t>Exceeded months: 1974-04 - VaR: 0.0516</w:t>
            </w:r>
          </w:p>
          <w:p w14:paraId="38122060" w14:textId="77777777" w:rsidR="002377FF" w:rsidRPr="002377FF" w:rsidRDefault="002377FF" w:rsidP="002377FF">
            <w:pPr>
              <w:rPr>
                <w:rFonts w:ascii="Arial" w:hAnsi="Arial" w:cs="Arial"/>
                <w:sz w:val="20"/>
                <w:szCs w:val="20"/>
              </w:rPr>
            </w:pPr>
            <w:r w:rsidRPr="002377FF">
              <w:rPr>
                <w:rFonts w:ascii="Arial" w:hAnsi="Arial" w:cs="Arial"/>
                <w:sz w:val="20"/>
                <w:szCs w:val="20"/>
              </w:rPr>
              <w:t>Exceeded months: 1974-07 - VaR: 0.0542</w:t>
            </w:r>
          </w:p>
          <w:p w14:paraId="2A70C244" w14:textId="77777777" w:rsidR="002377FF" w:rsidRPr="002377FF" w:rsidRDefault="002377FF" w:rsidP="002377FF">
            <w:pPr>
              <w:rPr>
                <w:rFonts w:ascii="Arial" w:hAnsi="Arial" w:cs="Arial"/>
                <w:sz w:val="20"/>
                <w:szCs w:val="20"/>
              </w:rPr>
            </w:pPr>
            <w:r w:rsidRPr="002377FF">
              <w:rPr>
                <w:rFonts w:ascii="Arial" w:hAnsi="Arial" w:cs="Arial"/>
                <w:sz w:val="20"/>
                <w:szCs w:val="20"/>
              </w:rPr>
              <w:t>Exceeded months: 1974-08 - VaR: 0.0576</w:t>
            </w:r>
          </w:p>
          <w:p w14:paraId="42D977CE" w14:textId="77777777" w:rsidR="002377FF" w:rsidRPr="002377FF" w:rsidRDefault="002377FF" w:rsidP="002377FF">
            <w:pPr>
              <w:rPr>
                <w:rFonts w:ascii="Arial" w:hAnsi="Arial" w:cs="Arial"/>
                <w:sz w:val="20"/>
                <w:szCs w:val="20"/>
              </w:rPr>
            </w:pPr>
            <w:r w:rsidRPr="002377FF">
              <w:rPr>
                <w:rFonts w:ascii="Arial" w:hAnsi="Arial" w:cs="Arial"/>
                <w:sz w:val="20"/>
                <w:szCs w:val="20"/>
              </w:rPr>
              <w:t>Exceeded months: 1974-09 - VaR: 0.0635</w:t>
            </w:r>
          </w:p>
          <w:p w14:paraId="2BD5F028" w14:textId="77777777" w:rsidR="002377FF" w:rsidRPr="002377FF" w:rsidRDefault="002377FF" w:rsidP="002377FF">
            <w:pPr>
              <w:rPr>
                <w:rFonts w:ascii="Arial" w:hAnsi="Arial" w:cs="Arial"/>
                <w:sz w:val="20"/>
                <w:szCs w:val="20"/>
              </w:rPr>
            </w:pPr>
            <w:r w:rsidRPr="002377FF">
              <w:rPr>
                <w:rFonts w:ascii="Arial" w:hAnsi="Arial" w:cs="Arial"/>
                <w:sz w:val="20"/>
                <w:szCs w:val="20"/>
              </w:rPr>
              <w:t>Exceeded months: 1974-10 - VaR: 0.0529</w:t>
            </w:r>
          </w:p>
          <w:p w14:paraId="496AEB99" w14:textId="77777777" w:rsidR="002377FF" w:rsidRPr="002377FF" w:rsidRDefault="002377FF" w:rsidP="002377FF">
            <w:pPr>
              <w:rPr>
                <w:rFonts w:ascii="Arial" w:hAnsi="Arial" w:cs="Arial"/>
                <w:sz w:val="20"/>
                <w:szCs w:val="20"/>
              </w:rPr>
            </w:pPr>
            <w:r w:rsidRPr="002377FF">
              <w:rPr>
                <w:rFonts w:ascii="Arial" w:hAnsi="Arial" w:cs="Arial"/>
                <w:sz w:val="20"/>
                <w:szCs w:val="20"/>
              </w:rPr>
              <w:t>Exceeded months: 1974-11 - VaR: 0.0545</w:t>
            </w:r>
          </w:p>
          <w:p w14:paraId="25DD27D9" w14:textId="77777777" w:rsidR="002377FF" w:rsidRPr="002377FF" w:rsidRDefault="002377FF" w:rsidP="002377FF">
            <w:pPr>
              <w:rPr>
                <w:rFonts w:ascii="Arial" w:hAnsi="Arial" w:cs="Arial"/>
                <w:sz w:val="20"/>
                <w:szCs w:val="20"/>
              </w:rPr>
            </w:pPr>
            <w:r w:rsidRPr="002377FF">
              <w:rPr>
                <w:rFonts w:ascii="Arial" w:hAnsi="Arial" w:cs="Arial"/>
                <w:sz w:val="20"/>
                <w:szCs w:val="20"/>
              </w:rPr>
              <w:t>Exceeded months: 1974-12 - VaR: 0.0588</w:t>
            </w:r>
          </w:p>
          <w:p w14:paraId="304E6C73" w14:textId="77777777" w:rsidR="002377FF" w:rsidRPr="002377FF" w:rsidRDefault="002377FF" w:rsidP="002377FF">
            <w:pPr>
              <w:rPr>
                <w:rFonts w:ascii="Arial" w:hAnsi="Arial" w:cs="Arial"/>
                <w:sz w:val="20"/>
                <w:szCs w:val="20"/>
              </w:rPr>
            </w:pPr>
            <w:r w:rsidRPr="002377FF">
              <w:rPr>
                <w:rFonts w:ascii="Arial" w:hAnsi="Arial" w:cs="Arial"/>
                <w:sz w:val="20"/>
                <w:szCs w:val="20"/>
              </w:rPr>
              <w:t>Exceeded months: 1975-01 - VaR: 0.0551</w:t>
            </w:r>
          </w:p>
          <w:p w14:paraId="18BAA851" w14:textId="77777777" w:rsidR="00CE67D1" w:rsidRDefault="00CE67D1" w:rsidP="002377FF">
            <w:pPr>
              <w:rPr>
                <w:rFonts w:ascii="Arial" w:hAnsi="Arial" w:cs="Arial"/>
                <w:sz w:val="20"/>
                <w:szCs w:val="20"/>
              </w:rPr>
            </w:pPr>
          </w:p>
          <w:p w14:paraId="35E7DA90" w14:textId="77777777" w:rsidR="00CE67D1" w:rsidRDefault="00CE67D1" w:rsidP="002377FF">
            <w:pPr>
              <w:rPr>
                <w:rFonts w:ascii="Arial" w:hAnsi="Arial" w:cs="Arial"/>
                <w:sz w:val="20"/>
                <w:szCs w:val="20"/>
              </w:rPr>
            </w:pPr>
          </w:p>
          <w:p w14:paraId="57027D5E" w14:textId="1AB88E65" w:rsidR="00CE67D1" w:rsidRDefault="002377FF" w:rsidP="002377FF">
            <w:pPr>
              <w:rPr>
                <w:rFonts w:ascii="Arial" w:hAnsi="Arial" w:cs="Arial"/>
                <w:sz w:val="20"/>
                <w:szCs w:val="20"/>
              </w:rPr>
            </w:pPr>
            <w:r w:rsidRPr="002377FF">
              <w:rPr>
                <w:rFonts w:ascii="Arial" w:hAnsi="Arial" w:cs="Arial"/>
                <w:sz w:val="20"/>
                <w:szCs w:val="20"/>
              </w:rPr>
              <w:t>Exceeded months: 1975-02 - VaR: 0.0504</w:t>
            </w:r>
          </w:p>
          <w:p w14:paraId="53314F90" w14:textId="1070EB60" w:rsidR="002377FF" w:rsidRPr="002377FF" w:rsidRDefault="002377FF" w:rsidP="002377FF">
            <w:pPr>
              <w:rPr>
                <w:rFonts w:ascii="Arial" w:hAnsi="Arial" w:cs="Arial"/>
                <w:sz w:val="20"/>
                <w:szCs w:val="20"/>
              </w:rPr>
            </w:pPr>
            <w:r w:rsidRPr="002377FF">
              <w:rPr>
                <w:rFonts w:ascii="Arial" w:hAnsi="Arial" w:cs="Arial"/>
                <w:sz w:val="20"/>
                <w:szCs w:val="20"/>
              </w:rPr>
              <w:t>Exceeded months: 1987-11 - VaR: 0.056</w:t>
            </w:r>
          </w:p>
          <w:p w14:paraId="25C61CE2" w14:textId="77777777" w:rsidR="002377FF" w:rsidRPr="002377FF" w:rsidRDefault="002377FF" w:rsidP="002377FF">
            <w:pPr>
              <w:rPr>
                <w:rFonts w:ascii="Arial" w:hAnsi="Arial" w:cs="Arial"/>
                <w:sz w:val="20"/>
                <w:szCs w:val="20"/>
              </w:rPr>
            </w:pPr>
            <w:r w:rsidRPr="002377FF">
              <w:rPr>
                <w:rFonts w:ascii="Arial" w:hAnsi="Arial" w:cs="Arial"/>
                <w:sz w:val="20"/>
                <w:szCs w:val="20"/>
              </w:rPr>
              <w:t>Exceeded months: 1987-12 - VaR: 0.0547</w:t>
            </w:r>
          </w:p>
          <w:p w14:paraId="3C4ECE36" w14:textId="77777777" w:rsidR="002377FF" w:rsidRPr="002377FF" w:rsidRDefault="002377FF" w:rsidP="002377FF">
            <w:pPr>
              <w:rPr>
                <w:rFonts w:ascii="Arial" w:hAnsi="Arial" w:cs="Arial"/>
                <w:sz w:val="20"/>
                <w:szCs w:val="20"/>
              </w:rPr>
            </w:pPr>
            <w:r w:rsidRPr="002377FF">
              <w:rPr>
                <w:rFonts w:ascii="Arial" w:hAnsi="Arial" w:cs="Arial"/>
                <w:sz w:val="20"/>
                <w:szCs w:val="20"/>
              </w:rPr>
              <w:t>Exceeded months: 1988-01 - VaR: 0.0503</w:t>
            </w:r>
          </w:p>
          <w:p w14:paraId="3649CBBA" w14:textId="77777777" w:rsidR="002377FF" w:rsidRPr="002377FF" w:rsidRDefault="002377FF" w:rsidP="002377FF">
            <w:pPr>
              <w:rPr>
                <w:rFonts w:ascii="Arial" w:hAnsi="Arial" w:cs="Arial"/>
                <w:sz w:val="20"/>
                <w:szCs w:val="20"/>
              </w:rPr>
            </w:pPr>
            <w:r w:rsidRPr="002377FF">
              <w:rPr>
                <w:rFonts w:ascii="Arial" w:hAnsi="Arial" w:cs="Arial"/>
                <w:sz w:val="20"/>
                <w:szCs w:val="20"/>
              </w:rPr>
              <w:t>Exceeded months: 1998-08 - VaR: 0.0643</w:t>
            </w:r>
          </w:p>
          <w:p w14:paraId="48197DCE" w14:textId="77777777" w:rsidR="002377FF" w:rsidRPr="002377FF" w:rsidRDefault="002377FF" w:rsidP="002377FF">
            <w:pPr>
              <w:rPr>
                <w:rFonts w:ascii="Arial" w:hAnsi="Arial" w:cs="Arial"/>
                <w:sz w:val="20"/>
                <w:szCs w:val="20"/>
              </w:rPr>
            </w:pPr>
            <w:r w:rsidRPr="002377FF">
              <w:rPr>
                <w:rFonts w:ascii="Arial" w:hAnsi="Arial" w:cs="Arial"/>
                <w:sz w:val="20"/>
                <w:szCs w:val="20"/>
              </w:rPr>
              <w:t>Exceeded months: 1998-09 - VaR: 0.0616</w:t>
            </w:r>
          </w:p>
          <w:p w14:paraId="14FC1C82" w14:textId="77777777" w:rsidR="002377FF" w:rsidRPr="002377FF" w:rsidRDefault="002377FF" w:rsidP="002377FF">
            <w:pPr>
              <w:rPr>
                <w:rFonts w:ascii="Arial" w:hAnsi="Arial" w:cs="Arial"/>
                <w:sz w:val="20"/>
                <w:szCs w:val="20"/>
              </w:rPr>
            </w:pPr>
            <w:r w:rsidRPr="002377FF">
              <w:rPr>
                <w:rFonts w:ascii="Arial" w:hAnsi="Arial" w:cs="Arial"/>
                <w:sz w:val="20"/>
                <w:szCs w:val="20"/>
              </w:rPr>
              <w:t>Exceeded months: 1998-10 - VaR: 0.0584</w:t>
            </w:r>
          </w:p>
          <w:p w14:paraId="26DE6472" w14:textId="77777777" w:rsidR="002377FF" w:rsidRPr="002377FF" w:rsidRDefault="002377FF" w:rsidP="002377FF">
            <w:pPr>
              <w:rPr>
                <w:rFonts w:ascii="Arial" w:hAnsi="Arial" w:cs="Arial"/>
                <w:sz w:val="20"/>
                <w:szCs w:val="20"/>
              </w:rPr>
            </w:pPr>
            <w:r w:rsidRPr="002377FF">
              <w:rPr>
                <w:rFonts w:ascii="Arial" w:hAnsi="Arial" w:cs="Arial"/>
                <w:sz w:val="20"/>
                <w:szCs w:val="20"/>
              </w:rPr>
              <w:t>Exceeded months: 1998-11 - VaR: 0.0597</w:t>
            </w:r>
          </w:p>
          <w:p w14:paraId="3CC02C40" w14:textId="77777777" w:rsidR="002377FF" w:rsidRPr="002377FF" w:rsidRDefault="002377FF" w:rsidP="002377FF">
            <w:pPr>
              <w:rPr>
                <w:rFonts w:ascii="Arial" w:hAnsi="Arial" w:cs="Arial"/>
                <w:sz w:val="20"/>
                <w:szCs w:val="20"/>
              </w:rPr>
            </w:pPr>
            <w:r w:rsidRPr="002377FF">
              <w:rPr>
                <w:rFonts w:ascii="Arial" w:hAnsi="Arial" w:cs="Arial"/>
                <w:sz w:val="20"/>
                <w:szCs w:val="20"/>
              </w:rPr>
              <w:t>Exceeded months: 1998-12 - VaR: 0.0584</w:t>
            </w:r>
          </w:p>
          <w:p w14:paraId="336E6DFD" w14:textId="77777777" w:rsidR="002377FF" w:rsidRPr="002377FF" w:rsidRDefault="002377FF" w:rsidP="002377FF">
            <w:pPr>
              <w:rPr>
                <w:rFonts w:ascii="Arial" w:hAnsi="Arial" w:cs="Arial"/>
                <w:sz w:val="20"/>
                <w:szCs w:val="20"/>
              </w:rPr>
            </w:pPr>
            <w:r w:rsidRPr="002377FF">
              <w:rPr>
                <w:rFonts w:ascii="Arial" w:hAnsi="Arial" w:cs="Arial"/>
                <w:sz w:val="20"/>
                <w:szCs w:val="20"/>
              </w:rPr>
              <w:t>Exceeded months: 1999-01 - VaR: 0.0557</w:t>
            </w:r>
          </w:p>
          <w:p w14:paraId="2E7E5B7A" w14:textId="77777777" w:rsidR="002377FF" w:rsidRPr="002377FF" w:rsidRDefault="002377FF" w:rsidP="002377FF">
            <w:pPr>
              <w:rPr>
                <w:rFonts w:ascii="Arial" w:hAnsi="Arial" w:cs="Arial"/>
                <w:sz w:val="20"/>
                <w:szCs w:val="20"/>
              </w:rPr>
            </w:pPr>
            <w:r w:rsidRPr="002377FF">
              <w:rPr>
                <w:rFonts w:ascii="Arial" w:hAnsi="Arial" w:cs="Arial"/>
                <w:sz w:val="20"/>
                <w:szCs w:val="20"/>
              </w:rPr>
              <w:t>Exceeded months: 1999-02 - VaR: 0.0566</w:t>
            </w:r>
          </w:p>
          <w:p w14:paraId="4088259F" w14:textId="77777777" w:rsidR="002377FF" w:rsidRPr="002377FF" w:rsidRDefault="002377FF" w:rsidP="002377FF">
            <w:pPr>
              <w:rPr>
                <w:rFonts w:ascii="Arial" w:hAnsi="Arial" w:cs="Arial"/>
                <w:sz w:val="20"/>
                <w:szCs w:val="20"/>
              </w:rPr>
            </w:pPr>
            <w:r w:rsidRPr="002377FF">
              <w:rPr>
                <w:rFonts w:ascii="Arial" w:hAnsi="Arial" w:cs="Arial"/>
                <w:sz w:val="20"/>
                <w:szCs w:val="20"/>
              </w:rPr>
              <w:t>Exceeded months: 1999-03 - VaR: 0.0569</w:t>
            </w:r>
          </w:p>
          <w:p w14:paraId="4218177C" w14:textId="77777777" w:rsidR="002377FF" w:rsidRPr="002377FF" w:rsidRDefault="002377FF" w:rsidP="002377FF">
            <w:pPr>
              <w:rPr>
                <w:rFonts w:ascii="Arial" w:hAnsi="Arial" w:cs="Arial"/>
                <w:sz w:val="20"/>
                <w:szCs w:val="20"/>
              </w:rPr>
            </w:pPr>
            <w:r w:rsidRPr="002377FF">
              <w:rPr>
                <w:rFonts w:ascii="Arial" w:hAnsi="Arial" w:cs="Arial"/>
                <w:sz w:val="20"/>
                <w:szCs w:val="20"/>
              </w:rPr>
              <w:t>Exceeded months: 1999-04 - VaR: 0.0559</w:t>
            </w:r>
          </w:p>
          <w:p w14:paraId="3149B7E8" w14:textId="77777777" w:rsidR="002377FF" w:rsidRPr="002377FF" w:rsidRDefault="002377FF" w:rsidP="002377FF">
            <w:pPr>
              <w:rPr>
                <w:rFonts w:ascii="Arial" w:hAnsi="Arial" w:cs="Arial"/>
                <w:sz w:val="20"/>
                <w:szCs w:val="20"/>
              </w:rPr>
            </w:pPr>
            <w:r w:rsidRPr="002377FF">
              <w:rPr>
                <w:rFonts w:ascii="Arial" w:hAnsi="Arial" w:cs="Arial"/>
                <w:sz w:val="20"/>
                <w:szCs w:val="20"/>
              </w:rPr>
              <w:t>Exceeded months: 1999-05 - VaR: 0.0534</w:t>
            </w:r>
          </w:p>
          <w:p w14:paraId="7420FA2C" w14:textId="77777777" w:rsidR="002377FF" w:rsidRPr="002377FF" w:rsidRDefault="002377FF" w:rsidP="002377FF">
            <w:pPr>
              <w:rPr>
                <w:rFonts w:ascii="Arial" w:hAnsi="Arial" w:cs="Arial"/>
                <w:sz w:val="20"/>
                <w:szCs w:val="20"/>
              </w:rPr>
            </w:pPr>
            <w:r w:rsidRPr="002377FF">
              <w:rPr>
                <w:rFonts w:ascii="Arial" w:hAnsi="Arial" w:cs="Arial"/>
                <w:sz w:val="20"/>
                <w:szCs w:val="20"/>
              </w:rPr>
              <w:t>Exceeded months: 1999-06 - VaR: 0.0511</w:t>
            </w:r>
          </w:p>
          <w:p w14:paraId="302A6159" w14:textId="77777777" w:rsidR="002377FF" w:rsidRPr="002377FF" w:rsidRDefault="002377FF" w:rsidP="002377FF">
            <w:pPr>
              <w:rPr>
                <w:rFonts w:ascii="Arial" w:hAnsi="Arial" w:cs="Arial"/>
                <w:sz w:val="20"/>
                <w:szCs w:val="20"/>
              </w:rPr>
            </w:pPr>
            <w:r w:rsidRPr="002377FF">
              <w:rPr>
                <w:rFonts w:ascii="Arial" w:hAnsi="Arial" w:cs="Arial"/>
                <w:sz w:val="20"/>
                <w:szCs w:val="20"/>
              </w:rPr>
              <w:t>Exceeded months: 1999-07 - VaR: 0.0521</w:t>
            </w:r>
          </w:p>
          <w:p w14:paraId="64E55471" w14:textId="77777777" w:rsidR="002377FF" w:rsidRPr="002377FF" w:rsidRDefault="002377FF" w:rsidP="002377FF">
            <w:pPr>
              <w:rPr>
                <w:rFonts w:ascii="Arial" w:hAnsi="Arial" w:cs="Arial"/>
                <w:sz w:val="20"/>
                <w:szCs w:val="20"/>
              </w:rPr>
            </w:pPr>
            <w:r w:rsidRPr="002377FF">
              <w:rPr>
                <w:rFonts w:ascii="Arial" w:hAnsi="Arial" w:cs="Arial"/>
                <w:sz w:val="20"/>
                <w:szCs w:val="20"/>
              </w:rPr>
              <w:t>Exceeded months: 1999-08 - VaR: 0.0502</w:t>
            </w:r>
          </w:p>
          <w:p w14:paraId="4CE56D55" w14:textId="77777777" w:rsidR="002377FF" w:rsidRPr="002377FF" w:rsidRDefault="002377FF" w:rsidP="002377FF">
            <w:pPr>
              <w:rPr>
                <w:rFonts w:ascii="Arial" w:hAnsi="Arial" w:cs="Arial"/>
                <w:sz w:val="20"/>
                <w:szCs w:val="20"/>
              </w:rPr>
            </w:pPr>
            <w:r w:rsidRPr="002377FF">
              <w:rPr>
                <w:rFonts w:ascii="Arial" w:hAnsi="Arial" w:cs="Arial"/>
                <w:sz w:val="20"/>
                <w:szCs w:val="20"/>
              </w:rPr>
              <w:t>Exceeded months: 2000-11 - VaR: 0.0533</w:t>
            </w:r>
          </w:p>
          <w:p w14:paraId="18A04081" w14:textId="77777777" w:rsidR="002377FF" w:rsidRPr="002377FF" w:rsidRDefault="002377FF" w:rsidP="002377FF">
            <w:pPr>
              <w:rPr>
                <w:rFonts w:ascii="Arial" w:hAnsi="Arial" w:cs="Arial"/>
                <w:sz w:val="20"/>
                <w:szCs w:val="20"/>
              </w:rPr>
            </w:pPr>
            <w:r w:rsidRPr="002377FF">
              <w:rPr>
                <w:rFonts w:ascii="Arial" w:hAnsi="Arial" w:cs="Arial"/>
                <w:sz w:val="20"/>
                <w:szCs w:val="20"/>
              </w:rPr>
              <w:t>Exceeded months: 2000-12 - VaR: 0.0512</w:t>
            </w:r>
          </w:p>
          <w:p w14:paraId="56D75A8C" w14:textId="77777777" w:rsidR="002377FF" w:rsidRPr="002377FF" w:rsidRDefault="002377FF" w:rsidP="002377FF">
            <w:pPr>
              <w:rPr>
                <w:rFonts w:ascii="Arial" w:hAnsi="Arial" w:cs="Arial"/>
                <w:sz w:val="20"/>
                <w:szCs w:val="20"/>
              </w:rPr>
            </w:pPr>
            <w:r w:rsidRPr="002377FF">
              <w:rPr>
                <w:rFonts w:ascii="Arial" w:hAnsi="Arial" w:cs="Arial"/>
                <w:sz w:val="20"/>
                <w:szCs w:val="20"/>
              </w:rPr>
              <w:t>Exceeded months: 2001-02 - VaR: 0.0514</w:t>
            </w:r>
          </w:p>
          <w:p w14:paraId="1EB983DA" w14:textId="77777777" w:rsidR="002377FF" w:rsidRPr="002377FF" w:rsidRDefault="002377FF" w:rsidP="002377FF">
            <w:pPr>
              <w:rPr>
                <w:rFonts w:ascii="Arial" w:hAnsi="Arial" w:cs="Arial"/>
                <w:sz w:val="20"/>
                <w:szCs w:val="20"/>
              </w:rPr>
            </w:pPr>
            <w:r w:rsidRPr="002377FF">
              <w:rPr>
                <w:rFonts w:ascii="Arial" w:hAnsi="Arial" w:cs="Arial"/>
                <w:sz w:val="20"/>
                <w:szCs w:val="20"/>
              </w:rPr>
              <w:t>Exceeded months: 2001-06 - VaR: 0.0504</w:t>
            </w:r>
          </w:p>
          <w:p w14:paraId="4E04179D" w14:textId="77777777" w:rsidR="002377FF" w:rsidRPr="002377FF" w:rsidRDefault="002377FF" w:rsidP="002377FF">
            <w:pPr>
              <w:rPr>
                <w:rFonts w:ascii="Arial" w:hAnsi="Arial" w:cs="Arial"/>
                <w:sz w:val="20"/>
                <w:szCs w:val="20"/>
              </w:rPr>
            </w:pPr>
            <w:r w:rsidRPr="002377FF">
              <w:rPr>
                <w:rFonts w:ascii="Arial" w:hAnsi="Arial" w:cs="Arial"/>
                <w:sz w:val="20"/>
                <w:szCs w:val="20"/>
              </w:rPr>
              <w:t>Exceeded months: 2009-02 - VaR: 0.05</w:t>
            </w:r>
          </w:p>
          <w:p w14:paraId="0E0ABE93" w14:textId="77777777" w:rsidR="002377FF" w:rsidRPr="002377FF" w:rsidRDefault="002377FF" w:rsidP="002377FF">
            <w:pPr>
              <w:rPr>
                <w:rFonts w:ascii="Arial" w:hAnsi="Arial" w:cs="Arial"/>
                <w:sz w:val="20"/>
                <w:szCs w:val="20"/>
              </w:rPr>
            </w:pPr>
            <w:r w:rsidRPr="002377FF">
              <w:rPr>
                <w:rFonts w:ascii="Arial" w:hAnsi="Arial" w:cs="Arial"/>
                <w:sz w:val="20"/>
                <w:szCs w:val="20"/>
              </w:rPr>
              <w:t>Exceeded months: 2009-10 - VaR: 0.0503</w:t>
            </w:r>
          </w:p>
          <w:p w14:paraId="38D1AB5B" w14:textId="56FD53D0" w:rsidR="00900BE6" w:rsidRDefault="002377FF" w:rsidP="002377FF">
            <w:pPr>
              <w:rPr>
                <w:rFonts w:ascii="Arial" w:hAnsi="Arial" w:cs="Arial"/>
                <w:sz w:val="20"/>
                <w:szCs w:val="20"/>
              </w:rPr>
            </w:pPr>
            <w:r w:rsidRPr="002377FF">
              <w:rPr>
                <w:rFonts w:ascii="Arial" w:hAnsi="Arial" w:cs="Arial"/>
                <w:sz w:val="20"/>
                <w:szCs w:val="20"/>
              </w:rPr>
              <w:t>Exceeded months: 2011-10 - VaR: 0.0507</w:t>
            </w:r>
          </w:p>
          <w:p w14:paraId="4F852E46" w14:textId="77777777" w:rsidR="002377FF" w:rsidRDefault="002377FF" w:rsidP="002377FF">
            <w:pPr>
              <w:rPr>
                <w:rFonts w:ascii="Arial" w:hAnsi="Arial" w:cs="Arial"/>
                <w:sz w:val="20"/>
                <w:szCs w:val="20"/>
              </w:rPr>
            </w:pPr>
          </w:p>
          <w:p w14:paraId="5E2BC2B3" w14:textId="4FA56319" w:rsidR="00900BE6" w:rsidRDefault="00900BE6" w:rsidP="00900BE6">
            <w:pPr>
              <w:rPr>
                <w:rFonts w:ascii="Arial" w:hAnsi="Arial" w:cs="Arial"/>
                <w:sz w:val="20"/>
                <w:szCs w:val="20"/>
              </w:rPr>
            </w:pPr>
            <w:r w:rsidRPr="00900BE6">
              <w:rPr>
                <w:rFonts w:ascii="Arial" w:hAnsi="Arial" w:cs="Arial"/>
                <w:sz w:val="20"/>
                <w:szCs w:val="20"/>
              </w:rPr>
              <w:t>Overall, the strategy did perform rather well. Initially, the VaR was frequently exceeded as we did not have as many observations to calculate the standard deviation and mean which were used for the VaR calculation. Moreover, in periods of severe market turmoil and stock market crashes (</w:t>
            </w:r>
            <w:proofErr w:type="gramStart"/>
            <w:r w:rsidRPr="00900BE6">
              <w:rPr>
                <w:rFonts w:ascii="Arial" w:hAnsi="Arial" w:cs="Arial"/>
                <w:sz w:val="20"/>
                <w:szCs w:val="20"/>
              </w:rPr>
              <w:t>e.g.</w:t>
            </w:r>
            <w:proofErr w:type="gramEnd"/>
            <w:r w:rsidRPr="00900BE6">
              <w:rPr>
                <w:rFonts w:ascii="Arial" w:hAnsi="Arial" w:cs="Arial"/>
                <w:sz w:val="20"/>
                <w:szCs w:val="20"/>
              </w:rPr>
              <w:t xml:space="preserve"> 1987/1988 “Black Monday” - 1998/1999 - 2000/2001 “Dot Com bubble” – 2009/2011 “Financial Crisis, Sovereign debt crisis”) the VaR was surpassed as well.</w:t>
            </w:r>
          </w:p>
          <w:p w14:paraId="4C194FE7" w14:textId="5DAF61D0" w:rsidR="00900BE6" w:rsidRPr="00262BCE" w:rsidRDefault="00900BE6" w:rsidP="00900BE6">
            <w:pPr>
              <w:rPr>
                <w:rFonts w:ascii="Arial" w:hAnsi="Arial" w:cs="Arial"/>
                <w:sz w:val="20"/>
                <w:szCs w:val="20"/>
              </w:rPr>
            </w:pPr>
          </w:p>
        </w:tc>
        <w:tc>
          <w:tcPr>
            <w:tcW w:w="895" w:type="dxa"/>
          </w:tcPr>
          <w:p w14:paraId="021B2B6F" w14:textId="77777777" w:rsidR="00A4011C" w:rsidRPr="00262BCE" w:rsidRDefault="00A4011C" w:rsidP="00D306B1">
            <w:pPr>
              <w:rPr>
                <w:rFonts w:ascii="Arial" w:hAnsi="Arial" w:cs="Arial"/>
                <w:sz w:val="20"/>
                <w:szCs w:val="20"/>
              </w:rPr>
            </w:pPr>
          </w:p>
        </w:tc>
      </w:tr>
      <w:tr w:rsidR="004658DB" w:rsidRPr="00262BCE" w14:paraId="5FCE5932" w14:textId="77777777" w:rsidTr="004658DB">
        <w:trPr>
          <w:trHeight w:val="340"/>
        </w:trPr>
        <w:tc>
          <w:tcPr>
            <w:tcW w:w="1811" w:type="dxa"/>
          </w:tcPr>
          <w:p w14:paraId="2770CB0B" w14:textId="7C87E8E5" w:rsidR="00D306B1" w:rsidRPr="00262BCE" w:rsidRDefault="00454B3E" w:rsidP="008F35A6">
            <w:pPr>
              <w:rPr>
                <w:rFonts w:ascii="Arial" w:hAnsi="Arial" w:cs="Arial"/>
                <w:sz w:val="20"/>
                <w:szCs w:val="20"/>
              </w:rPr>
            </w:pPr>
            <w:r w:rsidRPr="00262BCE">
              <w:rPr>
                <w:rFonts w:ascii="Arial" w:hAnsi="Arial" w:cs="Arial"/>
                <w:sz w:val="20"/>
                <w:szCs w:val="20"/>
              </w:rPr>
              <w:t>c)</w:t>
            </w:r>
            <w:r w:rsidR="008F479A">
              <w:rPr>
                <w:rFonts w:ascii="Arial" w:hAnsi="Arial" w:cs="Arial"/>
                <w:sz w:val="20"/>
                <w:szCs w:val="20"/>
              </w:rPr>
              <w:br/>
              <w:t>Discuss potential improvements</w:t>
            </w:r>
          </w:p>
          <w:p w14:paraId="1C75EEF8" w14:textId="3D90B2BE" w:rsidR="00262BCE" w:rsidRPr="00262BCE" w:rsidRDefault="00262BCE" w:rsidP="008F35A6">
            <w:pPr>
              <w:rPr>
                <w:rFonts w:ascii="Arial" w:hAnsi="Arial" w:cs="Arial"/>
                <w:sz w:val="20"/>
                <w:szCs w:val="20"/>
              </w:rPr>
            </w:pPr>
            <w:r>
              <w:rPr>
                <w:rFonts w:ascii="Arial" w:hAnsi="Arial" w:cs="Arial"/>
                <w:sz w:val="20"/>
                <w:szCs w:val="20"/>
              </w:rPr>
              <w:t>(</w:t>
            </w:r>
            <w:r w:rsidR="008F479A">
              <w:rPr>
                <w:rFonts w:ascii="Arial" w:hAnsi="Arial" w:cs="Arial"/>
                <w:sz w:val="20"/>
                <w:szCs w:val="20"/>
              </w:rPr>
              <w:t>6</w:t>
            </w:r>
            <w:r>
              <w:rPr>
                <w:rFonts w:ascii="Arial" w:hAnsi="Arial" w:cs="Arial"/>
                <w:sz w:val="20"/>
                <w:szCs w:val="20"/>
              </w:rPr>
              <w:t xml:space="preserve"> points)</w:t>
            </w:r>
          </w:p>
          <w:p w14:paraId="1CF21237" w14:textId="3498CC77" w:rsidR="0099228D" w:rsidRPr="00262BCE" w:rsidRDefault="0099228D" w:rsidP="008F35A6">
            <w:pPr>
              <w:rPr>
                <w:rFonts w:ascii="Arial" w:hAnsi="Arial" w:cs="Arial"/>
                <w:sz w:val="20"/>
                <w:szCs w:val="20"/>
              </w:rPr>
            </w:pPr>
          </w:p>
        </w:tc>
        <w:tc>
          <w:tcPr>
            <w:tcW w:w="6690" w:type="dxa"/>
          </w:tcPr>
          <w:p w14:paraId="2F431CE5" w14:textId="77777777" w:rsidR="002377FF" w:rsidRDefault="002377FF" w:rsidP="00900BE6">
            <w:pPr>
              <w:rPr>
                <w:rFonts w:ascii="Arial" w:hAnsi="Arial" w:cs="Arial"/>
                <w:sz w:val="20"/>
                <w:szCs w:val="20"/>
              </w:rPr>
            </w:pPr>
          </w:p>
          <w:p w14:paraId="2545E3FA" w14:textId="2F000817" w:rsidR="00900BE6" w:rsidRPr="00900BE6" w:rsidRDefault="00900BE6" w:rsidP="00900BE6">
            <w:pPr>
              <w:rPr>
                <w:rFonts w:ascii="Arial" w:hAnsi="Arial" w:cs="Arial"/>
                <w:sz w:val="20"/>
                <w:szCs w:val="20"/>
              </w:rPr>
            </w:pPr>
            <w:r w:rsidRPr="00900BE6">
              <w:rPr>
                <w:rFonts w:ascii="Arial" w:hAnsi="Arial" w:cs="Arial"/>
                <w:sz w:val="20"/>
                <w:szCs w:val="20"/>
              </w:rPr>
              <w:t xml:space="preserve">VaR is assuming the normal distribution and therefore focuses on the center risks, while not appropriately including the risks of tail events. </w:t>
            </w:r>
            <w:proofErr w:type="gramStart"/>
            <w:r w:rsidRPr="00900BE6">
              <w:rPr>
                <w:rFonts w:ascii="Arial" w:hAnsi="Arial" w:cs="Arial"/>
                <w:sz w:val="20"/>
                <w:szCs w:val="20"/>
              </w:rPr>
              <w:t>In reality these</w:t>
            </w:r>
            <w:proofErr w:type="gramEnd"/>
            <w:r w:rsidRPr="00900BE6">
              <w:rPr>
                <w:rFonts w:ascii="Arial" w:hAnsi="Arial" w:cs="Arial"/>
                <w:sz w:val="20"/>
                <w:szCs w:val="20"/>
              </w:rPr>
              <w:t xml:space="preserve"> tail events, the “fat tails”, are more likely to occur for equities and therefore using the normal distribution as part of the risk measure might not be entirely accurate (cf. QQ plots from question 1h). Moreover, the VaR might give a false sense of security to the investor, for example, basing the VaR on a 99% confidence quantile can give the feeling that it will almost certainly not take place – which, of course, is wrong as 99% is still off from 100%. Moreover, in cases where the VaR would be exceeded there is no indication as to how much the VaR would be exceeded and therefore it does not properly account for tail events that can have a huge impact (cf. </w:t>
            </w:r>
            <w:proofErr w:type="spellStart"/>
            <w:r w:rsidRPr="00900BE6">
              <w:rPr>
                <w:rFonts w:ascii="Arial" w:hAnsi="Arial" w:cs="Arial"/>
                <w:sz w:val="20"/>
                <w:szCs w:val="20"/>
              </w:rPr>
              <w:t>Taleb’s</w:t>
            </w:r>
            <w:proofErr w:type="spellEnd"/>
            <w:r w:rsidRPr="00900BE6">
              <w:rPr>
                <w:rFonts w:ascii="Arial" w:hAnsi="Arial" w:cs="Arial"/>
                <w:sz w:val="20"/>
                <w:szCs w:val="20"/>
              </w:rPr>
              <w:t xml:space="preserve"> Black Swans).</w:t>
            </w:r>
          </w:p>
          <w:p w14:paraId="0547AA5E" w14:textId="77777777" w:rsidR="00900BE6" w:rsidRPr="00900BE6" w:rsidRDefault="00900BE6" w:rsidP="00900BE6">
            <w:pPr>
              <w:rPr>
                <w:rFonts w:ascii="Arial" w:hAnsi="Arial" w:cs="Arial"/>
                <w:sz w:val="20"/>
                <w:szCs w:val="20"/>
              </w:rPr>
            </w:pPr>
          </w:p>
          <w:p w14:paraId="02E4CE24" w14:textId="77777777" w:rsidR="00512D6E" w:rsidRDefault="00900BE6" w:rsidP="00900BE6">
            <w:pPr>
              <w:rPr>
                <w:rFonts w:ascii="Arial" w:hAnsi="Arial" w:cs="Arial"/>
                <w:sz w:val="20"/>
                <w:szCs w:val="20"/>
              </w:rPr>
            </w:pPr>
            <w:r w:rsidRPr="00900BE6">
              <w:rPr>
                <w:rFonts w:ascii="Arial" w:hAnsi="Arial" w:cs="Arial"/>
                <w:sz w:val="20"/>
                <w:szCs w:val="20"/>
              </w:rPr>
              <w:t>In addition, calculating the VaR for shorter periods (</w:t>
            </w:r>
            <w:proofErr w:type="gramStart"/>
            <w:r w:rsidRPr="00900BE6">
              <w:rPr>
                <w:rFonts w:ascii="Arial" w:hAnsi="Arial" w:cs="Arial"/>
                <w:sz w:val="20"/>
                <w:szCs w:val="20"/>
              </w:rPr>
              <w:t>e.g.</w:t>
            </w:r>
            <w:proofErr w:type="gramEnd"/>
            <w:r w:rsidRPr="00900BE6">
              <w:rPr>
                <w:rFonts w:ascii="Arial" w:hAnsi="Arial" w:cs="Arial"/>
                <w:sz w:val="20"/>
                <w:szCs w:val="20"/>
              </w:rPr>
              <w:t xml:space="preserve"> daily instead of monthly) can increase </w:t>
            </w:r>
            <w:proofErr w:type="spellStart"/>
            <w:r w:rsidRPr="00900BE6">
              <w:rPr>
                <w:rFonts w:ascii="Arial" w:hAnsi="Arial" w:cs="Arial"/>
                <w:sz w:val="20"/>
                <w:szCs w:val="20"/>
              </w:rPr>
              <w:t>it’s</w:t>
            </w:r>
            <w:proofErr w:type="spellEnd"/>
            <w:r w:rsidRPr="00900BE6">
              <w:rPr>
                <w:rFonts w:ascii="Arial" w:hAnsi="Arial" w:cs="Arial"/>
                <w:sz w:val="20"/>
                <w:szCs w:val="20"/>
              </w:rPr>
              <w:t xml:space="preserve"> accuracy. However, this is not accounting for potential transaction costs hindering the rebalancing of the portfolio every day based on the previous’ day </w:t>
            </w:r>
            <w:proofErr w:type="spellStart"/>
            <w:r w:rsidRPr="00900BE6">
              <w:rPr>
                <w:rFonts w:ascii="Arial" w:hAnsi="Arial" w:cs="Arial"/>
                <w:sz w:val="20"/>
                <w:szCs w:val="20"/>
              </w:rPr>
              <w:t>VaR.</w:t>
            </w:r>
            <w:proofErr w:type="spellEnd"/>
          </w:p>
          <w:p w14:paraId="0DB18A38" w14:textId="3CB83C0F" w:rsidR="002377FF" w:rsidRPr="00262BCE" w:rsidRDefault="002377FF" w:rsidP="00900BE6">
            <w:pPr>
              <w:rPr>
                <w:rFonts w:ascii="Arial" w:hAnsi="Arial" w:cs="Arial"/>
                <w:b/>
                <w:sz w:val="20"/>
                <w:szCs w:val="20"/>
              </w:rPr>
            </w:pPr>
          </w:p>
        </w:tc>
        <w:tc>
          <w:tcPr>
            <w:tcW w:w="895" w:type="dxa"/>
          </w:tcPr>
          <w:p w14:paraId="6F104FB2" w14:textId="77777777" w:rsidR="00D306B1" w:rsidRPr="00262BCE" w:rsidRDefault="00D306B1" w:rsidP="00D306B1">
            <w:pPr>
              <w:rPr>
                <w:rFonts w:ascii="Arial" w:hAnsi="Arial" w:cs="Arial"/>
                <w:b/>
                <w:sz w:val="20"/>
                <w:szCs w:val="20"/>
              </w:rPr>
            </w:pPr>
          </w:p>
        </w:tc>
      </w:tr>
    </w:tbl>
    <w:p w14:paraId="01A0AA18" w14:textId="77777777" w:rsidR="00B3111E" w:rsidRPr="00262BCE" w:rsidRDefault="00B3111E" w:rsidP="008823B6">
      <w:pPr>
        <w:rPr>
          <w:rFonts w:ascii="Arial" w:hAnsi="Arial" w:cs="Arial"/>
          <w:sz w:val="28"/>
          <w:szCs w:val="28"/>
        </w:rPr>
      </w:pPr>
    </w:p>
    <w:sectPr w:rsidR="00B3111E" w:rsidRPr="00262BCE">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83BBC" w14:textId="77777777" w:rsidR="00471174" w:rsidRDefault="00471174" w:rsidP="00670E15">
      <w:pPr>
        <w:spacing w:after="0" w:line="240" w:lineRule="auto"/>
      </w:pPr>
      <w:r>
        <w:separator/>
      </w:r>
    </w:p>
  </w:endnote>
  <w:endnote w:type="continuationSeparator" w:id="0">
    <w:p w14:paraId="683ACF93" w14:textId="77777777" w:rsidR="00471174" w:rsidRDefault="00471174" w:rsidP="00670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001C7" w14:textId="77777777" w:rsidR="00471174" w:rsidRDefault="00471174" w:rsidP="00670E15">
      <w:pPr>
        <w:spacing w:after="0" w:line="240" w:lineRule="auto"/>
      </w:pPr>
      <w:r>
        <w:separator/>
      </w:r>
    </w:p>
  </w:footnote>
  <w:footnote w:type="continuationSeparator" w:id="0">
    <w:p w14:paraId="19E0D90A" w14:textId="77777777" w:rsidR="00471174" w:rsidRDefault="00471174" w:rsidP="00670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D2DF8"/>
    <w:multiLevelType w:val="hybridMultilevel"/>
    <w:tmpl w:val="F2ECE9D0"/>
    <w:lvl w:ilvl="0" w:tplc="6CDEE372">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683F0AFA"/>
    <w:multiLevelType w:val="hybridMultilevel"/>
    <w:tmpl w:val="7DC0AAA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B480553"/>
    <w:multiLevelType w:val="multilevel"/>
    <w:tmpl w:val="01B48F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C025D04"/>
    <w:multiLevelType w:val="multilevel"/>
    <w:tmpl w:val="422AAB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88"/>
    <w:rsid w:val="00011BEB"/>
    <w:rsid w:val="00014E8E"/>
    <w:rsid w:val="000175E7"/>
    <w:rsid w:val="00026709"/>
    <w:rsid w:val="00027416"/>
    <w:rsid w:val="00030DAB"/>
    <w:rsid w:val="00031FCF"/>
    <w:rsid w:val="000405C2"/>
    <w:rsid w:val="00045B64"/>
    <w:rsid w:val="000469E0"/>
    <w:rsid w:val="000512A3"/>
    <w:rsid w:val="00061809"/>
    <w:rsid w:val="000657AB"/>
    <w:rsid w:val="000700B8"/>
    <w:rsid w:val="000726A5"/>
    <w:rsid w:val="000808C5"/>
    <w:rsid w:val="00080DA8"/>
    <w:rsid w:val="00091D8C"/>
    <w:rsid w:val="00091F43"/>
    <w:rsid w:val="000A33C8"/>
    <w:rsid w:val="000A42E6"/>
    <w:rsid w:val="000B2FC6"/>
    <w:rsid w:val="000D1FD9"/>
    <w:rsid w:val="000D6680"/>
    <w:rsid w:val="000E30BC"/>
    <w:rsid w:val="000E509E"/>
    <w:rsid w:val="000E7191"/>
    <w:rsid w:val="000F1200"/>
    <w:rsid w:val="00103DA4"/>
    <w:rsid w:val="00105074"/>
    <w:rsid w:val="0011098C"/>
    <w:rsid w:val="001176C2"/>
    <w:rsid w:val="00126BBD"/>
    <w:rsid w:val="001310E9"/>
    <w:rsid w:val="00132620"/>
    <w:rsid w:val="0013282E"/>
    <w:rsid w:val="0014605B"/>
    <w:rsid w:val="00152821"/>
    <w:rsid w:val="00152CA4"/>
    <w:rsid w:val="00152D3F"/>
    <w:rsid w:val="0015481B"/>
    <w:rsid w:val="00162F44"/>
    <w:rsid w:val="00165699"/>
    <w:rsid w:val="001657D2"/>
    <w:rsid w:val="00167B6C"/>
    <w:rsid w:val="00170A54"/>
    <w:rsid w:val="001730AF"/>
    <w:rsid w:val="0017368C"/>
    <w:rsid w:val="00182B06"/>
    <w:rsid w:val="00184DC4"/>
    <w:rsid w:val="00185D26"/>
    <w:rsid w:val="00195BA1"/>
    <w:rsid w:val="001A2C44"/>
    <w:rsid w:val="001A37BE"/>
    <w:rsid w:val="001A490C"/>
    <w:rsid w:val="001A5E37"/>
    <w:rsid w:val="001B694A"/>
    <w:rsid w:val="001C4402"/>
    <w:rsid w:val="001D5657"/>
    <w:rsid w:val="001D760A"/>
    <w:rsid w:val="001F0EB6"/>
    <w:rsid w:val="001F6670"/>
    <w:rsid w:val="00206ADF"/>
    <w:rsid w:val="002075EB"/>
    <w:rsid w:val="00217B04"/>
    <w:rsid w:val="0022079D"/>
    <w:rsid w:val="002213BE"/>
    <w:rsid w:val="00222142"/>
    <w:rsid w:val="0022281B"/>
    <w:rsid w:val="0023224A"/>
    <w:rsid w:val="00233D2C"/>
    <w:rsid w:val="002377FF"/>
    <w:rsid w:val="002402E9"/>
    <w:rsid w:val="00262BCE"/>
    <w:rsid w:val="00263C87"/>
    <w:rsid w:val="0026649B"/>
    <w:rsid w:val="002669E5"/>
    <w:rsid w:val="002813BF"/>
    <w:rsid w:val="00297BA2"/>
    <w:rsid w:val="002A4B95"/>
    <w:rsid w:val="002B3F1B"/>
    <w:rsid w:val="002C5563"/>
    <w:rsid w:val="002C65D9"/>
    <w:rsid w:val="002D0B8A"/>
    <w:rsid w:val="002D3485"/>
    <w:rsid w:val="002D4783"/>
    <w:rsid w:val="002E006B"/>
    <w:rsid w:val="002E0BD1"/>
    <w:rsid w:val="002F755C"/>
    <w:rsid w:val="00300921"/>
    <w:rsid w:val="00303129"/>
    <w:rsid w:val="00313BD0"/>
    <w:rsid w:val="003169CF"/>
    <w:rsid w:val="0032277F"/>
    <w:rsid w:val="00326CFC"/>
    <w:rsid w:val="00334464"/>
    <w:rsid w:val="00334E0E"/>
    <w:rsid w:val="00336FA7"/>
    <w:rsid w:val="00340E33"/>
    <w:rsid w:val="00343519"/>
    <w:rsid w:val="003609AD"/>
    <w:rsid w:val="003712C1"/>
    <w:rsid w:val="00390D75"/>
    <w:rsid w:val="0039434D"/>
    <w:rsid w:val="003A6320"/>
    <w:rsid w:val="003B0F1A"/>
    <w:rsid w:val="003B25B3"/>
    <w:rsid w:val="003B2CC8"/>
    <w:rsid w:val="003D21BC"/>
    <w:rsid w:val="003D347D"/>
    <w:rsid w:val="003E0539"/>
    <w:rsid w:val="003E5228"/>
    <w:rsid w:val="003F0A0C"/>
    <w:rsid w:val="003F1C45"/>
    <w:rsid w:val="003F4893"/>
    <w:rsid w:val="003F6D73"/>
    <w:rsid w:val="00400177"/>
    <w:rsid w:val="00402326"/>
    <w:rsid w:val="0040726B"/>
    <w:rsid w:val="00411158"/>
    <w:rsid w:val="0041613D"/>
    <w:rsid w:val="004170F8"/>
    <w:rsid w:val="00426017"/>
    <w:rsid w:val="004304F1"/>
    <w:rsid w:val="004341F9"/>
    <w:rsid w:val="00435775"/>
    <w:rsid w:val="00440A5B"/>
    <w:rsid w:val="00442DFD"/>
    <w:rsid w:val="00445FBA"/>
    <w:rsid w:val="004475DF"/>
    <w:rsid w:val="004520B8"/>
    <w:rsid w:val="00454B3E"/>
    <w:rsid w:val="0045618F"/>
    <w:rsid w:val="00456CF8"/>
    <w:rsid w:val="004607C9"/>
    <w:rsid w:val="00461A5E"/>
    <w:rsid w:val="00462193"/>
    <w:rsid w:val="004658DB"/>
    <w:rsid w:val="004670AA"/>
    <w:rsid w:val="00471174"/>
    <w:rsid w:val="00475938"/>
    <w:rsid w:val="00482500"/>
    <w:rsid w:val="004827FD"/>
    <w:rsid w:val="004904C1"/>
    <w:rsid w:val="00490880"/>
    <w:rsid w:val="00491D51"/>
    <w:rsid w:val="0049392F"/>
    <w:rsid w:val="004A0FC1"/>
    <w:rsid w:val="004A6C18"/>
    <w:rsid w:val="004B36BC"/>
    <w:rsid w:val="004C5740"/>
    <w:rsid w:val="004D1C0F"/>
    <w:rsid w:val="004D3023"/>
    <w:rsid w:val="004E2A6D"/>
    <w:rsid w:val="004E4A0E"/>
    <w:rsid w:val="004E7E5E"/>
    <w:rsid w:val="004F0A0E"/>
    <w:rsid w:val="004F56C0"/>
    <w:rsid w:val="005064E5"/>
    <w:rsid w:val="00512D6E"/>
    <w:rsid w:val="005148D6"/>
    <w:rsid w:val="00514AE8"/>
    <w:rsid w:val="005408C6"/>
    <w:rsid w:val="00554FD7"/>
    <w:rsid w:val="00563358"/>
    <w:rsid w:val="00565C4C"/>
    <w:rsid w:val="00574919"/>
    <w:rsid w:val="00584D26"/>
    <w:rsid w:val="00585541"/>
    <w:rsid w:val="00586F98"/>
    <w:rsid w:val="00587076"/>
    <w:rsid w:val="00596E10"/>
    <w:rsid w:val="005A5294"/>
    <w:rsid w:val="005B7EE7"/>
    <w:rsid w:val="005C2072"/>
    <w:rsid w:val="005D36F0"/>
    <w:rsid w:val="005D5815"/>
    <w:rsid w:val="005F0974"/>
    <w:rsid w:val="005F6DF5"/>
    <w:rsid w:val="005F77A6"/>
    <w:rsid w:val="00600EEC"/>
    <w:rsid w:val="00604CC3"/>
    <w:rsid w:val="0061185F"/>
    <w:rsid w:val="0061306B"/>
    <w:rsid w:val="00617259"/>
    <w:rsid w:val="00623FBE"/>
    <w:rsid w:val="006250D2"/>
    <w:rsid w:val="00626076"/>
    <w:rsid w:val="006308C4"/>
    <w:rsid w:val="006516B8"/>
    <w:rsid w:val="00665FBF"/>
    <w:rsid w:val="00666A9C"/>
    <w:rsid w:val="00670E15"/>
    <w:rsid w:val="0067760C"/>
    <w:rsid w:val="00677EF5"/>
    <w:rsid w:val="00683ADD"/>
    <w:rsid w:val="006844BA"/>
    <w:rsid w:val="006933ED"/>
    <w:rsid w:val="006946F0"/>
    <w:rsid w:val="006973AE"/>
    <w:rsid w:val="006A2468"/>
    <w:rsid w:val="006A2969"/>
    <w:rsid w:val="006A6A62"/>
    <w:rsid w:val="006B1F13"/>
    <w:rsid w:val="006C3D86"/>
    <w:rsid w:val="006E4363"/>
    <w:rsid w:val="006E5534"/>
    <w:rsid w:val="006F4339"/>
    <w:rsid w:val="0070037A"/>
    <w:rsid w:val="0071141F"/>
    <w:rsid w:val="00724073"/>
    <w:rsid w:val="007262B7"/>
    <w:rsid w:val="00732DE6"/>
    <w:rsid w:val="007421FE"/>
    <w:rsid w:val="007431A8"/>
    <w:rsid w:val="00751EA9"/>
    <w:rsid w:val="00774694"/>
    <w:rsid w:val="00783ED6"/>
    <w:rsid w:val="007855FD"/>
    <w:rsid w:val="007868B9"/>
    <w:rsid w:val="00790128"/>
    <w:rsid w:val="00796E1A"/>
    <w:rsid w:val="007B156C"/>
    <w:rsid w:val="007B59F6"/>
    <w:rsid w:val="007C21FC"/>
    <w:rsid w:val="007C4246"/>
    <w:rsid w:val="007C452C"/>
    <w:rsid w:val="007D0E04"/>
    <w:rsid w:val="007D61DC"/>
    <w:rsid w:val="007D6278"/>
    <w:rsid w:val="007F0765"/>
    <w:rsid w:val="007F46ED"/>
    <w:rsid w:val="008055A5"/>
    <w:rsid w:val="00811B2C"/>
    <w:rsid w:val="00815068"/>
    <w:rsid w:val="00821FD6"/>
    <w:rsid w:val="00823E53"/>
    <w:rsid w:val="00826371"/>
    <w:rsid w:val="00831AEF"/>
    <w:rsid w:val="0084400A"/>
    <w:rsid w:val="008471CC"/>
    <w:rsid w:val="00852AF3"/>
    <w:rsid w:val="00860442"/>
    <w:rsid w:val="0086192C"/>
    <w:rsid w:val="008629FA"/>
    <w:rsid w:val="0087034C"/>
    <w:rsid w:val="00870430"/>
    <w:rsid w:val="008729DD"/>
    <w:rsid w:val="0087557D"/>
    <w:rsid w:val="008823B6"/>
    <w:rsid w:val="0089698A"/>
    <w:rsid w:val="00897601"/>
    <w:rsid w:val="008A39F2"/>
    <w:rsid w:val="008B4588"/>
    <w:rsid w:val="008B78E7"/>
    <w:rsid w:val="008C21C7"/>
    <w:rsid w:val="008E044A"/>
    <w:rsid w:val="008E2F1A"/>
    <w:rsid w:val="008E3CBC"/>
    <w:rsid w:val="008F2347"/>
    <w:rsid w:val="008F35A6"/>
    <w:rsid w:val="008F4227"/>
    <w:rsid w:val="008F479A"/>
    <w:rsid w:val="008F7DD1"/>
    <w:rsid w:val="00900BE6"/>
    <w:rsid w:val="00901703"/>
    <w:rsid w:val="00907ABB"/>
    <w:rsid w:val="009151CF"/>
    <w:rsid w:val="0092427F"/>
    <w:rsid w:val="00930788"/>
    <w:rsid w:val="009342EF"/>
    <w:rsid w:val="009344D2"/>
    <w:rsid w:val="00934ECA"/>
    <w:rsid w:val="00935FA5"/>
    <w:rsid w:val="009423DD"/>
    <w:rsid w:val="00951B45"/>
    <w:rsid w:val="00976099"/>
    <w:rsid w:val="00983D0E"/>
    <w:rsid w:val="00985B8A"/>
    <w:rsid w:val="00987A3F"/>
    <w:rsid w:val="00987A81"/>
    <w:rsid w:val="0099228D"/>
    <w:rsid w:val="00995D67"/>
    <w:rsid w:val="009A2758"/>
    <w:rsid w:val="009A4208"/>
    <w:rsid w:val="009B3925"/>
    <w:rsid w:val="009C0DD8"/>
    <w:rsid w:val="009C67D2"/>
    <w:rsid w:val="009E2A63"/>
    <w:rsid w:val="009F076C"/>
    <w:rsid w:val="009F2234"/>
    <w:rsid w:val="009F3A0C"/>
    <w:rsid w:val="009F715B"/>
    <w:rsid w:val="00A11049"/>
    <w:rsid w:val="00A12D7D"/>
    <w:rsid w:val="00A252FF"/>
    <w:rsid w:val="00A27460"/>
    <w:rsid w:val="00A32F0A"/>
    <w:rsid w:val="00A37D56"/>
    <w:rsid w:val="00A4011C"/>
    <w:rsid w:val="00A50859"/>
    <w:rsid w:val="00A56867"/>
    <w:rsid w:val="00A774B9"/>
    <w:rsid w:val="00A925F9"/>
    <w:rsid w:val="00A93F85"/>
    <w:rsid w:val="00A95EB2"/>
    <w:rsid w:val="00A96BF7"/>
    <w:rsid w:val="00AA707D"/>
    <w:rsid w:val="00AA7B0C"/>
    <w:rsid w:val="00AB2EE5"/>
    <w:rsid w:val="00AB7AAD"/>
    <w:rsid w:val="00AC7ED1"/>
    <w:rsid w:val="00AD0A42"/>
    <w:rsid w:val="00AD4C98"/>
    <w:rsid w:val="00AE4046"/>
    <w:rsid w:val="00AE5002"/>
    <w:rsid w:val="00AE5896"/>
    <w:rsid w:val="00AF13D9"/>
    <w:rsid w:val="00AF5D25"/>
    <w:rsid w:val="00B079D2"/>
    <w:rsid w:val="00B10D95"/>
    <w:rsid w:val="00B12E80"/>
    <w:rsid w:val="00B13CD0"/>
    <w:rsid w:val="00B161A7"/>
    <w:rsid w:val="00B215B7"/>
    <w:rsid w:val="00B27D94"/>
    <w:rsid w:val="00B3111E"/>
    <w:rsid w:val="00B313AB"/>
    <w:rsid w:val="00B320CB"/>
    <w:rsid w:val="00B33420"/>
    <w:rsid w:val="00B40D06"/>
    <w:rsid w:val="00B5468C"/>
    <w:rsid w:val="00B628CE"/>
    <w:rsid w:val="00B64EEE"/>
    <w:rsid w:val="00B74DA9"/>
    <w:rsid w:val="00B77A01"/>
    <w:rsid w:val="00B77F1F"/>
    <w:rsid w:val="00B8210B"/>
    <w:rsid w:val="00B83548"/>
    <w:rsid w:val="00B84518"/>
    <w:rsid w:val="00B9055D"/>
    <w:rsid w:val="00B90875"/>
    <w:rsid w:val="00B9798A"/>
    <w:rsid w:val="00BA463A"/>
    <w:rsid w:val="00BA4779"/>
    <w:rsid w:val="00BA6660"/>
    <w:rsid w:val="00BB2E87"/>
    <w:rsid w:val="00BB3D20"/>
    <w:rsid w:val="00BB5892"/>
    <w:rsid w:val="00BD307D"/>
    <w:rsid w:val="00BD57B1"/>
    <w:rsid w:val="00BE06ED"/>
    <w:rsid w:val="00BE30DB"/>
    <w:rsid w:val="00BE5744"/>
    <w:rsid w:val="00BE7E54"/>
    <w:rsid w:val="00C1691B"/>
    <w:rsid w:val="00C23431"/>
    <w:rsid w:val="00C26CCE"/>
    <w:rsid w:val="00C35F56"/>
    <w:rsid w:val="00C4120F"/>
    <w:rsid w:val="00C41E63"/>
    <w:rsid w:val="00C4251B"/>
    <w:rsid w:val="00C4498F"/>
    <w:rsid w:val="00C475D8"/>
    <w:rsid w:val="00C53534"/>
    <w:rsid w:val="00C53D9C"/>
    <w:rsid w:val="00C6006E"/>
    <w:rsid w:val="00C635AB"/>
    <w:rsid w:val="00C647BC"/>
    <w:rsid w:val="00C6730C"/>
    <w:rsid w:val="00C7099A"/>
    <w:rsid w:val="00C716AE"/>
    <w:rsid w:val="00C92153"/>
    <w:rsid w:val="00C97DED"/>
    <w:rsid w:val="00CA4336"/>
    <w:rsid w:val="00CA4705"/>
    <w:rsid w:val="00CA68E0"/>
    <w:rsid w:val="00CB0904"/>
    <w:rsid w:val="00CB3326"/>
    <w:rsid w:val="00CC0057"/>
    <w:rsid w:val="00CE3E43"/>
    <w:rsid w:val="00CE67D1"/>
    <w:rsid w:val="00CE7CF5"/>
    <w:rsid w:val="00CF25BA"/>
    <w:rsid w:val="00CF6D37"/>
    <w:rsid w:val="00CF6DCE"/>
    <w:rsid w:val="00CF7440"/>
    <w:rsid w:val="00D000B7"/>
    <w:rsid w:val="00D024B6"/>
    <w:rsid w:val="00D03DC8"/>
    <w:rsid w:val="00D1206A"/>
    <w:rsid w:val="00D13B8E"/>
    <w:rsid w:val="00D27D3F"/>
    <w:rsid w:val="00D306B1"/>
    <w:rsid w:val="00D37C85"/>
    <w:rsid w:val="00D43C21"/>
    <w:rsid w:val="00D5180E"/>
    <w:rsid w:val="00D55635"/>
    <w:rsid w:val="00D61C9F"/>
    <w:rsid w:val="00D663C5"/>
    <w:rsid w:val="00D744D3"/>
    <w:rsid w:val="00D83C88"/>
    <w:rsid w:val="00D84BF0"/>
    <w:rsid w:val="00D86129"/>
    <w:rsid w:val="00D87265"/>
    <w:rsid w:val="00DA293A"/>
    <w:rsid w:val="00DA48EB"/>
    <w:rsid w:val="00DA6207"/>
    <w:rsid w:val="00DB2103"/>
    <w:rsid w:val="00DC5DA0"/>
    <w:rsid w:val="00DC61E0"/>
    <w:rsid w:val="00DD4D6F"/>
    <w:rsid w:val="00DE19E9"/>
    <w:rsid w:val="00DF3909"/>
    <w:rsid w:val="00DF3A09"/>
    <w:rsid w:val="00E02B20"/>
    <w:rsid w:val="00E047AF"/>
    <w:rsid w:val="00E05671"/>
    <w:rsid w:val="00E2325E"/>
    <w:rsid w:val="00E24200"/>
    <w:rsid w:val="00E24E56"/>
    <w:rsid w:val="00E30094"/>
    <w:rsid w:val="00E30D89"/>
    <w:rsid w:val="00E33FFD"/>
    <w:rsid w:val="00E34D2C"/>
    <w:rsid w:val="00E42A5F"/>
    <w:rsid w:val="00E443C0"/>
    <w:rsid w:val="00E51927"/>
    <w:rsid w:val="00E571BD"/>
    <w:rsid w:val="00E60058"/>
    <w:rsid w:val="00E65D25"/>
    <w:rsid w:val="00E70E09"/>
    <w:rsid w:val="00E718DC"/>
    <w:rsid w:val="00E73953"/>
    <w:rsid w:val="00E770A6"/>
    <w:rsid w:val="00E80CCF"/>
    <w:rsid w:val="00E84FA5"/>
    <w:rsid w:val="00EA6615"/>
    <w:rsid w:val="00EA6777"/>
    <w:rsid w:val="00EA7377"/>
    <w:rsid w:val="00EB5640"/>
    <w:rsid w:val="00ED0A6B"/>
    <w:rsid w:val="00ED3601"/>
    <w:rsid w:val="00ED5BA6"/>
    <w:rsid w:val="00EE4D35"/>
    <w:rsid w:val="00EF7BB2"/>
    <w:rsid w:val="00F07471"/>
    <w:rsid w:val="00F157E1"/>
    <w:rsid w:val="00F15B8F"/>
    <w:rsid w:val="00F17E83"/>
    <w:rsid w:val="00F208B1"/>
    <w:rsid w:val="00F225B0"/>
    <w:rsid w:val="00F2556D"/>
    <w:rsid w:val="00F31F4A"/>
    <w:rsid w:val="00F56A42"/>
    <w:rsid w:val="00F56C8E"/>
    <w:rsid w:val="00F574F0"/>
    <w:rsid w:val="00F62199"/>
    <w:rsid w:val="00F671E1"/>
    <w:rsid w:val="00FA0A69"/>
    <w:rsid w:val="00FA4304"/>
    <w:rsid w:val="00FB5218"/>
    <w:rsid w:val="00FC7794"/>
    <w:rsid w:val="00FD3A38"/>
    <w:rsid w:val="00FD3B88"/>
    <w:rsid w:val="00FE2412"/>
    <w:rsid w:val="00FE4351"/>
    <w:rsid w:val="00FE4F97"/>
    <w:rsid w:val="00FF4BB3"/>
    <w:rsid w:val="00FF5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1374D"/>
  <w15:docId w15:val="{409AE39A-B6CB-4A88-B6DD-6E3ECEA56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unhideWhenUsed/>
    <w:rsid w:val="008B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rsid w:val="008B4588"/>
    <w:rPr>
      <w:rFonts w:ascii="Courier New" w:eastAsia="Times New Roman" w:hAnsi="Courier New" w:cs="Courier New"/>
      <w:sz w:val="20"/>
      <w:szCs w:val="20"/>
    </w:rPr>
  </w:style>
  <w:style w:type="paragraph" w:styleId="Sprechblasentext">
    <w:name w:val="Balloon Text"/>
    <w:basedOn w:val="Standard"/>
    <w:link w:val="SprechblasentextZchn"/>
    <w:uiPriority w:val="99"/>
    <w:semiHidden/>
    <w:unhideWhenUsed/>
    <w:rsid w:val="00B3111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3111E"/>
    <w:rPr>
      <w:rFonts w:ascii="Tahoma" w:hAnsi="Tahoma" w:cs="Tahoma"/>
      <w:sz w:val="16"/>
      <w:szCs w:val="16"/>
    </w:rPr>
  </w:style>
  <w:style w:type="table" w:styleId="Tabellenraster">
    <w:name w:val="Table Grid"/>
    <w:basedOn w:val="NormaleTabelle"/>
    <w:uiPriority w:val="59"/>
    <w:rsid w:val="00B31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70E15"/>
    <w:pPr>
      <w:ind w:left="720"/>
      <w:contextualSpacing/>
    </w:pPr>
  </w:style>
  <w:style w:type="character" w:customStyle="1" w:styleId="gd15mcfceub">
    <w:name w:val="gd15mcfceub"/>
    <w:basedOn w:val="Absatz-Standardschriftart"/>
    <w:rsid w:val="00AF5D25"/>
  </w:style>
  <w:style w:type="character" w:customStyle="1" w:styleId="gd15mcfckub">
    <w:name w:val="gd15mcfckub"/>
    <w:basedOn w:val="Absatz-Standardschriftart"/>
    <w:rsid w:val="007262B7"/>
  </w:style>
  <w:style w:type="character" w:customStyle="1" w:styleId="gd15mcfcktb">
    <w:name w:val="gd15mcfcktb"/>
    <w:basedOn w:val="Absatz-Standardschriftart"/>
    <w:rsid w:val="007262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6220">
      <w:bodyDiv w:val="1"/>
      <w:marLeft w:val="0"/>
      <w:marRight w:val="0"/>
      <w:marTop w:val="0"/>
      <w:marBottom w:val="0"/>
      <w:divBdr>
        <w:top w:val="none" w:sz="0" w:space="0" w:color="auto"/>
        <w:left w:val="none" w:sz="0" w:space="0" w:color="auto"/>
        <w:bottom w:val="none" w:sz="0" w:space="0" w:color="auto"/>
        <w:right w:val="none" w:sz="0" w:space="0" w:color="auto"/>
      </w:divBdr>
    </w:div>
    <w:div w:id="29261303">
      <w:bodyDiv w:val="1"/>
      <w:marLeft w:val="0"/>
      <w:marRight w:val="0"/>
      <w:marTop w:val="0"/>
      <w:marBottom w:val="0"/>
      <w:divBdr>
        <w:top w:val="none" w:sz="0" w:space="0" w:color="auto"/>
        <w:left w:val="none" w:sz="0" w:space="0" w:color="auto"/>
        <w:bottom w:val="none" w:sz="0" w:space="0" w:color="auto"/>
        <w:right w:val="none" w:sz="0" w:space="0" w:color="auto"/>
      </w:divBdr>
    </w:div>
    <w:div w:id="30887535">
      <w:bodyDiv w:val="1"/>
      <w:marLeft w:val="0"/>
      <w:marRight w:val="0"/>
      <w:marTop w:val="0"/>
      <w:marBottom w:val="0"/>
      <w:divBdr>
        <w:top w:val="none" w:sz="0" w:space="0" w:color="auto"/>
        <w:left w:val="none" w:sz="0" w:space="0" w:color="auto"/>
        <w:bottom w:val="none" w:sz="0" w:space="0" w:color="auto"/>
        <w:right w:val="none" w:sz="0" w:space="0" w:color="auto"/>
      </w:divBdr>
    </w:div>
    <w:div w:id="101998771">
      <w:bodyDiv w:val="1"/>
      <w:marLeft w:val="0"/>
      <w:marRight w:val="0"/>
      <w:marTop w:val="0"/>
      <w:marBottom w:val="0"/>
      <w:divBdr>
        <w:top w:val="none" w:sz="0" w:space="0" w:color="auto"/>
        <w:left w:val="none" w:sz="0" w:space="0" w:color="auto"/>
        <w:bottom w:val="none" w:sz="0" w:space="0" w:color="auto"/>
        <w:right w:val="none" w:sz="0" w:space="0" w:color="auto"/>
      </w:divBdr>
    </w:div>
    <w:div w:id="121190659">
      <w:bodyDiv w:val="1"/>
      <w:marLeft w:val="0"/>
      <w:marRight w:val="0"/>
      <w:marTop w:val="0"/>
      <w:marBottom w:val="0"/>
      <w:divBdr>
        <w:top w:val="none" w:sz="0" w:space="0" w:color="auto"/>
        <w:left w:val="none" w:sz="0" w:space="0" w:color="auto"/>
        <w:bottom w:val="none" w:sz="0" w:space="0" w:color="auto"/>
        <w:right w:val="none" w:sz="0" w:space="0" w:color="auto"/>
      </w:divBdr>
    </w:div>
    <w:div w:id="190918251">
      <w:bodyDiv w:val="1"/>
      <w:marLeft w:val="0"/>
      <w:marRight w:val="0"/>
      <w:marTop w:val="0"/>
      <w:marBottom w:val="0"/>
      <w:divBdr>
        <w:top w:val="none" w:sz="0" w:space="0" w:color="auto"/>
        <w:left w:val="none" w:sz="0" w:space="0" w:color="auto"/>
        <w:bottom w:val="none" w:sz="0" w:space="0" w:color="auto"/>
        <w:right w:val="none" w:sz="0" w:space="0" w:color="auto"/>
      </w:divBdr>
    </w:div>
    <w:div w:id="271522344">
      <w:bodyDiv w:val="1"/>
      <w:marLeft w:val="0"/>
      <w:marRight w:val="0"/>
      <w:marTop w:val="0"/>
      <w:marBottom w:val="0"/>
      <w:divBdr>
        <w:top w:val="none" w:sz="0" w:space="0" w:color="auto"/>
        <w:left w:val="none" w:sz="0" w:space="0" w:color="auto"/>
        <w:bottom w:val="none" w:sz="0" w:space="0" w:color="auto"/>
        <w:right w:val="none" w:sz="0" w:space="0" w:color="auto"/>
      </w:divBdr>
    </w:div>
    <w:div w:id="271667155">
      <w:bodyDiv w:val="1"/>
      <w:marLeft w:val="0"/>
      <w:marRight w:val="0"/>
      <w:marTop w:val="0"/>
      <w:marBottom w:val="0"/>
      <w:divBdr>
        <w:top w:val="none" w:sz="0" w:space="0" w:color="auto"/>
        <w:left w:val="none" w:sz="0" w:space="0" w:color="auto"/>
        <w:bottom w:val="none" w:sz="0" w:space="0" w:color="auto"/>
        <w:right w:val="none" w:sz="0" w:space="0" w:color="auto"/>
      </w:divBdr>
    </w:div>
    <w:div w:id="290013964">
      <w:bodyDiv w:val="1"/>
      <w:marLeft w:val="0"/>
      <w:marRight w:val="0"/>
      <w:marTop w:val="0"/>
      <w:marBottom w:val="0"/>
      <w:divBdr>
        <w:top w:val="none" w:sz="0" w:space="0" w:color="auto"/>
        <w:left w:val="none" w:sz="0" w:space="0" w:color="auto"/>
        <w:bottom w:val="none" w:sz="0" w:space="0" w:color="auto"/>
        <w:right w:val="none" w:sz="0" w:space="0" w:color="auto"/>
      </w:divBdr>
    </w:div>
    <w:div w:id="324164973">
      <w:bodyDiv w:val="1"/>
      <w:marLeft w:val="0"/>
      <w:marRight w:val="0"/>
      <w:marTop w:val="0"/>
      <w:marBottom w:val="0"/>
      <w:divBdr>
        <w:top w:val="none" w:sz="0" w:space="0" w:color="auto"/>
        <w:left w:val="none" w:sz="0" w:space="0" w:color="auto"/>
        <w:bottom w:val="none" w:sz="0" w:space="0" w:color="auto"/>
        <w:right w:val="none" w:sz="0" w:space="0" w:color="auto"/>
      </w:divBdr>
    </w:div>
    <w:div w:id="363017251">
      <w:bodyDiv w:val="1"/>
      <w:marLeft w:val="0"/>
      <w:marRight w:val="0"/>
      <w:marTop w:val="0"/>
      <w:marBottom w:val="0"/>
      <w:divBdr>
        <w:top w:val="none" w:sz="0" w:space="0" w:color="auto"/>
        <w:left w:val="none" w:sz="0" w:space="0" w:color="auto"/>
        <w:bottom w:val="none" w:sz="0" w:space="0" w:color="auto"/>
        <w:right w:val="none" w:sz="0" w:space="0" w:color="auto"/>
      </w:divBdr>
    </w:div>
    <w:div w:id="445317963">
      <w:bodyDiv w:val="1"/>
      <w:marLeft w:val="0"/>
      <w:marRight w:val="0"/>
      <w:marTop w:val="0"/>
      <w:marBottom w:val="0"/>
      <w:divBdr>
        <w:top w:val="none" w:sz="0" w:space="0" w:color="auto"/>
        <w:left w:val="none" w:sz="0" w:space="0" w:color="auto"/>
        <w:bottom w:val="none" w:sz="0" w:space="0" w:color="auto"/>
        <w:right w:val="none" w:sz="0" w:space="0" w:color="auto"/>
      </w:divBdr>
    </w:div>
    <w:div w:id="447435879">
      <w:bodyDiv w:val="1"/>
      <w:marLeft w:val="0"/>
      <w:marRight w:val="0"/>
      <w:marTop w:val="0"/>
      <w:marBottom w:val="0"/>
      <w:divBdr>
        <w:top w:val="none" w:sz="0" w:space="0" w:color="auto"/>
        <w:left w:val="none" w:sz="0" w:space="0" w:color="auto"/>
        <w:bottom w:val="none" w:sz="0" w:space="0" w:color="auto"/>
        <w:right w:val="none" w:sz="0" w:space="0" w:color="auto"/>
      </w:divBdr>
    </w:div>
    <w:div w:id="483084052">
      <w:bodyDiv w:val="1"/>
      <w:marLeft w:val="0"/>
      <w:marRight w:val="0"/>
      <w:marTop w:val="0"/>
      <w:marBottom w:val="0"/>
      <w:divBdr>
        <w:top w:val="none" w:sz="0" w:space="0" w:color="auto"/>
        <w:left w:val="none" w:sz="0" w:space="0" w:color="auto"/>
        <w:bottom w:val="none" w:sz="0" w:space="0" w:color="auto"/>
        <w:right w:val="none" w:sz="0" w:space="0" w:color="auto"/>
      </w:divBdr>
    </w:div>
    <w:div w:id="539167453">
      <w:bodyDiv w:val="1"/>
      <w:marLeft w:val="0"/>
      <w:marRight w:val="0"/>
      <w:marTop w:val="0"/>
      <w:marBottom w:val="0"/>
      <w:divBdr>
        <w:top w:val="none" w:sz="0" w:space="0" w:color="auto"/>
        <w:left w:val="none" w:sz="0" w:space="0" w:color="auto"/>
        <w:bottom w:val="none" w:sz="0" w:space="0" w:color="auto"/>
        <w:right w:val="none" w:sz="0" w:space="0" w:color="auto"/>
      </w:divBdr>
    </w:div>
    <w:div w:id="633751362">
      <w:bodyDiv w:val="1"/>
      <w:marLeft w:val="0"/>
      <w:marRight w:val="0"/>
      <w:marTop w:val="0"/>
      <w:marBottom w:val="0"/>
      <w:divBdr>
        <w:top w:val="none" w:sz="0" w:space="0" w:color="auto"/>
        <w:left w:val="none" w:sz="0" w:space="0" w:color="auto"/>
        <w:bottom w:val="none" w:sz="0" w:space="0" w:color="auto"/>
        <w:right w:val="none" w:sz="0" w:space="0" w:color="auto"/>
      </w:divBdr>
    </w:div>
    <w:div w:id="712852445">
      <w:bodyDiv w:val="1"/>
      <w:marLeft w:val="0"/>
      <w:marRight w:val="0"/>
      <w:marTop w:val="0"/>
      <w:marBottom w:val="0"/>
      <w:divBdr>
        <w:top w:val="none" w:sz="0" w:space="0" w:color="auto"/>
        <w:left w:val="none" w:sz="0" w:space="0" w:color="auto"/>
        <w:bottom w:val="none" w:sz="0" w:space="0" w:color="auto"/>
        <w:right w:val="none" w:sz="0" w:space="0" w:color="auto"/>
      </w:divBdr>
    </w:div>
    <w:div w:id="833566615">
      <w:bodyDiv w:val="1"/>
      <w:marLeft w:val="0"/>
      <w:marRight w:val="0"/>
      <w:marTop w:val="0"/>
      <w:marBottom w:val="0"/>
      <w:divBdr>
        <w:top w:val="none" w:sz="0" w:space="0" w:color="auto"/>
        <w:left w:val="none" w:sz="0" w:space="0" w:color="auto"/>
        <w:bottom w:val="none" w:sz="0" w:space="0" w:color="auto"/>
        <w:right w:val="none" w:sz="0" w:space="0" w:color="auto"/>
      </w:divBdr>
    </w:div>
    <w:div w:id="847990131">
      <w:bodyDiv w:val="1"/>
      <w:marLeft w:val="0"/>
      <w:marRight w:val="0"/>
      <w:marTop w:val="0"/>
      <w:marBottom w:val="0"/>
      <w:divBdr>
        <w:top w:val="none" w:sz="0" w:space="0" w:color="auto"/>
        <w:left w:val="none" w:sz="0" w:space="0" w:color="auto"/>
        <w:bottom w:val="none" w:sz="0" w:space="0" w:color="auto"/>
        <w:right w:val="none" w:sz="0" w:space="0" w:color="auto"/>
      </w:divBdr>
    </w:div>
    <w:div w:id="1039088134">
      <w:bodyDiv w:val="1"/>
      <w:marLeft w:val="0"/>
      <w:marRight w:val="0"/>
      <w:marTop w:val="0"/>
      <w:marBottom w:val="0"/>
      <w:divBdr>
        <w:top w:val="none" w:sz="0" w:space="0" w:color="auto"/>
        <w:left w:val="none" w:sz="0" w:space="0" w:color="auto"/>
        <w:bottom w:val="none" w:sz="0" w:space="0" w:color="auto"/>
        <w:right w:val="none" w:sz="0" w:space="0" w:color="auto"/>
      </w:divBdr>
    </w:div>
    <w:div w:id="1075979006">
      <w:bodyDiv w:val="1"/>
      <w:marLeft w:val="0"/>
      <w:marRight w:val="0"/>
      <w:marTop w:val="0"/>
      <w:marBottom w:val="0"/>
      <w:divBdr>
        <w:top w:val="none" w:sz="0" w:space="0" w:color="auto"/>
        <w:left w:val="none" w:sz="0" w:space="0" w:color="auto"/>
        <w:bottom w:val="none" w:sz="0" w:space="0" w:color="auto"/>
        <w:right w:val="none" w:sz="0" w:space="0" w:color="auto"/>
      </w:divBdr>
    </w:div>
    <w:div w:id="1252398192">
      <w:bodyDiv w:val="1"/>
      <w:marLeft w:val="0"/>
      <w:marRight w:val="0"/>
      <w:marTop w:val="0"/>
      <w:marBottom w:val="0"/>
      <w:divBdr>
        <w:top w:val="none" w:sz="0" w:space="0" w:color="auto"/>
        <w:left w:val="none" w:sz="0" w:space="0" w:color="auto"/>
        <w:bottom w:val="none" w:sz="0" w:space="0" w:color="auto"/>
        <w:right w:val="none" w:sz="0" w:space="0" w:color="auto"/>
      </w:divBdr>
    </w:div>
    <w:div w:id="1256330471">
      <w:bodyDiv w:val="1"/>
      <w:marLeft w:val="0"/>
      <w:marRight w:val="0"/>
      <w:marTop w:val="0"/>
      <w:marBottom w:val="0"/>
      <w:divBdr>
        <w:top w:val="none" w:sz="0" w:space="0" w:color="auto"/>
        <w:left w:val="none" w:sz="0" w:space="0" w:color="auto"/>
        <w:bottom w:val="none" w:sz="0" w:space="0" w:color="auto"/>
        <w:right w:val="none" w:sz="0" w:space="0" w:color="auto"/>
      </w:divBdr>
    </w:div>
    <w:div w:id="1351223651">
      <w:bodyDiv w:val="1"/>
      <w:marLeft w:val="0"/>
      <w:marRight w:val="0"/>
      <w:marTop w:val="0"/>
      <w:marBottom w:val="0"/>
      <w:divBdr>
        <w:top w:val="none" w:sz="0" w:space="0" w:color="auto"/>
        <w:left w:val="none" w:sz="0" w:space="0" w:color="auto"/>
        <w:bottom w:val="none" w:sz="0" w:space="0" w:color="auto"/>
        <w:right w:val="none" w:sz="0" w:space="0" w:color="auto"/>
      </w:divBdr>
    </w:div>
    <w:div w:id="1357735033">
      <w:bodyDiv w:val="1"/>
      <w:marLeft w:val="0"/>
      <w:marRight w:val="0"/>
      <w:marTop w:val="0"/>
      <w:marBottom w:val="0"/>
      <w:divBdr>
        <w:top w:val="none" w:sz="0" w:space="0" w:color="auto"/>
        <w:left w:val="none" w:sz="0" w:space="0" w:color="auto"/>
        <w:bottom w:val="none" w:sz="0" w:space="0" w:color="auto"/>
        <w:right w:val="none" w:sz="0" w:space="0" w:color="auto"/>
      </w:divBdr>
    </w:div>
    <w:div w:id="1371686615">
      <w:bodyDiv w:val="1"/>
      <w:marLeft w:val="0"/>
      <w:marRight w:val="0"/>
      <w:marTop w:val="0"/>
      <w:marBottom w:val="0"/>
      <w:divBdr>
        <w:top w:val="none" w:sz="0" w:space="0" w:color="auto"/>
        <w:left w:val="none" w:sz="0" w:space="0" w:color="auto"/>
        <w:bottom w:val="none" w:sz="0" w:space="0" w:color="auto"/>
        <w:right w:val="none" w:sz="0" w:space="0" w:color="auto"/>
      </w:divBdr>
    </w:div>
    <w:div w:id="1415709658">
      <w:bodyDiv w:val="1"/>
      <w:marLeft w:val="0"/>
      <w:marRight w:val="0"/>
      <w:marTop w:val="0"/>
      <w:marBottom w:val="0"/>
      <w:divBdr>
        <w:top w:val="none" w:sz="0" w:space="0" w:color="auto"/>
        <w:left w:val="none" w:sz="0" w:space="0" w:color="auto"/>
        <w:bottom w:val="none" w:sz="0" w:space="0" w:color="auto"/>
        <w:right w:val="none" w:sz="0" w:space="0" w:color="auto"/>
      </w:divBdr>
    </w:div>
    <w:div w:id="1468738745">
      <w:bodyDiv w:val="1"/>
      <w:marLeft w:val="0"/>
      <w:marRight w:val="0"/>
      <w:marTop w:val="0"/>
      <w:marBottom w:val="0"/>
      <w:divBdr>
        <w:top w:val="none" w:sz="0" w:space="0" w:color="auto"/>
        <w:left w:val="none" w:sz="0" w:space="0" w:color="auto"/>
        <w:bottom w:val="none" w:sz="0" w:space="0" w:color="auto"/>
        <w:right w:val="none" w:sz="0" w:space="0" w:color="auto"/>
      </w:divBdr>
    </w:div>
    <w:div w:id="1588077478">
      <w:bodyDiv w:val="1"/>
      <w:marLeft w:val="0"/>
      <w:marRight w:val="0"/>
      <w:marTop w:val="0"/>
      <w:marBottom w:val="0"/>
      <w:divBdr>
        <w:top w:val="none" w:sz="0" w:space="0" w:color="auto"/>
        <w:left w:val="none" w:sz="0" w:space="0" w:color="auto"/>
        <w:bottom w:val="none" w:sz="0" w:space="0" w:color="auto"/>
        <w:right w:val="none" w:sz="0" w:space="0" w:color="auto"/>
      </w:divBdr>
    </w:div>
    <w:div w:id="1589652395">
      <w:bodyDiv w:val="1"/>
      <w:marLeft w:val="0"/>
      <w:marRight w:val="0"/>
      <w:marTop w:val="0"/>
      <w:marBottom w:val="0"/>
      <w:divBdr>
        <w:top w:val="none" w:sz="0" w:space="0" w:color="auto"/>
        <w:left w:val="none" w:sz="0" w:space="0" w:color="auto"/>
        <w:bottom w:val="none" w:sz="0" w:space="0" w:color="auto"/>
        <w:right w:val="none" w:sz="0" w:space="0" w:color="auto"/>
      </w:divBdr>
    </w:div>
    <w:div w:id="1655790144">
      <w:bodyDiv w:val="1"/>
      <w:marLeft w:val="0"/>
      <w:marRight w:val="0"/>
      <w:marTop w:val="0"/>
      <w:marBottom w:val="0"/>
      <w:divBdr>
        <w:top w:val="none" w:sz="0" w:space="0" w:color="auto"/>
        <w:left w:val="none" w:sz="0" w:space="0" w:color="auto"/>
        <w:bottom w:val="none" w:sz="0" w:space="0" w:color="auto"/>
        <w:right w:val="none" w:sz="0" w:space="0" w:color="auto"/>
      </w:divBdr>
    </w:div>
    <w:div w:id="1701777441">
      <w:bodyDiv w:val="1"/>
      <w:marLeft w:val="0"/>
      <w:marRight w:val="0"/>
      <w:marTop w:val="0"/>
      <w:marBottom w:val="0"/>
      <w:divBdr>
        <w:top w:val="none" w:sz="0" w:space="0" w:color="auto"/>
        <w:left w:val="none" w:sz="0" w:space="0" w:color="auto"/>
        <w:bottom w:val="none" w:sz="0" w:space="0" w:color="auto"/>
        <w:right w:val="none" w:sz="0" w:space="0" w:color="auto"/>
      </w:divBdr>
    </w:div>
    <w:div w:id="1814638592">
      <w:bodyDiv w:val="1"/>
      <w:marLeft w:val="0"/>
      <w:marRight w:val="0"/>
      <w:marTop w:val="0"/>
      <w:marBottom w:val="0"/>
      <w:divBdr>
        <w:top w:val="none" w:sz="0" w:space="0" w:color="auto"/>
        <w:left w:val="none" w:sz="0" w:space="0" w:color="auto"/>
        <w:bottom w:val="none" w:sz="0" w:space="0" w:color="auto"/>
        <w:right w:val="none" w:sz="0" w:space="0" w:color="auto"/>
      </w:divBdr>
    </w:div>
    <w:div w:id="1858621353">
      <w:bodyDiv w:val="1"/>
      <w:marLeft w:val="0"/>
      <w:marRight w:val="0"/>
      <w:marTop w:val="0"/>
      <w:marBottom w:val="0"/>
      <w:divBdr>
        <w:top w:val="none" w:sz="0" w:space="0" w:color="auto"/>
        <w:left w:val="none" w:sz="0" w:space="0" w:color="auto"/>
        <w:bottom w:val="none" w:sz="0" w:space="0" w:color="auto"/>
        <w:right w:val="none" w:sz="0" w:space="0" w:color="auto"/>
      </w:divBdr>
    </w:div>
    <w:div w:id="2002924891">
      <w:bodyDiv w:val="1"/>
      <w:marLeft w:val="0"/>
      <w:marRight w:val="0"/>
      <w:marTop w:val="0"/>
      <w:marBottom w:val="0"/>
      <w:divBdr>
        <w:top w:val="none" w:sz="0" w:space="0" w:color="auto"/>
        <w:left w:val="none" w:sz="0" w:space="0" w:color="auto"/>
        <w:bottom w:val="none" w:sz="0" w:space="0" w:color="auto"/>
        <w:right w:val="none" w:sz="0" w:space="0" w:color="auto"/>
      </w:divBdr>
    </w:div>
    <w:div w:id="2090734248">
      <w:bodyDiv w:val="1"/>
      <w:marLeft w:val="0"/>
      <w:marRight w:val="0"/>
      <w:marTop w:val="0"/>
      <w:marBottom w:val="0"/>
      <w:divBdr>
        <w:top w:val="none" w:sz="0" w:space="0" w:color="auto"/>
        <w:left w:val="none" w:sz="0" w:space="0" w:color="auto"/>
        <w:bottom w:val="none" w:sz="0" w:space="0" w:color="auto"/>
        <w:right w:val="none" w:sz="0" w:space="0" w:color="auto"/>
      </w:divBdr>
    </w:div>
    <w:div w:id="2104764618">
      <w:bodyDiv w:val="1"/>
      <w:marLeft w:val="0"/>
      <w:marRight w:val="0"/>
      <w:marTop w:val="0"/>
      <w:marBottom w:val="0"/>
      <w:divBdr>
        <w:top w:val="none" w:sz="0" w:space="0" w:color="auto"/>
        <w:left w:val="none" w:sz="0" w:space="0" w:color="auto"/>
        <w:bottom w:val="none" w:sz="0" w:space="0" w:color="auto"/>
        <w:right w:val="none" w:sz="0" w:space="0" w:color="auto"/>
      </w:divBdr>
    </w:div>
    <w:div w:id="212214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1058</Words>
  <Characters>6668</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Universität St. Gallen</Company>
  <LinksUpToDate>false</LinksUpToDate>
  <CharactersWithSpaces>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 Karnaukh</dc:creator>
  <cp:lastModifiedBy>Kampe, NiklasLeander</cp:lastModifiedBy>
  <cp:revision>7</cp:revision>
  <dcterms:created xsi:type="dcterms:W3CDTF">2021-11-01T18:38:00Z</dcterms:created>
  <dcterms:modified xsi:type="dcterms:W3CDTF">2021-11-16T21:27:00Z</dcterms:modified>
</cp:coreProperties>
</file>