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Mobile Game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Mobile Game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No Spacing"/>
      </w:pP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Mobile Game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Develop a mobile version of a game. Adapt a non-mobile game to convert it to mobile (either Android or iOS)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(100 Points) Develop a mobile version of a game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Convert an existing game to either Android or iOS.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Layout and use of screen space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Controls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Tests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Mobile Game Resources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Search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Android game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iOS game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on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tl w:val="0"/>
          <w:lang w:val="en-US"/>
        </w:rPr>
        <w:t xml:space="preserve">).  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Textbooks are all available for free to NEU students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tl w:val="0"/>
          <w:lang w:val="en-US"/>
        </w:rPr>
        <w:t>).  You must access SpringerLink from an NEU IP address to have full access and/or download these books.</w:t>
      </w:r>
    </w:p>
    <w:p>
      <w:pPr>
        <w:pStyle w:val="No Spacing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References and Links:</w:t>
      </w:r>
    </w:p>
    <w:p>
      <w:pPr>
        <w:pStyle w:val="No Spacing"/>
      </w:pPr>
    </w:p>
    <w:p>
      <w:pPr>
        <w:pStyle w:val="No Spacing"/>
        <w:numPr>
          <w:ilvl w:val="0"/>
          <w:numId w:val="2"/>
        </w:numPr>
      </w:pP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"https://unity.com/solutions/mobile"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https://unity.com/solutions/mobile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"https://www.youtube.com/watch?v=kpczi1WUGNE"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https://www.youtube.com/watch?v=kpczi1WUGNE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"https://unity3d.com/mobile/solution-guide"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https://unity3d.com/mobile/solution-guide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"https://www.sysbunny.com/blog/10-tips-for-mobile-game-development-using-unity-platform/"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https://www.sysbunny.com/blog/10-tips-for-mobile-game-development-using-unity-platform/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"https://www.quora.com/How-do-I-learn-to-use-unity-to-make-a-mobile-game"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https://www.quora.com/How-do-I-learn-to-use-unity-to-make-a-mobile-game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