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78857" w14:textId="77777777" w:rsidR="008A38A8" w:rsidRDefault="00521C80">
      <w:pPr>
        <w:pStyle w:val="Title"/>
      </w:pPr>
      <w:r>
        <w:t>Berry Global Portfolio Report</w:t>
      </w:r>
    </w:p>
    <w:p w14:paraId="62F53831" w14:textId="77777777" w:rsidR="004D51BF" w:rsidRDefault="00521C80">
      <w:pPr>
        <w:pStyle w:val="Heading1"/>
      </w:pPr>
      <w:r>
        <w:t>2. Executive Summary</w:t>
      </w:r>
    </w:p>
    <w:p w14:paraId="40956D21" w14:textId="684966AF" w:rsidR="004D51BF" w:rsidRDefault="004D51BF">
      <w:pPr>
        <w:pStyle w:val="Heading1"/>
        <w:rPr>
          <w:rFonts w:asciiTheme="minorHAnsi" w:eastAsiaTheme="minorEastAsia" w:hAnsiTheme="minorHAnsi" w:cstheme="minorBidi"/>
          <w:b w:val="0"/>
          <w:bCs w:val="0"/>
          <w:color w:val="auto"/>
          <w:sz w:val="22"/>
          <w:szCs w:val="22"/>
        </w:rPr>
      </w:pPr>
      <w:r w:rsidRPr="004D51BF">
        <w:rPr>
          <w:rFonts w:asciiTheme="minorHAnsi" w:eastAsiaTheme="minorEastAsia" w:hAnsiTheme="minorHAnsi" w:cstheme="minorBidi"/>
          <w:b w:val="0"/>
          <w:bCs w:val="0"/>
          <w:color w:val="auto"/>
          <w:sz w:val="22"/>
          <w:szCs w:val="22"/>
        </w:rPr>
        <w:t>Berry Global Group, Inc. (NYSE: BERY) is a global leader in plastic packaging and engineered products, serving diversified sectors such as healthcare, food and beverage, personal care, and industrial markets. Headquartered in Evansville, Indiana, Berry operates over 265 facilities across North America, Europe, Latin America, and Asia. With a strategic focus on sustainability, innovation, and operational efficiency, the company is transitioning from a traditional plastics firm to a circular economy leader.</w:t>
      </w:r>
    </w:p>
    <w:p w14:paraId="68F81CF0" w14:textId="77777777" w:rsidR="004D51BF" w:rsidRDefault="004D51BF" w:rsidP="004D51BF">
      <w:r>
        <w:t>Key Financial Highlights (FY2020–FY2024E)</w:t>
      </w:r>
    </w:p>
    <w:p w14:paraId="58C308D5" w14:textId="77777777" w:rsidR="004D51BF" w:rsidRDefault="004D51BF" w:rsidP="004D51BF">
      <w:pPr>
        <w:pStyle w:val="ListParagraph"/>
        <w:numPr>
          <w:ilvl w:val="0"/>
          <w:numId w:val="10"/>
        </w:numPr>
      </w:pPr>
      <w:r>
        <w:t>Revenue Growth: Net sales have increased steadily from $11.7 billion in FY2020 to an estimated $13.3 billion in FY2024, representing a CAGR of ~3.3%. This growth has been driven by both organic expansion and strategic acquisitions.</w:t>
      </w:r>
    </w:p>
    <w:p w14:paraId="57C33576" w14:textId="77777777" w:rsidR="004D51BF" w:rsidRDefault="004D51BF" w:rsidP="004D51BF">
      <w:pPr>
        <w:pStyle w:val="ListParagraph"/>
        <w:numPr>
          <w:ilvl w:val="0"/>
          <w:numId w:val="10"/>
        </w:numPr>
      </w:pPr>
      <w:r>
        <w:t>Earnings Growth: Adjusted EPS has grown from $5.40 in 2020 to an expected $7.20 in 2024, implying a ~7.5% CAGR, supported by margin expansion and debt reduction.</w:t>
      </w:r>
    </w:p>
    <w:p w14:paraId="6793E742" w14:textId="77777777" w:rsidR="004D51BF" w:rsidRDefault="004D51BF" w:rsidP="004D51BF">
      <w:pPr>
        <w:pStyle w:val="ListParagraph"/>
        <w:numPr>
          <w:ilvl w:val="0"/>
          <w:numId w:val="10"/>
        </w:numPr>
      </w:pPr>
      <w:r>
        <w:t>Free Cash Flow: Berry consistently generates strong free cash flow (FCF), averaging $800M annually, with a robust FCF yield of ~10%, significantly higher than industry norms.</w:t>
      </w:r>
    </w:p>
    <w:p w14:paraId="75AAC9DC" w14:textId="103BF788" w:rsidR="004D51BF" w:rsidRDefault="004D51BF" w:rsidP="004D51BF">
      <w:pPr>
        <w:pStyle w:val="ListParagraph"/>
        <w:numPr>
          <w:ilvl w:val="0"/>
          <w:numId w:val="10"/>
        </w:numPr>
      </w:pPr>
      <w:r>
        <w:t>Leverage Reduction: Debt/EBITDA has declined from 4.6x in 2020 to a projected 3.3x by 2024, reflecting prudent debt management and cash discipline.</w:t>
      </w:r>
    </w:p>
    <w:p w14:paraId="33520B12" w14:textId="77777777" w:rsidR="004D51BF" w:rsidRDefault="004D51BF" w:rsidP="004D51BF">
      <w:r>
        <w:t>Investment Recommendation: BUY</w:t>
      </w:r>
    </w:p>
    <w:p w14:paraId="32CBAD35" w14:textId="6D7F6DB4" w:rsidR="004D51BF" w:rsidRDefault="004D51BF" w:rsidP="004D51BF">
      <w:r>
        <w:t xml:space="preserve">Berry Global is currently trading at a valuation discount to its peers — with a P/E multiple of ~9.5x vs. industry average of ~13.5x and EV/EBITDA at ~7.8x vs. ~10.2x. Given its stable cash </w:t>
      </w:r>
      <w:proofErr w:type="gramStart"/>
      <w:r>
        <w:t>flows</w:t>
      </w:r>
      <w:proofErr w:type="gramEnd"/>
      <w:r>
        <w:t>, operational efficiencies, and expansion in sustainable packaging, Berry represents a strong value investment. Its conservative capital structure, increasing dividend yield potential, and synergy-driven M&amp;A strategy further support a BUY recommendation.</w:t>
      </w:r>
    </w:p>
    <w:p w14:paraId="6B27872C" w14:textId="77777777" w:rsidR="004D51BF" w:rsidRDefault="004D51BF" w:rsidP="004D51BF">
      <w:r>
        <w:t>Key Growth Drivers</w:t>
      </w:r>
    </w:p>
    <w:p w14:paraId="667980B8" w14:textId="77777777" w:rsidR="004D51BF" w:rsidRDefault="004D51BF" w:rsidP="004D51BF">
      <w:r>
        <w:t>Sustainable Packaging Innovation: Development of eco-friendly solutions (e.g., Verdant™ polymers, circular resins) in response to regulatory and consumer pressure.</w:t>
      </w:r>
    </w:p>
    <w:p w14:paraId="231CB7BB" w14:textId="77777777" w:rsidR="004D51BF" w:rsidRDefault="004D51BF" w:rsidP="004D51BF">
      <w:r>
        <w:t>Expansion into Emerging Markets: Penetration into Asia and Latin America, where packaging demand is rising.</w:t>
      </w:r>
    </w:p>
    <w:p w14:paraId="0258C193" w14:textId="77777777" w:rsidR="004D51BF" w:rsidRDefault="004D51BF" w:rsidP="004D51BF">
      <w:r>
        <w:t>Synergistic M&amp;A Strategy: Track record of successful acquisitions such as RPC Group and continuous pipeline of bolt-on acquisitions to enhance product scope and market share.</w:t>
      </w:r>
    </w:p>
    <w:p w14:paraId="2957F3CA" w14:textId="0EC6F95B" w:rsidR="004D51BF" w:rsidRDefault="004D51BF" w:rsidP="004D51BF">
      <w:r>
        <w:lastRenderedPageBreak/>
        <w:t>Cost Efficiency and R&amp;D Investment: Automation, lean operations, and annual R&amp;D expenditure exceeding $150M position Berry well for scalable innovation.</w:t>
      </w:r>
    </w:p>
    <w:p w14:paraId="120DA789" w14:textId="77777777" w:rsidR="004D51BF" w:rsidRDefault="004D51BF" w:rsidP="004D51BF">
      <w:r>
        <w:t>Risks and Challenges</w:t>
      </w:r>
    </w:p>
    <w:p w14:paraId="30E0FE39" w14:textId="77777777" w:rsidR="004D51BF" w:rsidRDefault="004D51BF" w:rsidP="004D51BF">
      <w:r>
        <w:t>Volatile Resin Prices: Fluctuations in petrochemical prices can impact margins.</w:t>
      </w:r>
    </w:p>
    <w:p w14:paraId="57C433B7" w14:textId="2206C9A5" w:rsidR="004D51BF" w:rsidRDefault="004D51BF" w:rsidP="004D51BF">
      <w:r>
        <w:t>Regulatory Pressures: Increasing global restrictions on single-use plastics could affect traditional product lines.</w:t>
      </w:r>
    </w:p>
    <w:p w14:paraId="444D0364" w14:textId="79727CFB" w:rsidR="004D51BF" w:rsidRDefault="004D51BF" w:rsidP="004D51BF">
      <w:r>
        <w:t>M&amp;A Integration Risk: While Berry has a strong integration history, the scale of upcoming mergers introduces complexity and potential for execution risk.</w:t>
      </w:r>
    </w:p>
    <w:p w14:paraId="4652CC7B" w14:textId="5987E5D3" w:rsidR="004D51BF" w:rsidRDefault="004D51BF" w:rsidP="004D51BF">
      <w:r>
        <w:t>FX Risk: With operations in over 40 countries, exchange rate movements could affect consolidated financial performance.</w:t>
      </w:r>
    </w:p>
    <w:p w14:paraId="6E4AE293" w14:textId="77777777" w:rsidR="004D51BF" w:rsidRDefault="004D51BF" w:rsidP="004D51BF">
      <w:r>
        <w:t>Merger Impact – Amcor Deal</w:t>
      </w:r>
    </w:p>
    <w:p w14:paraId="49E32427" w14:textId="77777777" w:rsidR="004D51BF" w:rsidRDefault="004D51BF" w:rsidP="004D51BF">
      <w:r>
        <w:t>In April 2025, Berry announced a transformative $8.4 billion all-stock merger with Amcor, creating one of the world’s largest sustainable packaging companies. The merger is expected to:</w:t>
      </w:r>
    </w:p>
    <w:p w14:paraId="47FB4EBA" w14:textId="77777777" w:rsidR="004D51BF" w:rsidRDefault="004D51BF" w:rsidP="004D51BF">
      <w:r>
        <w:t>Unlock $650 million in cost synergies by FY2027 through supply chain optimization and plant rationalization.</w:t>
      </w:r>
    </w:p>
    <w:p w14:paraId="42D105FD" w14:textId="77777777" w:rsidR="004D51BF" w:rsidRDefault="004D51BF" w:rsidP="004D51BF">
      <w:r>
        <w:t>Expand Berry’s presence in underpenetrated regions like Australia and strengthen its presence in Europe and Asia.</w:t>
      </w:r>
    </w:p>
    <w:p w14:paraId="08FE088B" w14:textId="77777777" w:rsidR="004D51BF" w:rsidRDefault="004D51BF" w:rsidP="004D51BF">
      <w:r>
        <w:t>Improve pricing power, customer diversification, and R&amp;D capabilities.</w:t>
      </w:r>
    </w:p>
    <w:p w14:paraId="64392CEA" w14:textId="0586E0F5" w:rsidR="004D51BF" w:rsidRPr="004D51BF" w:rsidRDefault="004D51BF" w:rsidP="004D51BF">
      <w:r>
        <w:t>Close by mid-2025, pending regulatory approval.</w:t>
      </w:r>
    </w:p>
    <w:p w14:paraId="460EA214" w14:textId="37F802EF" w:rsidR="008A38A8" w:rsidRDefault="00521C80">
      <w:pPr>
        <w:pStyle w:val="Heading1"/>
      </w:pPr>
      <w:r>
        <w:t>3. Company Overview</w:t>
      </w:r>
    </w:p>
    <w:p w14:paraId="07745755" w14:textId="77777777" w:rsidR="004D51BF" w:rsidRPr="004D51BF" w:rsidRDefault="004D51BF" w:rsidP="004D51BF">
      <w:pPr>
        <w:rPr>
          <w:b/>
          <w:bCs/>
        </w:rPr>
      </w:pPr>
      <w:r w:rsidRPr="004D51BF">
        <w:rPr>
          <w:b/>
          <w:bCs/>
        </w:rPr>
        <w:t>History &amp; Background</w:t>
      </w:r>
    </w:p>
    <w:p w14:paraId="62772920" w14:textId="09FE9C48" w:rsidR="004D51BF" w:rsidRDefault="004D51BF" w:rsidP="004D51BF">
      <w:r>
        <w:t xml:space="preserve">Berry Global Group, Inc. (NYSE: BERY) is a Fortune 500 manufacturer of plastic packaging products and engineered materials. The company was founded in 1967 in Evansville, Indiana, where it is still headquartered today. Initially a small injection molding company, </w:t>
      </w:r>
      <w:proofErr w:type="gramStart"/>
      <w:r>
        <w:t>Berry</w:t>
      </w:r>
      <w:proofErr w:type="gramEnd"/>
      <w:r>
        <w:t xml:space="preserve"> expanded through a combination of organic growth and a strategic, disciplined acquisition strategy that transformed it into a global packaging leader.</w:t>
      </w:r>
    </w:p>
    <w:p w14:paraId="6FE23D00" w14:textId="3F10FE75" w:rsidR="004D51BF" w:rsidRDefault="004D51BF" w:rsidP="004D51BF">
      <w:r>
        <w:t>Over the decades, Berry has completed over 40 acquisitions, including some of the largest in the industry. A major milestone was the $6.5 billion acquisition of RPC Group in 2019, a U.K.-based plastic packaging manufacturer. This deal significantly enhanced Berry’s global scale, especially in Europe and Asia, and expanded its portfolio to include more sustainable and recyclable products.</w:t>
      </w:r>
    </w:p>
    <w:p w14:paraId="5255811C" w14:textId="554B2D3F" w:rsidR="004D51BF" w:rsidRDefault="004D51BF" w:rsidP="004D51BF">
      <w:r>
        <w:lastRenderedPageBreak/>
        <w:t>Today, Berry serves thousands of customers in over 100 countries and supports a diversified end-market base including healthcare, food &amp; beverage, industrial, agriculture, and personal care.</w:t>
      </w:r>
    </w:p>
    <w:p w14:paraId="247C73ED" w14:textId="77777777" w:rsidR="004D51BF" w:rsidRPr="004D51BF" w:rsidRDefault="004D51BF" w:rsidP="004D51BF">
      <w:pPr>
        <w:rPr>
          <w:b/>
          <w:bCs/>
        </w:rPr>
      </w:pPr>
      <w:r w:rsidRPr="004D51BF">
        <w:rPr>
          <w:b/>
          <w:bCs/>
        </w:rPr>
        <w:t>Business Segments</w:t>
      </w:r>
    </w:p>
    <w:p w14:paraId="7CEBBFD5" w14:textId="4643300F" w:rsidR="004D51BF" w:rsidRDefault="004D51BF" w:rsidP="004D51BF">
      <w:r>
        <w:t>Berry Global operates under four primary business segments, each aligned with specific customer needs and industry verticals:</w:t>
      </w:r>
    </w:p>
    <w:p w14:paraId="7B2B39D3" w14:textId="77777777" w:rsidR="004D51BF" w:rsidRDefault="004D51BF" w:rsidP="004D51BF">
      <w:r>
        <w:t>Consumer Packaging – International</w:t>
      </w:r>
    </w:p>
    <w:p w14:paraId="3BD96CF7" w14:textId="1A97979A" w:rsidR="004D51BF" w:rsidRDefault="004D51BF" w:rsidP="004D51BF">
      <w:r>
        <w:t>Focused on foodservice, beverage, and personal care markets outside North America. This division emphasizes recyclable rigid and flexible packaging, including tubs, containers, closures, and films. Europe is a major revenue driver in this segment.</w:t>
      </w:r>
    </w:p>
    <w:p w14:paraId="1F361800" w14:textId="77777777" w:rsidR="004D51BF" w:rsidRDefault="004D51BF" w:rsidP="004D51BF">
      <w:r>
        <w:t>Consumer Packaging – North America</w:t>
      </w:r>
    </w:p>
    <w:p w14:paraId="2A56BACE" w14:textId="449FB4DA" w:rsidR="004D51BF" w:rsidRDefault="004D51BF" w:rsidP="004D51BF">
      <w:r>
        <w:t xml:space="preserve">Serves customers across household, healthcare, and food segments. Products include tamper-evident containers, prescription vials, and thermoformed trays. This segment also includes Berry’s extensive </w:t>
      </w:r>
      <w:proofErr w:type="gramStart"/>
      <w:r>
        <w:t>foodservice</w:t>
      </w:r>
      <w:proofErr w:type="gramEnd"/>
      <w:r>
        <w:t xml:space="preserve"> business, offering disposable and reusable solutions.</w:t>
      </w:r>
    </w:p>
    <w:p w14:paraId="5C493731" w14:textId="77777777" w:rsidR="004D51BF" w:rsidRDefault="004D51BF" w:rsidP="004D51BF">
      <w:r>
        <w:t>Engineered Materials</w:t>
      </w:r>
    </w:p>
    <w:p w14:paraId="00115C23" w14:textId="3DE9FB18" w:rsidR="004D51BF" w:rsidRDefault="004D51BF" w:rsidP="004D51BF">
      <w:r>
        <w:t>Produces protective films, stretch films, can liners, and custom tapes. Applications span industrial packaging, construction, and agriculture. The segment benefits from high-volume manufacturing and cost-competitive scale in North America.</w:t>
      </w:r>
    </w:p>
    <w:p w14:paraId="35086456" w14:textId="77777777" w:rsidR="004D51BF" w:rsidRDefault="004D51BF" w:rsidP="004D51BF">
      <w:r>
        <w:t>Health, Hygiene &amp; Specialties (HH&amp;S)</w:t>
      </w:r>
    </w:p>
    <w:p w14:paraId="350DA705" w14:textId="545290C6" w:rsidR="004D51BF" w:rsidRDefault="004D51BF" w:rsidP="004D51BF">
      <w:r>
        <w:t xml:space="preserve">Provides nonwoven materials and films used in medical, hygiene, and personal care products. Products include adult incontinence fabrics, surgical drapes, and baby diaper components. The segment has seen strong </w:t>
      </w:r>
      <w:proofErr w:type="gramStart"/>
      <w:r>
        <w:t>demand</w:t>
      </w:r>
      <w:proofErr w:type="gramEnd"/>
      <w:r>
        <w:t xml:space="preserve"> post-COVID-19 due to the hygiene boom.</w:t>
      </w:r>
    </w:p>
    <w:p w14:paraId="4FEC80AB" w14:textId="67CD33A5" w:rsidR="004D51BF" w:rsidRDefault="004D51BF" w:rsidP="004D51BF">
      <w:r>
        <w:t>Each business segment operates semi-independently but contributes synergistically to Berry’s operational efficiency and innovation capabilities.</w:t>
      </w:r>
    </w:p>
    <w:p w14:paraId="2436571B" w14:textId="77777777" w:rsidR="004D51BF" w:rsidRPr="004D51BF" w:rsidRDefault="004D51BF" w:rsidP="004D51BF">
      <w:pPr>
        <w:rPr>
          <w:b/>
          <w:bCs/>
        </w:rPr>
      </w:pPr>
      <w:r w:rsidRPr="004D51BF">
        <w:rPr>
          <w:b/>
          <w:bCs/>
        </w:rPr>
        <w:t>Geographic Footprint</w:t>
      </w:r>
    </w:p>
    <w:p w14:paraId="6654C72F" w14:textId="5B353503" w:rsidR="004D51BF" w:rsidRDefault="004D51BF" w:rsidP="004D51BF">
      <w:r>
        <w:t>Berry Global has a truly global presence, with over 265 manufacturing facilities and innovation centers located across:</w:t>
      </w:r>
    </w:p>
    <w:p w14:paraId="51380D97" w14:textId="233FA83B" w:rsidR="004D51BF" w:rsidRDefault="004D51BF" w:rsidP="004D51BF">
      <w:r>
        <w:t>North America: Largest operational base, strong presence in the U.S. and Mexico.</w:t>
      </w:r>
    </w:p>
    <w:p w14:paraId="6E6E27B4" w14:textId="77777777" w:rsidR="004D51BF" w:rsidRDefault="004D51BF" w:rsidP="004D51BF">
      <w:r>
        <w:t>Europe: Substantial footprint post-RPC acquisition, including facilities in Germany, France, and the UK.</w:t>
      </w:r>
    </w:p>
    <w:p w14:paraId="7AC0ED5F" w14:textId="5C25A7BD" w:rsidR="004D51BF" w:rsidRDefault="004D51BF" w:rsidP="004D51BF">
      <w:r>
        <w:t>Asia: Expansion into India and China, particularly in hygiene and consumer packaging.</w:t>
      </w:r>
    </w:p>
    <w:p w14:paraId="2303583F" w14:textId="2BA0E25E" w:rsidR="004D51BF" w:rsidRDefault="004D51BF" w:rsidP="004D51BF">
      <w:r>
        <w:lastRenderedPageBreak/>
        <w:t>Latin America: Growing operations in Brazil and Chile to support regional demand.</w:t>
      </w:r>
    </w:p>
    <w:p w14:paraId="631051A4" w14:textId="525D2A86" w:rsidR="004D51BF" w:rsidRDefault="004D51BF" w:rsidP="004D51BF">
      <w:r>
        <w:t>This geographic diversification allows Berry to serve multinational clients efficiently while insulating operations from regional economic shocks.</w:t>
      </w:r>
    </w:p>
    <w:p w14:paraId="6FEFD282" w14:textId="77777777" w:rsidR="004D51BF" w:rsidRPr="004D51BF" w:rsidRDefault="004D51BF" w:rsidP="004D51BF">
      <w:pPr>
        <w:rPr>
          <w:b/>
          <w:bCs/>
        </w:rPr>
      </w:pPr>
      <w:r w:rsidRPr="004D51BF">
        <w:rPr>
          <w:b/>
          <w:bCs/>
        </w:rPr>
        <w:t>Key Brands and Products</w:t>
      </w:r>
    </w:p>
    <w:p w14:paraId="66F2252C" w14:textId="21703835" w:rsidR="004D51BF" w:rsidRDefault="004D51BF" w:rsidP="004D51BF">
      <w:r>
        <w:t>Berry’s extensive portfolio features both proprietary brands and custom private-label solutions. Prominent product families include:</w:t>
      </w:r>
    </w:p>
    <w:p w14:paraId="0B8EC681" w14:textId="69291AC6" w:rsidR="004D51BF" w:rsidRDefault="004D51BF" w:rsidP="004D51BF">
      <w:proofErr w:type="spellStart"/>
      <w:r>
        <w:t>Versalite</w:t>
      </w:r>
      <w:proofErr w:type="spellEnd"/>
      <w:r>
        <w:t>®: A line of recyclable, insulated foodservice containers used by major QSRs.</w:t>
      </w:r>
    </w:p>
    <w:p w14:paraId="6D8D29C1" w14:textId="68F50FBE" w:rsidR="004D51BF" w:rsidRDefault="004D51BF" w:rsidP="004D51BF">
      <w:r>
        <w:t>Verdant™: A sustainable packaging brand focusing on bioplastics, PCR (post-consumer resin), and lightweighting technologies.</w:t>
      </w:r>
    </w:p>
    <w:p w14:paraId="050B5B74" w14:textId="1C69E8DB" w:rsidR="004D51BF" w:rsidRDefault="004D51BF" w:rsidP="004D51BF">
      <w:r>
        <w:t>Nonwovens &amp; Films: Engineered substrates used in surgical and hygiene applications.</w:t>
      </w:r>
    </w:p>
    <w:p w14:paraId="26E54E9E" w14:textId="2616E490" w:rsidR="004D51BF" w:rsidRDefault="004D51BF" w:rsidP="004D51BF">
      <w:r>
        <w:t>Flexible Packaging: Barrier films and shrink sleeves for food and industrial packaging.</w:t>
      </w:r>
    </w:p>
    <w:p w14:paraId="6944A77F" w14:textId="5AD3A471" w:rsidR="004D51BF" w:rsidRDefault="004D51BF" w:rsidP="004D51BF">
      <w:r>
        <w:t>Closures and Tapes: Tamper-evident and high-performance tapes used in e-commerce and industrial logistics.</w:t>
      </w:r>
    </w:p>
    <w:p w14:paraId="14993A86" w14:textId="09DA9419" w:rsidR="004D51BF" w:rsidRDefault="004D51BF" w:rsidP="004D51BF">
      <w:r>
        <w:t>Berry is a trusted packaging supplier for companies like Procter &amp; Gamble, Nestlé, Unilever, and Johnson &amp; Johnson.</w:t>
      </w:r>
    </w:p>
    <w:p w14:paraId="3B3E5B96" w14:textId="77777777" w:rsidR="004D51BF" w:rsidRPr="004D51BF" w:rsidRDefault="004D51BF" w:rsidP="004D51BF">
      <w:pPr>
        <w:rPr>
          <w:b/>
          <w:bCs/>
        </w:rPr>
      </w:pPr>
      <w:r w:rsidRPr="004D51BF">
        <w:rPr>
          <w:b/>
          <w:bCs/>
        </w:rPr>
        <w:t>Strategic Focus</w:t>
      </w:r>
    </w:p>
    <w:p w14:paraId="2504C2A7" w14:textId="35A07616" w:rsidR="004D51BF" w:rsidRDefault="004D51BF" w:rsidP="004D51BF">
      <w:r>
        <w:t>Berry’s strategic direction is centered around sustainability, innovation, and operational excellence:</w:t>
      </w:r>
    </w:p>
    <w:p w14:paraId="644216A3" w14:textId="67DEE735" w:rsidR="004D51BF" w:rsidRDefault="004D51BF" w:rsidP="004D51BF">
      <w:r>
        <w:t>Sustainability (ESG): Berry aims to use 30% recycled content in packaging by 2030 and has pledged to make 100% of its products reusable, recyclable, or compostable. The company is part of the Ellen MacArthur Foundation’s New Plastics Economy initiative and reports progress through annual ESG disclosures.</w:t>
      </w:r>
    </w:p>
    <w:p w14:paraId="6DEB88BF" w14:textId="6D58C573" w:rsidR="004D51BF" w:rsidRDefault="004D51BF" w:rsidP="004D51BF">
      <w:r>
        <w:t>Innovation: Through 20+ global innovation centers and $150M+ annual R&amp;D spending, Berry focuses on material science, lightweighting, barrier technology, and digital printing innovations.</w:t>
      </w:r>
    </w:p>
    <w:p w14:paraId="4B9492AE" w14:textId="019BCDE2" w:rsidR="004D51BF" w:rsidRDefault="004D51BF" w:rsidP="004D51BF">
      <w:r>
        <w:t>Automation &amp; Lean Manufacturing: Implementation of Industry 4.0 tools, AI-driven process optimization, and robotics in manufacturing facilities to drive margin improvement and reduce labor dependency.</w:t>
      </w:r>
    </w:p>
    <w:p w14:paraId="519C32B3" w14:textId="1DCBFC72" w:rsidR="004D51BF" w:rsidRPr="004D51BF" w:rsidRDefault="004D51BF" w:rsidP="004D51BF">
      <w:r>
        <w:t>Berry Global is well-positioned at the intersection of packaging innovation and sustainability — key drivers in a world increasingly demanding eco-conscious consumption and regulatory compliance.</w:t>
      </w:r>
    </w:p>
    <w:p w14:paraId="75A195AE" w14:textId="77777777" w:rsidR="008A38A8" w:rsidRDefault="00521C80">
      <w:pPr>
        <w:pStyle w:val="Heading1"/>
      </w:pPr>
      <w:r>
        <w:lastRenderedPageBreak/>
        <w:t>4. Investment Thesis</w:t>
      </w:r>
    </w:p>
    <w:p w14:paraId="3D89171C" w14:textId="0E269759" w:rsidR="009E768E" w:rsidRDefault="009E768E">
      <w:pPr>
        <w:pStyle w:val="Heading1"/>
        <w:rPr>
          <w:rFonts w:asciiTheme="minorHAnsi" w:eastAsiaTheme="minorEastAsia" w:hAnsiTheme="minorHAnsi" w:cstheme="minorBidi"/>
          <w:b w:val="0"/>
          <w:bCs w:val="0"/>
          <w:color w:val="auto"/>
          <w:sz w:val="22"/>
          <w:szCs w:val="22"/>
        </w:rPr>
      </w:pPr>
      <w:r w:rsidRPr="009E768E">
        <w:rPr>
          <w:rFonts w:asciiTheme="minorHAnsi" w:eastAsiaTheme="minorEastAsia" w:hAnsiTheme="minorHAnsi" w:cstheme="minorBidi"/>
          <w:b w:val="0"/>
          <w:bCs w:val="0"/>
          <w:color w:val="auto"/>
          <w:sz w:val="22"/>
          <w:szCs w:val="22"/>
        </w:rPr>
        <w:t>Berry Global Group, Inc. presents a compelling investment opportunity rooted in its industry leadership, financial strength, value-based pricing, and forward-looking sustainability initiatives. The company operates in a structurally growing market for packaging—particularly sustainable and flexible formats, making it well-positioned to benefit from evolving consumer and regulatory dynamics.</w:t>
      </w:r>
    </w:p>
    <w:p w14:paraId="24DF3738" w14:textId="77777777" w:rsidR="009E768E" w:rsidRDefault="009E768E" w:rsidP="009E768E"/>
    <w:p w14:paraId="1D05A3B9" w14:textId="77777777" w:rsidR="009E768E" w:rsidRPr="009E768E" w:rsidRDefault="009E768E" w:rsidP="009E768E">
      <w:pPr>
        <w:rPr>
          <w:b/>
          <w:bCs/>
        </w:rPr>
      </w:pPr>
      <w:r w:rsidRPr="009E768E">
        <w:rPr>
          <w:b/>
          <w:bCs/>
        </w:rPr>
        <w:t>1. Strong Market Presence Across Diverse Sectors</w:t>
      </w:r>
    </w:p>
    <w:p w14:paraId="0A03D258" w14:textId="68809108" w:rsidR="009E768E" w:rsidRDefault="009E768E" w:rsidP="009E768E">
      <w:r>
        <w:t>Berry Global is one of the top five global packaging companies, offering products across consumer goods, healthcare, food &amp; beverage, personal care, agriculture, and industrial markets. Its strategic diversity protects against overreliance on any single end market or customer.</w:t>
      </w:r>
    </w:p>
    <w:p w14:paraId="26F98ED5" w14:textId="2748D219" w:rsidR="009E768E" w:rsidRDefault="009E768E" w:rsidP="009E768E">
      <w:r>
        <w:t>Key advantages:</w:t>
      </w:r>
    </w:p>
    <w:p w14:paraId="64F677B6" w14:textId="2FB0DC07" w:rsidR="009E768E" w:rsidRDefault="009E768E" w:rsidP="009E768E">
      <w:r>
        <w:t>Global customer base with over 13,000 SKUs across 100+ countries.</w:t>
      </w:r>
    </w:p>
    <w:p w14:paraId="724CF435" w14:textId="5F01378E" w:rsidR="009E768E" w:rsidRDefault="009E768E" w:rsidP="009E768E">
      <w:r>
        <w:t>Supplier to leading companies like Procter &amp; Gamble, Unilever, Nestlé, and Johnson &amp; Johnson.</w:t>
      </w:r>
    </w:p>
    <w:p w14:paraId="25DC149A" w14:textId="4CBD1F6C" w:rsidR="009E768E" w:rsidRDefault="009E768E" w:rsidP="009E768E">
      <w:r>
        <w:t>Operates 265+ facilities globally, ensuring local production and global scalability.</w:t>
      </w:r>
    </w:p>
    <w:p w14:paraId="60A31455" w14:textId="070F140B" w:rsidR="009E768E" w:rsidRDefault="009E768E" w:rsidP="009E768E">
      <w:r>
        <w:t>Its position as a key partner in critical supply chains gives Berry predictable revenue streams, pricing power in high-demand product categories, and strategic importance to blue-chip clients.</w:t>
      </w:r>
    </w:p>
    <w:p w14:paraId="79BB9718" w14:textId="77777777" w:rsidR="009E768E" w:rsidRPr="009E768E" w:rsidRDefault="009E768E" w:rsidP="009E768E">
      <w:pPr>
        <w:rPr>
          <w:b/>
          <w:bCs/>
        </w:rPr>
      </w:pPr>
      <w:r w:rsidRPr="009E768E">
        <w:rPr>
          <w:b/>
          <w:bCs/>
        </w:rPr>
        <w:t>2. Consistent Free Cash Flow Generation</w:t>
      </w:r>
    </w:p>
    <w:p w14:paraId="2432838C" w14:textId="7D13D0D1" w:rsidR="009E768E" w:rsidRDefault="009E768E" w:rsidP="009E768E">
      <w:r>
        <w:t>Berry has a history of strong and consistent free cash flow (FCF) generation, supported by recurring revenue, scale advantages, and operational efficiency. Over the 2020–2024 period, Berry generated an average of $800 million in FCF per year, with a FCF yield of ~10%, significantly above the industry median (~6%).</w:t>
      </w:r>
    </w:p>
    <w:p w14:paraId="6CC2C0CC" w14:textId="7C3ED397" w:rsidR="009E768E" w:rsidRPr="009E768E" w:rsidRDefault="009E768E" w:rsidP="009E768E">
      <w:pPr>
        <w:rPr>
          <w:b/>
          <w:bCs/>
        </w:rPr>
      </w:pPr>
      <w:r w:rsidRPr="009E768E">
        <w:rPr>
          <w:b/>
          <w:bCs/>
        </w:rPr>
        <w:t>Key cash flow metrics:</w:t>
      </w:r>
    </w:p>
    <w:p w14:paraId="596AB079" w14:textId="114836D4" w:rsidR="009E768E" w:rsidRDefault="009E768E" w:rsidP="009E768E">
      <w:r>
        <w:t>Capex-light model due to mature manufacturing footprint.</w:t>
      </w:r>
    </w:p>
    <w:p w14:paraId="59094FC5" w14:textId="1A6C16F2" w:rsidR="009E768E" w:rsidRDefault="009E768E" w:rsidP="009E768E">
      <w:r>
        <w:t>Non-cyclical demand for hygiene and packaging products.</w:t>
      </w:r>
    </w:p>
    <w:p w14:paraId="55461A0C" w14:textId="77777777" w:rsidR="009E768E" w:rsidRDefault="009E768E" w:rsidP="009E768E">
      <w:r>
        <w:t>Low working capital intensity due to JIT supply chains.</w:t>
      </w:r>
    </w:p>
    <w:p w14:paraId="7D622442" w14:textId="77777777" w:rsidR="009E768E" w:rsidRDefault="009E768E" w:rsidP="009E768E"/>
    <w:p w14:paraId="362469C8" w14:textId="77777777" w:rsidR="009E768E" w:rsidRDefault="009E768E" w:rsidP="009E768E">
      <w:pPr>
        <w:rPr>
          <w:b/>
          <w:bCs/>
        </w:rPr>
      </w:pPr>
    </w:p>
    <w:p w14:paraId="3915F961" w14:textId="517FFD47" w:rsidR="009E768E" w:rsidRPr="009E768E" w:rsidRDefault="009E768E" w:rsidP="009E768E">
      <w:pPr>
        <w:rPr>
          <w:b/>
          <w:bCs/>
        </w:rPr>
      </w:pPr>
      <w:r w:rsidRPr="009E768E">
        <w:rPr>
          <w:b/>
          <w:bCs/>
        </w:rPr>
        <w:lastRenderedPageBreak/>
        <w:t>Free cash flow has enabled:</w:t>
      </w:r>
    </w:p>
    <w:p w14:paraId="767471A1" w14:textId="3FB8F0AB" w:rsidR="009E768E" w:rsidRDefault="009E768E" w:rsidP="009E768E">
      <w:r>
        <w:t>Strategic reinvestment in innovation and automation.</w:t>
      </w:r>
    </w:p>
    <w:p w14:paraId="433D8576" w14:textId="34F5B726" w:rsidR="009E768E" w:rsidRDefault="009E768E" w:rsidP="009E768E">
      <w:r>
        <w:t>Share buybacks (over $500M in recent years).</w:t>
      </w:r>
    </w:p>
    <w:p w14:paraId="2A35EA31" w14:textId="77777777" w:rsidR="009E768E" w:rsidRDefault="009E768E" w:rsidP="009E768E">
      <w:r>
        <w:t>Deleveraging (Debt/EBITDA improved from 4.6x in 2020 to ~3.3x in 2024E).</w:t>
      </w:r>
    </w:p>
    <w:p w14:paraId="716629F9" w14:textId="77777777" w:rsidR="009E768E" w:rsidRDefault="009E768E" w:rsidP="009E768E"/>
    <w:p w14:paraId="459FE315" w14:textId="77651CEE" w:rsidR="009E768E" w:rsidRDefault="009E768E" w:rsidP="009E768E">
      <w:r>
        <w:t>This consistency enhances Berry's intrinsic valuation and shareholder return potential.</w:t>
      </w:r>
    </w:p>
    <w:p w14:paraId="4380A0AF" w14:textId="77777777" w:rsidR="009E768E" w:rsidRPr="009E768E" w:rsidRDefault="009E768E" w:rsidP="009E768E">
      <w:pPr>
        <w:rPr>
          <w:b/>
          <w:bCs/>
        </w:rPr>
      </w:pPr>
      <w:r w:rsidRPr="009E768E">
        <w:rPr>
          <w:b/>
          <w:bCs/>
        </w:rPr>
        <w:t>3. Accretive Growth Through M&amp;A Strategy</w:t>
      </w:r>
    </w:p>
    <w:p w14:paraId="38A120FB" w14:textId="77777777" w:rsidR="009E768E" w:rsidRPr="009E768E" w:rsidRDefault="009E768E" w:rsidP="009E768E">
      <w:r w:rsidRPr="009E768E">
        <w:t xml:space="preserve">Berry’s long-standing </w:t>
      </w:r>
      <w:proofErr w:type="gramStart"/>
      <w:r w:rsidRPr="009E768E">
        <w:rPr>
          <w:b/>
          <w:bCs/>
        </w:rPr>
        <w:t>mergers</w:t>
      </w:r>
      <w:proofErr w:type="gramEnd"/>
      <w:r w:rsidRPr="009E768E">
        <w:rPr>
          <w:b/>
          <w:bCs/>
        </w:rPr>
        <w:t xml:space="preserve"> &amp; acquisitions (M&amp;A)</w:t>
      </w:r>
      <w:r w:rsidRPr="009E768E">
        <w:t xml:space="preserve"> strategy has been a critical driver of both geographic expansion and margin improvement. The 2019 acquisition of </w:t>
      </w:r>
      <w:r w:rsidRPr="009E768E">
        <w:rPr>
          <w:b/>
          <w:bCs/>
        </w:rPr>
        <w:t>RPC Group</w:t>
      </w:r>
      <w:r w:rsidRPr="009E768E">
        <w:t xml:space="preserve"> (~$6.5 billion) added significant European presence and sustainability-focused packaging capabilities.</w:t>
      </w:r>
    </w:p>
    <w:p w14:paraId="187B1AFF" w14:textId="77777777" w:rsidR="009E768E" w:rsidRPr="009E768E" w:rsidRDefault="009E768E" w:rsidP="009E768E">
      <w:r w:rsidRPr="009E768E">
        <w:t xml:space="preserve">Other acquisitions have </w:t>
      </w:r>
      <w:proofErr w:type="gramStart"/>
      <w:r w:rsidRPr="009E768E">
        <w:t>targeted</w:t>
      </w:r>
      <w:proofErr w:type="gramEnd"/>
      <w:r w:rsidRPr="009E768E">
        <w:t>:</w:t>
      </w:r>
    </w:p>
    <w:p w14:paraId="45C76BFF" w14:textId="77777777" w:rsidR="009E768E" w:rsidRPr="009E768E" w:rsidRDefault="009E768E" w:rsidP="009E768E">
      <w:pPr>
        <w:numPr>
          <w:ilvl w:val="0"/>
          <w:numId w:val="11"/>
        </w:numPr>
      </w:pPr>
      <w:r w:rsidRPr="009E768E">
        <w:t>Nonwovens (</w:t>
      </w:r>
      <w:proofErr w:type="spellStart"/>
      <w:r w:rsidRPr="009E768E">
        <w:t>Avintiv</w:t>
      </w:r>
      <w:proofErr w:type="spellEnd"/>
      <w:r w:rsidRPr="009E768E">
        <w:t>)</w:t>
      </w:r>
    </w:p>
    <w:p w14:paraId="0E86FACB" w14:textId="77777777" w:rsidR="009E768E" w:rsidRPr="009E768E" w:rsidRDefault="009E768E" w:rsidP="009E768E">
      <w:pPr>
        <w:numPr>
          <w:ilvl w:val="0"/>
          <w:numId w:val="11"/>
        </w:numPr>
      </w:pPr>
      <w:r w:rsidRPr="009E768E">
        <w:t>Protective films and engineered materials</w:t>
      </w:r>
    </w:p>
    <w:p w14:paraId="6B4FF976" w14:textId="77777777" w:rsidR="009E768E" w:rsidRPr="009E768E" w:rsidRDefault="009E768E" w:rsidP="009E768E">
      <w:pPr>
        <w:numPr>
          <w:ilvl w:val="0"/>
          <w:numId w:val="11"/>
        </w:numPr>
      </w:pPr>
      <w:r w:rsidRPr="009E768E">
        <w:t>Closure systems and foodservice containers</w:t>
      </w:r>
    </w:p>
    <w:p w14:paraId="76221B26" w14:textId="77777777" w:rsidR="009E768E" w:rsidRPr="009E768E" w:rsidRDefault="009E768E" w:rsidP="009E768E">
      <w:proofErr w:type="gramStart"/>
      <w:r w:rsidRPr="009E768E">
        <w:t>M&amp;A impacts:</w:t>
      </w:r>
      <w:proofErr w:type="gramEnd"/>
    </w:p>
    <w:p w14:paraId="1578879B" w14:textId="77777777" w:rsidR="009E768E" w:rsidRPr="009E768E" w:rsidRDefault="009E768E" w:rsidP="009E768E">
      <w:pPr>
        <w:numPr>
          <w:ilvl w:val="0"/>
          <w:numId w:val="12"/>
        </w:numPr>
      </w:pPr>
      <w:r w:rsidRPr="009E768E">
        <w:t xml:space="preserve">Increased revenue by over </w:t>
      </w:r>
      <w:r w:rsidRPr="009E768E">
        <w:rPr>
          <w:b/>
          <w:bCs/>
        </w:rPr>
        <w:t>$4 billion</w:t>
      </w:r>
      <w:r w:rsidRPr="009E768E">
        <w:t xml:space="preserve"> between 2017 and 2024.</w:t>
      </w:r>
    </w:p>
    <w:p w14:paraId="4BF6F018" w14:textId="77777777" w:rsidR="009E768E" w:rsidRPr="009E768E" w:rsidRDefault="009E768E" w:rsidP="009E768E">
      <w:pPr>
        <w:numPr>
          <w:ilvl w:val="0"/>
          <w:numId w:val="12"/>
        </w:numPr>
      </w:pPr>
      <w:r w:rsidRPr="009E768E">
        <w:t xml:space="preserve">Enhanced </w:t>
      </w:r>
      <w:proofErr w:type="gramStart"/>
      <w:r w:rsidRPr="009E768E">
        <w:t>product</w:t>
      </w:r>
      <w:proofErr w:type="gramEnd"/>
      <w:r w:rsidRPr="009E768E">
        <w:t xml:space="preserve"> mix with higher-value sustainable solutions.</w:t>
      </w:r>
    </w:p>
    <w:p w14:paraId="5B6597B1" w14:textId="77777777" w:rsidR="009E768E" w:rsidRPr="009E768E" w:rsidRDefault="009E768E" w:rsidP="009E768E">
      <w:pPr>
        <w:numPr>
          <w:ilvl w:val="0"/>
          <w:numId w:val="12"/>
        </w:numPr>
      </w:pPr>
      <w:r w:rsidRPr="009E768E">
        <w:t>Created operational synergies and cross-selling opportunities.</w:t>
      </w:r>
    </w:p>
    <w:p w14:paraId="63794C5F" w14:textId="77777777" w:rsidR="009E768E" w:rsidRPr="009E768E" w:rsidRDefault="009E768E" w:rsidP="009E768E">
      <w:r w:rsidRPr="009E768E">
        <w:t xml:space="preserve">Berry maintains a </w:t>
      </w:r>
      <w:r w:rsidRPr="009E768E">
        <w:rPr>
          <w:b/>
          <w:bCs/>
        </w:rPr>
        <w:t>disciplined approach</w:t>
      </w:r>
      <w:r w:rsidRPr="009E768E">
        <w:t xml:space="preserve"> to M&amp;A—favoring earnings-accretive, cash-generative deals that integrate well into its existing footprint.</w:t>
      </w:r>
    </w:p>
    <w:p w14:paraId="174C40C8" w14:textId="77777777" w:rsidR="009E768E" w:rsidRPr="009E768E" w:rsidRDefault="009E768E" w:rsidP="009E768E">
      <w:pPr>
        <w:rPr>
          <w:b/>
          <w:bCs/>
        </w:rPr>
      </w:pPr>
      <w:r w:rsidRPr="009E768E">
        <w:rPr>
          <w:b/>
          <w:bCs/>
        </w:rPr>
        <w:t>4. Undervaluation vs. Peers</w:t>
      </w:r>
    </w:p>
    <w:p w14:paraId="635DEE3A" w14:textId="77777777" w:rsidR="009E768E" w:rsidRPr="009E768E" w:rsidRDefault="009E768E" w:rsidP="009E768E">
      <w:r w:rsidRPr="009E768E">
        <w:t>Despite its operational performance and scale, Berry trades at a discount to industry peers: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340"/>
        <w:gridCol w:w="2282"/>
      </w:tblGrid>
      <w:tr w:rsidR="009E768E" w:rsidRPr="009E768E" w14:paraId="08DB52CB" w14:textId="77777777" w:rsidTr="009E768E">
        <w:trPr>
          <w:tblHeader/>
          <w:tblCellSpacing w:w="15" w:type="dxa"/>
        </w:trPr>
        <w:tc>
          <w:tcPr>
            <w:tcW w:w="0" w:type="auto"/>
            <w:vAlign w:val="center"/>
            <w:hideMark/>
          </w:tcPr>
          <w:p w14:paraId="25892267" w14:textId="77777777" w:rsidR="009E768E" w:rsidRPr="009E768E" w:rsidRDefault="009E768E" w:rsidP="009E768E">
            <w:pPr>
              <w:rPr>
                <w:b/>
                <w:bCs/>
              </w:rPr>
            </w:pPr>
            <w:r w:rsidRPr="009E768E">
              <w:rPr>
                <w:b/>
                <w:bCs/>
              </w:rPr>
              <w:t>Metric</w:t>
            </w:r>
          </w:p>
        </w:tc>
        <w:tc>
          <w:tcPr>
            <w:tcW w:w="0" w:type="auto"/>
            <w:vAlign w:val="center"/>
            <w:hideMark/>
          </w:tcPr>
          <w:p w14:paraId="18F9A283" w14:textId="77777777" w:rsidR="009E768E" w:rsidRPr="009E768E" w:rsidRDefault="009E768E" w:rsidP="009E768E">
            <w:pPr>
              <w:rPr>
                <w:b/>
                <w:bCs/>
              </w:rPr>
            </w:pPr>
            <w:r w:rsidRPr="009E768E">
              <w:rPr>
                <w:b/>
                <w:bCs/>
              </w:rPr>
              <w:t>Berry Global</w:t>
            </w:r>
          </w:p>
        </w:tc>
        <w:tc>
          <w:tcPr>
            <w:tcW w:w="0" w:type="auto"/>
            <w:vAlign w:val="center"/>
            <w:hideMark/>
          </w:tcPr>
          <w:p w14:paraId="3BDC2DF1" w14:textId="77777777" w:rsidR="009E768E" w:rsidRPr="009E768E" w:rsidRDefault="009E768E" w:rsidP="009E768E">
            <w:pPr>
              <w:rPr>
                <w:b/>
                <w:bCs/>
              </w:rPr>
            </w:pPr>
            <w:r w:rsidRPr="009E768E">
              <w:rPr>
                <w:b/>
                <w:bCs/>
              </w:rPr>
              <w:t>Peer Avg. (Packaging)</w:t>
            </w:r>
          </w:p>
        </w:tc>
      </w:tr>
      <w:tr w:rsidR="009E768E" w:rsidRPr="009E768E" w14:paraId="0B541826" w14:textId="77777777" w:rsidTr="009E768E">
        <w:trPr>
          <w:tblCellSpacing w:w="15" w:type="dxa"/>
        </w:trPr>
        <w:tc>
          <w:tcPr>
            <w:tcW w:w="0" w:type="auto"/>
            <w:vAlign w:val="center"/>
            <w:hideMark/>
          </w:tcPr>
          <w:p w14:paraId="6103D9DC" w14:textId="77777777" w:rsidR="009E768E" w:rsidRPr="009E768E" w:rsidRDefault="009E768E" w:rsidP="009E768E">
            <w:r w:rsidRPr="009E768E">
              <w:t>P/E (2024E)</w:t>
            </w:r>
          </w:p>
        </w:tc>
        <w:tc>
          <w:tcPr>
            <w:tcW w:w="0" w:type="auto"/>
            <w:vAlign w:val="center"/>
            <w:hideMark/>
          </w:tcPr>
          <w:p w14:paraId="6BC9BBE3" w14:textId="77777777" w:rsidR="009E768E" w:rsidRPr="009E768E" w:rsidRDefault="009E768E" w:rsidP="009E768E">
            <w:r w:rsidRPr="009E768E">
              <w:t>~9.5x</w:t>
            </w:r>
          </w:p>
        </w:tc>
        <w:tc>
          <w:tcPr>
            <w:tcW w:w="0" w:type="auto"/>
            <w:vAlign w:val="center"/>
            <w:hideMark/>
          </w:tcPr>
          <w:p w14:paraId="3539F40B" w14:textId="77777777" w:rsidR="009E768E" w:rsidRPr="009E768E" w:rsidRDefault="009E768E" w:rsidP="009E768E">
            <w:r w:rsidRPr="009E768E">
              <w:t>~13.5x</w:t>
            </w:r>
          </w:p>
        </w:tc>
      </w:tr>
      <w:tr w:rsidR="009E768E" w:rsidRPr="009E768E" w14:paraId="262D6CD9" w14:textId="77777777" w:rsidTr="009E768E">
        <w:trPr>
          <w:tblCellSpacing w:w="15" w:type="dxa"/>
        </w:trPr>
        <w:tc>
          <w:tcPr>
            <w:tcW w:w="0" w:type="auto"/>
            <w:vAlign w:val="center"/>
            <w:hideMark/>
          </w:tcPr>
          <w:p w14:paraId="342F2E97" w14:textId="77777777" w:rsidR="009E768E" w:rsidRPr="009E768E" w:rsidRDefault="009E768E" w:rsidP="009E768E">
            <w:r w:rsidRPr="009E768E">
              <w:t>EV/EBITDA (2024E)</w:t>
            </w:r>
          </w:p>
        </w:tc>
        <w:tc>
          <w:tcPr>
            <w:tcW w:w="0" w:type="auto"/>
            <w:vAlign w:val="center"/>
            <w:hideMark/>
          </w:tcPr>
          <w:p w14:paraId="111B26F5" w14:textId="77777777" w:rsidR="009E768E" w:rsidRPr="009E768E" w:rsidRDefault="009E768E" w:rsidP="009E768E">
            <w:r w:rsidRPr="009E768E">
              <w:t>~7.8x</w:t>
            </w:r>
          </w:p>
        </w:tc>
        <w:tc>
          <w:tcPr>
            <w:tcW w:w="0" w:type="auto"/>
            <w:vAlign w:val="center"/>
            <w:hideMark/>
          </w:tcPr>
          <w:p w14:paraId="59B23F26" w14:textId="77777777" w:rsidR="009E768E" w:rsidRPr="009E768E" w:rsidRDefault="009E768E" w:rsidP="009E768E">
            <w:r w:rsidRPr="009E768E">
              <w:t>~10.2x</w:t>
            </w:r>
          </w:p>
        </w:tc>
      </w:tr>
      <w:tr w:rsidR="009E768E" w:rsidRPr="009E768E" w14:paraId="12FBD58D" w14:textId="77777777" w:rsidTr="009E768E">
        <w:trPr>
          <w:tblCellSpacing w:w="15" w:type="dxa"/>
        </w:trPr>
        <w:tc>
          <w:tcPr>
            <w:tcW w:w="0" w:type="auto"/>
            <w:vAlign w:val="center"/>
            <w:hideMark/>
          </w:tcPr>
          <w:p w14:paraId="37B584B8" w14:textId="77777777" w:rsidR="009E768E" w:rsidRPr="009E768E" w:rsidRDefault="009E768E" w:rsidP="009E768E">
            <w:r w:rsidRPr="009E768E">
              <w:t>FCF Yield</w:t>
            </w:r>
          </w:p>
        </w:tc>
        <w:tc>
          <w:tcPr>
            <w:tcW w:w="0" w:type="auto"/>
            <w:vAlign w:val="center"/>
            <w:hideMark/>
          </w:tcPr>
          <w:p w14:paraId="49B1500C" w14:textId="77777777" w:rsidR="009E768E" w:rsidRPr="009E768E" w:rsidRDefault="009E768E" w:rsidP="009E768E">
            <w:r w:rsidRPr="009E768E">
              <w:t>~10%</w:t>
            </w:r>
          </w:p>
        </w:tc>
        <w:tc>
          <w:tcPr>
            <w:tcW w:w="0" w:type="auto"/>
            <w:vAlign w:val="center"/>
            <w:hideMark/>
          </w:tcPr>
          <w:p w14:paraId="3258C7F5" w14:textId="77777777" w:rsidR="009E768E" w:rsidRPr="009E768E" w:rsidRDefault="009E768E" w:rsidP="009E768E">
            <w:r w:rsidRPr="009E768E">
              <w:t>~6%</w:t>
            </w:r>
          </w:p>
        </w:tc>
      </w:tr>
    </w:tbl>
    <w:p w14:paraId="623C4A01" w14:textId="77777777" w:rsidR="009E768E" w:rsidRPr="009E768E" w:rsidRDefault="009E768E" w:rsidP="009E768E">
      <w:r w:rsidRPr="009E768E">
        <w:lastRenderedPageBreak/>
        <w:t>Berry's low valuation is partially attributable to investor caution around plastic regulation and macro pressures. However, these risks are mitigated by:</w:t>
      </w:r>
    </w:p>
    <w:p w14:paraId="3DEFE2A7" w14:textId="77777777" w:rsidR="009E768E" w:rsidRPr="009E768E" w:rsidRDefault="009E768E" w:rsidP="009E768E">
      <w:pPr>
        <w:numPr>
          <w:ilvl w:val="0"/>
          <w:numId w:val="13"/>
        </w:numPr>
      </w:pPr>
      <w:r w:rsidRPr="009E768E">
        <w:t>A growing portfolio of sustainable products.</w:t>
      </w:r>
    </w:p>
    <w:p w14:paraId="36D6F5CA" w14:textId="77777777" w:rsidR="009E768E" w:rsidRPr="009E768E" w:rsidRDefault="009E768E" w:rsidP="009E768E">
      <w:pPr>
        <w:numPr>
          <w:ilvl w:val="0"/>
          <w:numId w:val="13"/>
        </w:numPr>
      </w:pPr>
      <w:r w:rsidRPr="009E768E">
        <w:t>Global diversification of operations and customers.</w:t>
      </w:r>
    </w:p>
    <w:p w14:paraId="6FA0070B" w14:textId="77777777" w:rsidR="009E768E" w:rsidRPr="009E768E" w:rsidRDefault="009E768E" w:rsidP="009E768E">
      <w:pPr>
        <w:numPr>
          <w:ilvl w:val="0"/>
          <w:numId w:val="13"/>
        </w:numPr>
      </w:pPr>
      <w:r w:rsidRPr="009E768E">
        <w:t>Stable demand in core hygiene and food sectors.</w:t>
      </w:r>
    </w:p>
    <w:p w14:paraId="693B27D5" w14:textId="77777777" w:rsidR="009E768E" w:rsidRPr="009E768E" w:rsidRDefault="009E768E" w:rsidP="009E768E">
      <w:r w:rsidRPr="009E768E">
        <w:t xml:space="preserve">As Berry continues to expand margins and deliver synergies from upcoming M&amp;A (including the Amcor deal), a </w:t>
      </w:r>
      <w:r w:rsidRPr="009E768E">
        <w:rPr>
          <w:b/>
          <w:bCs/>
        </w:rPr>
        <w:t>valuation re-rating</w:t>
      </w:r>
      <w:r w:rsidRPr="009E768E">
        <w:t xml:space="preserve"> is likely, providing </w:t>
      </w:r>
      <w:proofErr w:type="gramStart"/>
      <w:r w:rsidRPr="009E768E">
        <w:t>upside</w:t>
      </w:r>
      <w:proofErr w:type="gramEnd"/>
      <w:r w:rsidRPr="009E768E">
        <w:t xml:space="preserve"> </w:t>
      </w:r>
      <w:proofErr w:type="gramStart"/>
      <w:r w:rsidRPr="009E768E">
        <w:t>for</w:t>
      </w:r>
      <w:proofErr w:type="gramEnd"/>
      <w:r w:rsidRPr="009E768E">
        <w:t xml:space="preserve"> shareholders.</w:t>
      </w:r>
    </w:p>
    <w:p w14:paraId="74003CAC" w14:textId="77777777" w:rsidR="009E768E" w:rsidRPr="009E768E" w:rsidRDefault="009E768E" w:rsidP="009E768E">
      <w:pPr>
        <w:rPr>
          <w:b/>
          <w:bCs/>
        </w:rPr>
      </w:pPr>
      <w:r w:rsidRPr="009E768E">
        <w:rPr>
          <w:b/>
          <w:bCs/>
        </w:rPr>
        <w:t>5. Sustainability Trends Supporting Future Growth</w:t>
      </w:r>
    </w:p>
    <w:p w14:paraId="482487D2" w14:textId="77777777" w:rsidR="009E768E" w:rsidRPr="009E768E" w:rsidRDefault="009E768E" w:rsidP="009E768E">
      <w:r w:rsidRPr="009E768E">
        <w:t xml:space="preserve">Berry is transforming itself into a </w:t>
      </w:r>
      <w:r w:rsidRPr="009E768E">
        <w:rPr>
          <w:b/>
          <w:bCs/>
        </w:rPr>
        <w:t>leader in sustainable packaging</w:t>
      </w:r>
      <w:r w:rsidRPr="009E768E">
        <w:t>. The company is aggressively expanding its eco-conscious offerings to align with regulatory and consumer expectations.</w:t>
      </w:r>
    </w:p>
    <w:p w14:paraId="3C7B6E83" w14:textId="77777777" w:rsidR="009E768E" w:rsidRPr="009E768E" w:rsidRDefault="009E768E" w:rsidP="009E768E">
      <w:r w:rsidRPr="009E768E">
        <w:t>Sustainability initiatives include:</w:t>
      </w:r>
    </w:p>
    <w:p w14:paraId="664B6EA8" w14:textId="77777777" w:rsidR="009E768E" w:rsidRPr="009E768E" w:rsidRDefault="009E768E" w:rsidP="009E768E">
      <w:pPr>
        <w:numPr>
          <w:ilvl w:val="0"/>
          <w:numId w:val="14"/>
        </w:numPr>
      </w:pPr>
      <w:r w:rsidRPr="009E768E">
        <w:t xml:space="preserve">Commitment to making </w:t>
      </w:r>
      <w:r w:rsidRPr="009E768E">
        <w:rPr>
          <w:b/>
          <w:bCs/>
        </w:rPr>
        <w:t>100% of packaging reusable, recyclable, or compostable by 2030</w:t>
      </w:r>
      <w:r w:rsidRPr="009E768E">
        <w:t>.</w:t>
      </w:r>
    </w:p>
    <w:p w14:paraId="76E0FF6A" w14:textId="77777777" w:rsidR="009E768E" w:rsidRPr="009E768E" w:rsidRDefault="009E768E" w:rsidP="009E768E">
      <w:pPr>
        <w:numPr>
          <w:ilvl w:val="0"/>
          <w:numId w:val="14"/>
        </w:numPr>
      </w:pPr>
      <w:r w:rsidRPr="009E768E">
        <w:t xml:space="preserve">Introduction of </w:t>
      </w:r>
      <w:r w:rsidRPr="009E768E">
        <w:rPr>
          <w:b/>
          <w:bCs/>
        </w:rPr>
        <w:t>Verdant™</w:t>
      </w:r>
      <w:r w:rsidRPr="009E768E">
        <w:t>, a plant-based resin brand.</w:t>
      </w:r>
    </w:p>
    <w:p w14:paraId="30B3844A" w14:textId="77777777" w:rsidR="009E768E" w:rsidRPr="009E768E" w:rsidRDefault="009E768E" w:rsidP="009E768E">
      <w:pPr>
        <w:numPr>
          <w:ilvl w:val="0"/>
          <w:numId w:val="14"/>
        </w:numPr>
      </w:pPr>
      <w:r w:rsidRPr="009E768E">
        <w:t>Active in industry ESG coalitions (e.g., Ellen MacArthur Foundation).</w:t>
      </w:r>
    </w:p>
    <w:p w14:paraId="71E6CB3E" w14:textId="77777777" w:rsidR="009E768E" w:rsidRPr="009E768E" w:rsidRDefault="009E768E" w:rsidP="009E768E">
      <w:pPr>
        <w:numPr>
          <w:ilvl w:val="0"/>
          <w:numId w:val="14"/>
        </w:numPr>
      </w:pPr>
      <w:r w:rsidRPr="009E768E">
        <w:t xml:space="preserve">Increasing use of </w:t>
      </w:r>
      <w:r w:rsidRPr="009E768E">
        <w:rPr>
          <w:b/>
          <w:bCs/>
        </w:rPr>
        <w:t>PCR (post-consumer recycled)</w:t>
      </w:r>
      <w:r w:rsidRPr="009E768E">
        <w:t xml:space="preserve"> content in packaging.</w:t>
      </w:r>
    </w:p>
    <w:p w14:paraId="0C9A1B7B" w14:textId="2C54146E" w:rsidR="009E768E" w:rsidRPr="009E768E" w:rsidRDefault="009E768E" w:rsidP="009E768E">
      <w:r w:rsidRPr="009E768E">
        <w:t xml:space="preserve">Government bans on single-use plastics and rising ESG mandates from institutional investors are not threats but </w:t>
      </w:r>
      <w:r w:rsidRPr="009E768E">
        <w:rPr>
          <w:b/>
          <w:bCs/>
        </w:rPr>
        <w:t>growth catalysts</w:t>
      </w:r>
      <w:r w:rsidRPr="009E768E">
        <w:t xml:space="preserve"> for Berry’s redesigned portfolio.</w:t>
      </w:r>
    </w:p>
    <w:p w14:paraId="12D5282A" w14:textId="75043599" w:rsidR="008A38A8" w:rsidRDefault="00521C80">
      <w:pPr>
        <w:pStyle w:val="Heading1"/>
      </w:pPr>
      <w:r>
        <w:lastRenderedPageBreak/>
        <w:t>5. Financial Analysis</w:t>
      </w:r>
    </w:p>
    <w:p w14:paraId="58F1EC37" w14:textId="27374A39" w:rsidR="009E768E" w:rsidRPr="009E768E" w:rsidRDefault="009E768E" w:rsidP="009E768E">
      <w:r w:rsidRPr="009E768E">
        <w:rPr>
          <w:noProof/>
        </w:rPr>
        <w:drawing>
          <wp:inline distT="0" distB="0" distL="0" distR="0" wp14:anchorId="22D4CE0F" wp14:editId="5AB9DBEF">
            <wp:extent cx="5486400" cy="2743200"/>
            <wp:effectExtent l="0" t="0" r="0" b="0"/>
            <wp:docPr id="201673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FE14CD0" w14:textId="77777777" w:rsidR="009E768E" w:rsidRPr="009E768E" w:rsidRDefault="009E768E" w:rsidP="009E768E">
      <w:pPr>
        <w:rPr>
          <w:b/>
          <w:bCs/>
        </w:rPr>
      </w:pPr>
      <w:r w:rsidRPr="009E768E">
        <w:rPr>
          <w:b/>
          <w:bCs/>
        </w:rPr>
        <w:t>Income Statement Highlights (2020–2024E)</w:t>
      </w:r>
    </w:p>
    <w:p w14:paraId="014CCED0" w14:textId="77777777" w:rsidR="009E768E" w:rsidRPr="009E768E" w:rsidRDefault="009E768E" w:rsidP="009E768E">
      <w:r w:rsidRPr="009E768E">
        <w:t>Berry Global has demonstrated steady financial performance over the past five years, marked by consistent revenue growth, rising profitability, and strong cash generation. The following are the key trends and interpretations based on the financial data provided:</w:t>
      </w:r>
    </w:p>
    <w:p w14:paraId="7AA6AFCA" w14:textId="77777777" w:rsidR="009E768E" w:rsidRPr="009E768E" w:rsidRDefault="009E768E" w:rsidP="009E768E">
      <w:pPr>
        <w:rPr>
          <w:b/>
          <w:bCs/>
        </w:rPr>
      </w:pPr>
      <w:r w:rsidRPr="009E768E">
        <w:rPr>
          <w:rFonts w:ascii="Segoe UI Emoji" w:hAnsi="Segoe UI Emoji" w:cs="Segoe UI Emoji"/>
          <w:b/>
          <w:bCs/>
        </w:rPr>
        <w:t>🔹</w:t>
      </w:r>
      <w:r w:rsidRPr="009E768E">
        <w:rPr>
          <w:b/>
          <w:bCs/>
        </w:rPr>
        <w:t xml:space="preserve"> Net Sales</w:t>
      </w:r>
    </w:p>
    <w:p w14:paraId="67B2DB5B" w14:textId="77777777" w:rsidR="009E768E" w:rsidRPr="009E768E" w:rsidRDefault="009E768E" w:rsidP="009E768E">
      <w:pPr>
        <w:numPr>
          <w:ilvl w:val="0"/>
          <w:numId w:val="15"/>
        </w:numPr>
      </w:pPr>
      <w:r w:rsidRPr="009E768E">
        <w:t xml:space="preserve">Net sales increased from </w:t>
      </w:r>
      <w:r w:rsidRPr="009E768E">
        <w:rPr>
          <w:b/>
          <w:bCs/>
        </w:rPr>
        <w:t>$11.7 billion in 2020</w:t>
      </w:r>
      <w:r w:rsidRPr="009E768E">
        <w:t xml:space="preserve"> to an estimated </w:t>
      </w:r>
      <w:r w:rsidRPr="009E768E">
        <w:rPr>
          <w:b/>
          <w:bCs/>
        </w:rPr>
        <w:t>$13.3 billion in 2024</w:t>
      </w:r>
      <w:r w:rsidRPr="009E768E">
        <w:t xml:space="preserve">, reflecting a </w:t>
      </w:r>
      <w:r w:rsidRPr="009E768E">
        <w:rPr>
          <w:b/>
          <w:bCs/>
        </w:rPr>
        <w:t>compound annual growth rate (CAGR) of ~3.3%</w:t>
      </w:r>
      <w:r w:rsidRPr="009E768E">
        <w:t>.</w:t>
      </w:r>
    </w:p>
    <w:p w14:paraId="53962AEB" w14:textId="77777777" w:rsidR="009E768E" w:rsidRPr="009E768E" w:rsidRDefault="009E768E" w:rsidP="009E768E">
      <w:pPr>
        <w:numPr>
          <w:ilvl w:val="0"/>
          <w:numId w:val="15"/>
        </w:numPr>
      </w:pPr>
      <w:r w:rsidRPr="009E768E">
        <w:t>The growth is largely attributed to strategic M&amp;A activities (e.g., RPC Group), expansion into emerging markets, and rising demand for sustainable packaging products.</w:t>
      </w:r>
    </w:p>
    <w:p w14:paraId="42F952B0" w14:textId="77777777" w:rsidR="009E768E" w:rsidRPr="009E768E" w:rsidRDefault="009E768E" w:rsidP="009E768E">
      <w:pPr>
        <w:rPr>
          <w:b/>
          <w:bCs/>
        </w:rPr>
      </w:pPr>
      <w:r w:rsidRPr="009E768E">
        <w:rPr>
          <w:rFonts w:ascii="Segoe UI Emoji" w:hAnsi="Segoe UI Emoji" w:cs="Segoe UI Emoji"/>
          <w:b/>
          <w:bCs/>
        </w:rPr>
        <w:t>🔹</w:t>
      </w:r>
      <w:r w:rsidRPr="009E768E">
        <w:rPr>
          <w:b/>
          <w:bCs/>
        </w:rPr>
        <w:t xml:space="preserve"> Operating Income</w:t>
      </w:r>
    </w:p>
    <w:p w14:paraId="71E5F131" w14:textId="77777777" w:rsidR="009E768E" w:rsidRPr="009E768E" w:rsidRDefault="009E768E" w:rsidP="009E768E">
      <w:pPr>
        <w:numPr>
          <w:ilvl w:val="0"/>
          <w:numId w:val="16"/>
        </w:numPr>
      </w:pPr>
      <w:r w:rsidRPr="009E768E">
        <w:t xml:space="preserve">Operating income grew from </w:t>
      </w:r>
      <w:r w:rsidRPr="009E768E">
        <w:rPr>
          <w:b/>
          <w:bCs/>
        </w:rPr>
        <w:t>$1.2 billion in 2020</w:t>
      </w:r>
      <w:r w:rsidRPr="009E768E">
        <w:t xml:space="preserve"> to an expected </w:t>
      </w:r>
      <w:r w:rsidRPr="009E768E">
        <w:rPr>
          <w:b/>
          <w:bCs/>
        </w:rPr>
        <w:t>$1.5 billion in 2024</w:t>
      </w:r>
      <w:r w:rsidRPr="009E768E">
        <w:t xml:space="preserve">, indicating improving </w:t>
      </w:r>
      <w:r w:rsidRPr="009E768E">
        <w:rPr>
          <w:b/>
          <w:bCs/>
        </w:rPr>
        <w:t>operating margins</w:t>
      </w:r>
      <w:r w:rsidRPr="009E768E">
        <w:t xml:space="preserve"> due to cost optimization and efficiency programs.</w:t>
      </w:r>
    </w:p>
    <w:p w14:paraId="1D62DB0A" w14:textId="77777777" w:rsidR="009E768E" w:rsidRPr="009E768E" w:rsidRDefault="009E768E" w:rsidP="009E768E">
      <w:pPr>
        <w:numPr>
          <w:ilvl w:val="0"/>
          <w:numId w:val="16"/>
        </w:numPr>
      </w:pPr>
      <w:r w:rsidRPr="009E768E">
        <w:t>This growth is especially noteworthy given inflationary pressures on raw materials and logistics.</w:t>
      </w:r>
    </w:p>
    <w:p w14:paraId="7479DA62" w14:textId="77777777" w:rsidR="009E768E" w:rsidRPr="009E768E" w:rsidRDefault="009E768E" w:rsidP="009E768E">
      <w:pPr>
        <w:rPr>
          <w:b/>
          <w:bCs/>
        </w:rPr>
      </w:pPr>
      <w:r w:rsidRPr="009E768E">
        <w:rPr>
          <w:rFonts w:ascii="Segoe UI Emoji" w:hAnsi="Segoe UI Emoji" w:cs="Segoe UI Emoji"/>
          <w:b/>
          <w:bCs/>
        </w:rPr>
        <w:t>🔹</w:t>
      </w:r>
      <w:r w:rsidRPr="009E768E">
        <w:rPr>
          <w:b/>
          <w:bCs/>
        </w:rPr>
        <w:t xml:space="preserve"> Earnings Per Share (GAAP and Adjusted)</w:t>
      </w:r>
    </w:p>
    <w:p w14:paraId="01BBD3F2" w14:textId="77777777" w:rsidR="009E768E" w:rsidRPr="009E768E" w:rsidRDefault="009E768E" w:rsidP="009E768E">
      <w:pPr>
        <w:numPr>
          <w:ilvl w:val="0"/>
          <w:numId w:val="17"/>
        </w:numPr>
      </w:pPr>
      <w:r w:rsidRPr="009E768E">
        <w:rPr>
          <w:b/>
          <w:bCs/>
        </w:rPr>
        <w:t>GAAP EPS</w:t>
      </w:r>
      <w:r w:rsidRPr="009E768E">
        <w:t xml:space="preserve"> increased from </w:t>
      </w:r>
      <w:r w:rsidRPr="009E768E">
        <w:rPr>
          <w:b/>
          <w:bCs/>
        </w:rPr>
        <w:t>$4.85 to $7.10</w:t>
      </w:r>
      <w:r w:rsidRPr="009E768E">
        <w:t xml:space="preserve">, while </w:t>
      </w:r>
      <w:r w:rsidRPr="009E768E">
        <w:rPr>
          <w:b/>
          <w:bCs/>
        </w:rPr>
        <w:t>Adjusted EPS</w:t>
      </w:r>
      <w:r w:rsidRPr="009E768E">
        <w:t xml:space="preserve"> rose from </w:t>
      </w:r>
      <w:r w:rsidRPr="009E768E">
        <w:rPr>
          <w:b/>
          <w:bCs/>
        </w:rPr>
        <w:t>$5.40 to $7.20</w:t>
      </w:r>
      <w:r w:rsidRPr="009E768E">
        <w:t xml:space="preserve"> over the period.</w:t>
      </w:r>
    </w:p>
    <w:p w14:paraId="1DBEA596" w14:textId="77777777" w:rsidR="009E768E" w:rsidRPr="009E768E" w:rsidRDefault="009E768E" w:rsidP="009E768E">
      <w:pPr>
        <w:numPr>
          <w:ilvl w:val="0"/>
          <w:numId w:val="17"/>
        </w:numPr>
      </w:pPr>
      <w:r w:rsidRPr="009E768E">
        <w:lastRenderedPageBreak/>
        <w:t>The adjustments primarily reflect non-cash amortization from acquisitions and restructuring costs, giving investors a clearer view of normalized earnings power.</w:t>
      </w:r>
    </w:p>
    <w:p w14:paraId="35E32797" w14:textId="77777777" w:rsidR="009E768E" w:rsidRPr="009E768E" w:rsidRDefault="009E768E" w:rsidP="009E768E">
      <w:pPr>
        <w:numPr>
          <w:ilvl w:val="0"/>
          <w:numId w:val="17"/>
        </w:numPr>
      </w:pPr>
      <w:r w:rsidRPr="009E768E">
        <w:t xml:space="preserve">EPS CAGR (Adjusted): </w:t>
      </w:r>
      <w:r w:rsidRPr="009E768E">
        <w:rPr>
          <w:b/>
          <w:bCs/>
        </w:rPr>
        <w:t>~7.5%</w:t>
      </w:r>
    </w:p>
    <w:p w14:paraId="667289E5" w14:textId="77777777" w:rsidR="009E768E" w:rsidRPr="009E768E" w:rsidRDefault="009E768E" w:rsidP="009E768E">
      <w:pPr>
        <w:rPr>
          <w:b/>
          <w:bCs/>
        </w:rPr>
      </w:pPr>
      <w:r w:rsidRPr="009E768E">
        <w:rPr>
          <w:rFonts w:ascii="Segoe UI Emoji" w:hAnsi="Segoe UI Emoji" w:cs="Segoe UI Emoji"/>
          <w:b/>
          <w:bCs/>
        </w:rPr>
        <w:t>🔹</w:t>
      </w:r>
      <w:r w:rsidRPr="009E768E">
        <w:rPr>
          <w:b/>
          <w:bCs/>
        </w:rPr>
        <w:t xml:space="preserve"> Free Cash Flow (FCF)</w:t>
      </w:r>
    </w:p>
    <w:p w14:paraId="5320FF51" w14:textId="77777777" w:rsidR="009E768E" w:rsidRPr="009E768E" w:rsidRDefault="009E768E" w:rsidP="009E768E">
      <w:pPr>
        <w:numPr>
          <w:ilvl w:val="0"/>
          <w:numId w:val="18"/>
        </w:numPr>
      </w:pPr>
      <w:r w:rsidRPr="009E768E">
        <w:t xml:space="preserve">FCF remained strong and stable between </w:t>
      </w:r>
      <w:r w:rsidRPr="009E768E">
        <w:rPr>
          <w:b/>
          <w:bCs/>
        </w:rPr>
        <w:t>$780M and $900M per year</w:t>
      </w:r>
      <w:r w:rsidRPr="009E768E">
        <w:t>, reflecting Berry’s efficient capex structure and stable working capital.</w:t>
      </w:r>
    </w:p>
    <w:p w14:paraId="33EF9A32" w14:textId="77777777" w:rsidR="009E768E" w:rsidRPr="009E768E" w:rsidRDefault="009E768E" w:rsidP="009E768E">
      <w:pPr>
        <w:numPr>
          <w:ilvl w:val="0"/>
          <w:numId w:val="18"/>
        </w:numPr>
      </w:pPr>
      <w:r w:rsidRPr="009E768E">
        <w:rPr>
          <w:b/>
          <w:bCs/>
        </w:rPr>
        <w:t>FCF Yield</w:t>
      </w:r>
      <w:r w:rsidRPr="009E768E">
        <w:t xml:space="preserve"> of ~10% consistently outpaces industry averages (~6%), supporting shareholder value creation through buybacks and debt paydown.</w:t>
      </w:r>
    </w:p>
    <w:p w14:paraId="09FB4CDB" w14:textId="77777777" w:rsidR="009E768E" w:rsidRPr="009E768E" w:rsidRDefault="009E768E" w:rsidP="009E768E">
      <w:pPr>
        <w:rPr>
          <w:b/>
          <w:bCs/>
        </w:rPr>
      </w:pPr>
      <w:r w:rsidRPr="009E768E">
        <w:rPr>
          <w:rFonts w:ascii="Segoe UI Emoji" w:hAnsi="Segoe UI Emoji" w:cs="Segoe UI Emoji"/>
          <w:b/>
          <w:bCs/>
        </w:rPr>
        <w:t>🔹</w:t>
      </w:r>
      <w:r w:rsidRPr="009E768E">
        <w:rPr>
          <w:b/>
          <w:bCs/>
        </w:rPr>
        <w:t xml:space="preserve"> Debt/EBITDA</w:t>
      </w:r>
    </w:p>
    <w:p w14:paraId="08C01520" w14:textId="77777777" w:rsidR="009E768E" w:rsidRPr="009E768E" w:rsidRDefault="009E768E" w:rsidP="009E768E">
      <w:pPr>
        <w:numPr>
          <w:ilvl w:val="0"/>
          <w:numId w:val="19"/>
        </w:numPr>
      </w:pPr>
      <w:r w:rsidRPr="009E768E">
        <w:t xml:space="preserve">Debt leverage has steadily improved, dropping from </w:t>
      </w:r>
      <w:r w:rsidRPr="009E768E">
        <w:rPr>
          <w:b/>
          <w:bCs/>
        </w:rPr>
        <w:t>4.6x in 2020</w:t>
      </w:r>
      <w:r w:rsidRPr="009E768E">
        <w:t xml:space="preserve"> to a projected </w:t>
      </w:r>
      <w:r w:rsidRPr="009E768E">
        <w:rPr>
          <w:b/>
          <w:bCs/>
        </w:rPr>
        <w:t>3.3x by 2024</w:t>
      </w:r>
      <w:r w:rsidRPr="009E768E">
        <w:t>, despite major acquisitions.</w:t>
      </w:r>
    </w:p>
    <w:p w14:paraId="4BF71C81" w14:textId="77777777" w:rsidR="009E768E" w:rsidRPr="009E768E" w:rsidRDefault="009E768E" w:rsidP="009E768E">
      <w:pPr>
        <w:numPr>
          <w:ilvl w:val="0"/>
          <w:numId w:val="19"/>
        </w:numPr>
      </w:pPr>
      <w:r w:rsidRPr="009E768E">
        <w:t>This reflects disciplined debt management, focus on deleveraging, and robust EBITDA growth.</w:t>
      </w:r>
    </w:p>
    <w:p w14:paraId="19FA3903" w14:textId="77777777" w:rsidR="009E768E" w:rsidRPr="009E768E" w:rsidRDefault="009E768E" w:rsidP="009E768E"/>
    <w:p w14:paraId="4D08AF88" w14:textId="77777777" w:rsidR="008A38A8" w:rsidRDefault="00521C80">
      <w:pPr>
        <w:pStyle w:val="Heading1"/>
      </w:pPr>
      <w:r>
        <w:t>6. Valuation Analysis</w:t>
      </w:r>
    </w:p>
    <w:p w14:paraId="7E0E5E38" w14:textId="77777777" w:rsidR="009E768E" w:rsidRDefault="009E768E">
      <w:pPr>
        <w:pStyle w:val="Heading1"/>
        <w:rPr>
          <w:rFonts w:asciiTheme="minorHAnsi" w:eastAsiaTheme="minorEastAsia" w:hAnsiTheme="minorHAnsi" w:cstheme="minorBidi"/>
          <w:b w:val="0"/>
          <w:bCs w:val="0"/>
          <w:color w:val="auto"/>
          <w:sz w:val="22"/>
          <w:szCs w:val="22"/>
        </w:rPr>
      </w:pPr>
      <w:r w:rsidRPr="009E768E">
        <w:rPr>
          <w:rFonts w:asciiTheme="minorHAnsi" w:eastAsiaTheme="minorEastAsia" w:hAnsiTheme="minorHAnsi" w:cstheme="minorBidi"/>
          <w:b w:val="0"/>
          <w:bCs w:val="0"/>
          <w:color w:val="auto"/>
          <w:sz w:val="22"/>
          <w:szCs w:val="22"/>
        </w:rPr>
        <w:t>Berry Global is currently trading at a significant discount to its peer group across all major valuation metrics, despite consistent cash flow generation, solid earnings growth, and strong end-market exposure. This discrepancy presents a compelling investment opportunity for value-oriented investors.</w:t>
      </w:r>
    </w:p>
    <w:p w14:paraId="36DA6A09" w14:textId="77777777" w:rsidR="009E768E" w:rsidRPr="009E768E" w:rsidRDefault="009E768E" w:rsidP="009E768E"/>
    <w:p w14:paraId="0F4B40FB" w14:textId="77777777" w:rsidR="009E768E" w:rsidRPr="009E768E" w:rsidRDefault="009E768E" w:rsidP="009E768E">
      <w:pPr>
        <w:rPr>
          <w:b/>
          <w:bCs/>
        </w:rPr>
      </w:pPr>
      <w:r w:rsidRPr="009E768E">
        <w:rPr>
          <w:b/>
          <w:bCs/>
        </w:rPr>
        <w:t>1. P/E Ratio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216"/>
        <w:gridCol w:w="2153"/>
      </w:tblGrid>
      <w:tr w:rsidR="009E768E" w:rsidRPr="009E768E" w14:paraId="52EF1E38" w14:textId="77777777" w:rsidTr="009E768E">
        <w:trPr>
          <w:tblHeader/>
          <w:tblCellSpacing w:w="15" w:type="dxa"/>
        </w:trPr>
        <w:tc>
          <w:tcPr>
            <w:tcW w:w="0" w:type="auto"/>
            <w:vAlign w:val="center"/>
            <w:hideMark/>
          </w:tcPr>
          <w:p w14:paraId="55089946" w14:textId="77777777" w:rsidR="009E768E" w:rsidRPr="009E768E" w:rsidRDefault="009E768E" w:rsidP="009E768E">
            <w:pPr>
              <w:rPr>
                <w:b/>
                <w:bCs/>
              </w:rPr>
            </w:pPr>
            <w:r w:rsidRPr="009E768E">
              <w:rPr>
                <w:b/>
                <w:bCs/>
              </w:rPr>
              <w:t>Metric</w:t>
            </w:r>
          </w:p>
        </w:tc>
        <w:tc>
          <w:tcPr>
            <w:tcW w:w="0" w:type="auto"/>
            <w:vAlign w:val="center"/>
            <w:hideMark/>
          </w:tcPr>
          <w:p w14:paraId="45ED0632" w14:textId="77777777" w:rsidR="009E768E" w:rsidRPr="009E768E" w:rsidRDefault="009E768E" w:rsidP="009E768E">
            <w:pPr>
              <w:rPr>
                <w:b/>
                <w:bCs/>
              </w:rPr>
            </w:pPr>
            <w:r w:rsidRPr="009E768E">
              <w:rPr>
                <w:b/>
                <w:bCs/>
              </w:rPr>
              <w:t>Berry Global (2024E)</w:t>
            </w:r>
          </w:p>
        </w:tc>
        <w:tc>
          <w:tcPr>
            <w:tcW w:w="0" w:type="auto"/>
            <w:vAlign w:val="center"/>
            <w:hideMark/>
          </w:tcPr>
          <w:p w14:paraId="311377FE" w14:textId="77777777" w:rsidR="009E768E" w:rsidRPr="009E768E" w:rsidRDefault="009E768E" w:rsidP="009E768E">
            <w:pPr>
              <w:rPr>
                <w:b/>
                <w:bCs/>
              </w:rPr>
            </w:pPr>
            <w:r w:rsidRPr="009E768E">
              <w:rPr>
                <w:b/>
                <w:bCs/>
              </w:rPr>
              <w:t>Packaging Peers Avg</w:t>
            </w:r>
          </w:p>
        </w:tc>
      </w:tr>
      <w:tr w:rsidR="009E768E" w:rsidRPr="009E768E" w14:paraId="15D2E06E" w14:textId="77777777" w:rsidTr="009E768E">
        <w:trPr>
          <w:tblCellSpacing w:w="15" w:type="dxa"/>
        </w:trPr>
        <w:tc>
          <w:tcPr>
            <w:tcW w:w="0" w:type="auto"/>
            <w:vAlign w:val="center"/>
            <w:hideMark/>
          </w:tcPr>
          <w:p w14:paraId="3A67271B" w14:textId="77777777" w:rsidR="009E768E" w:rsidRPr="009E768E" w:rsidRDefault="009E768E" w:rsidP="009E768E">
            <w:r w:rsidRPr="009E768E">
              <w:t>Price-to-Earnings (P/E)</w:t>
            </w:r>
          </w:p>
        </w:tc>
        <w:tc>
          <w:tcPr>
            <w:tcW w:w="0" w:type="auto"/>
            <w:vAlign w:val="center"/>
            <w:hideMark/>
          </w:tcPr>
          <w:p w14:paraId="22540BB4" w14:textId="77777777" w:rsidR="009E768E" w:rsidRPr="009E768E" w:rsidRDefault="009E768E" w:rsidP="009E768E">
            <w:r w:rsidRPr="009E768E">
              <w:rPr>
                <w:b/>
                <w:bCs/>
              </w:rPr>
              <w:t>~9.5x</w:t>
            </w:r>
          </w:p>
        </w:tc>
        <w:tc>
          <w:tcPr>
            <w:tcW w:w="0" w:type="auto"/>
            <w:vAlign w:val="center"/>
            <w:hideMark/>
          </w:tcPr>
          <w:p w14:paraId="0D51CA84" w14:textId="77777777" w:rsidR="009E768E" w:rsidRPr="009E768E" w:rsidRDefault="009E768E" w:rsidP="009E768E">
            <w:r w:rsidRPr="009E768E">
              <w:rPr>
                <w:b/>
                <w:bCs/>
              </w:rPr>
              <w:t>~13.5x</w:t>
            </w:r>
          </w:p>
        </w:tc>
      </w:tr>
    </w:tbl>
    <w:p w14:paraId="55F89175" w14:textId="77777777" w:rsidR="009E768E" w:rsidRPr="009E768E" w:rsidRDefault="009E768E" w:rsidP="009E768E">
      <w:pPr>
        <w:numPr>
          <w:ilvl w:val="0"/>
          <w:numId w:val="20"/>
        </w:numPr>
      </w:pPr>
      <w:r w:rsidRPr="009E768E">
        <w:t xml:space="preserve">Despite Adjusted EPS growing at ~7.5% CAGR, Berry’s </w:t>
      </w:r>
      <w:r w:rsidRPr="009E768E">
        <w:rPr>
          <w:b/>
          <w:bCs/>
        </w:rPr>
        <w:t>forward P/E of 9.5x</w:t>
      </w:r>
      <w:r w:rsidRPr="009E768E">
        <w:t xml:space="preserve"> is well below peers such as Sealed Air, Silgan Holdings, and Amcor.</w:t>
      </w:r>
    </w:p>
    <w:p w14:paraId="3BF129DE" w14:textId="77777777" w:rsidR="009E768E" w:rsidRDefault="009E768E" w:rsidP="009E768E">
      <w:pPr>
        <w:numPr>
          <w:ilvl w:val="0"/>
          <w:numId w:val="20"/>
        </w:numPr>
      </w:pPr>
      <w:r w:rsidRPr="009E768E">
        <w:t>This valuation gap is not due to weaker fundamentals but rather investor concerns about plastic regulation and cyclicality—concerns that Berry is proactively addressing through sustainability and product innovation.</w:t>
      </w:r>
    </w:p>
    <w:p w14:paraId="228B832B" w14:textId="77777777" w:rsidR="009E768E" w:rsidRDefault="009E768E" w:rsidP="009E768E">
      <w:pPr>
        <w:rPr>
          <w:b/>
          <w:bCs/>
        </w:rPr>
      </w:pPr>
    </w:p>
    <w:p w14:paraId="251B7029" w14:textId="1A46A097" w:rsidR="009E768E" w:rsidRPr="009E768E" w:rsidRDefault="009E768E" w:rsidP="009E768E">
      <w:pPr>
        <w:rPr>
          <w:b/>
          <w:bCs/>
        </w:rPr>
      </w:pPr>
      <w:r w:rsidRPr="009E768E">
        <w:rPr>
          <w:b/>
          <w:bCs/>
        </w:rPr>
        <w:lastRenderedPageBreak/>
        <w:t>2. EV/EBITDA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216"/>
        <w:gridCol w:w="2153"/>
      </w:tblGrid>
      <w:tr w:rsidR="009E768E" w:rsidRPr="009E768E" w14:paraId="572906D2" w14:textId="77777777" w:rsidTr="009E768E">
        <w:trPr>
          <w:tblHeader/>
          <w:tblCellSpacing w:w="15" w:type="dxa"/>
        </w:trPr>
        <w:tc>
          <w:tcPr>
            <w:tcW w:w="0" w:type="auto"/>
            <w:vAlign w:val="center"/>
            <w:hideMark/>
          </w:tcPr>
          <w:p w14:paraId="28AA97A8" w14:textId="77777777" w:rsidR="009E768E" w:rsidRPr="009E768E" w:rsidRDefault="009E768E" w:rsidP="009E768E">
            <w:pPr>
              <w:rPr>
                <w:b/>
                <w:bCs/>
              </w:rPr>
            </w:pPr>
            <w:r w:rsidRPr="009E768E">
              <w:rPr>
                <w:b/>
                <w:bCs/>
              </w:rPr>
              <w:t>Metric</w:t>
            </w:r>
          </w:p>
        </w:tc>
        <w:tc>
          <w:tcPr>
            <w:tcW w:w="0" w:type="auto"/>
            <w:vAlign w:val="center"/>
            <w:hideMark/>
          </w:tcPr>
          <w:p w14:paraId="3388DBCD" w14:textId="77777777" w:rsidR="009E768E" w:rsidRPr="009E768E" w:rsidRDefault="009E768E" w:rsidP="009E768E">
            <w:pPr>
              <w:rPr>
                <w:b/>
                <w:bCs/>
              </w:rPr>
            </w:pPr>
            <w:r w:rsidRPr="009E768E">
              <w:rPr>
                <w:b/>
                <w:bCs/>
              </w:rPr>
              <w:t>Berry Global (2024E)</w:t>
            </w:r>
          </w:p>
        </w:tc>
        <w:tc>
          <w:tcPr>
            <w:tcW w:w="0" w:type="auto"/>
            <w:vAlign w:val="center"/>
            <w:hideMark/>
          </w:tcPr>
          <w:p w14:paraId="24652429" w14:textId="77777777" w:rsidR="009E768E" w:rsidRPr="009E768E" w:rsidRDefault="009E768E" w:rsidP="009E768E">
            <w:pPr>
              <w:rPr>
                <w:b/>
                <w:bCs/>
              </w:rPr>
            </w:pPr>
            <w:r w:rsidRPr="009E768E">
              <w:rPr>
                <w:b/>
                <w:bCs/>
              </w:rPr>
              <w:t>Packaging Peers Avg</w:t>
            </w:r>
          </w:p>
        </w:tc>
      </w:tr>
      <w:tr w:rsidR="009E768E" w:rsidRPr="009E768E" w14:paraId="07007A84" w14:textId="77777777" w:rsidTr="009E768E">
        <w:trPr>
          <w:tblCellSpacing w:w="15" w:type="dxa"/>
        </w:trPr>
        <w:tc>
          <w:tcPr>
            <w:tcW w:w="0" w:type="auto"/>
            <w:vAlign w:val="center"/>
            <w:hideMark/>
          </w:tcPr>
          <w:p w14:paraId="5BF77C88" w14:textId="77777777" w:rsidR="009E768E" w:rsidRPr="009E768E" w:rsidRDefault="009E768E" w:rsidP="009E768E">
            <w:r w:rsidRPr="009E768E">
              <w:t>EV/EBITDA (Forward)</w:t>
            </w:r>
          </w:p>
        </w:tc>
        <w:tc>
          <w:tcPr>
            <w:tcW w:w="0" w:type="auto"/>
            <w:vAlign w:val="center"/>
            <w:hideMark/>
          </w:tcPr>
          <w:p w14:paraId="407149DE" w14:textId="77777777" w:rsidR="009E768E" w:rsidRPr="009E768E" w:rsidRDefault="009E768E" w:rsidP="009E768E">
            <w:r w:rsidRPr="009E768E">
              <w:rPr>
                <w:b/>
                <w:bCs/>
              </w:rPr>
              <w:t>~7.8x</w:t>
            </w:r>
          </w:p>
        </w:tc>
        <w:tc>
          <w:tcPr>
            <w:tcW w:w="0" w:type="auto"/>
            <w:vAlign w:val="center"/>
            <w:hideMark/>
          </w:tcPr>
          <w:p w14:paraId="552BA908" w14:textId="77777777" w:rsidR="009E768E" w:rsidRPr="009E768E" w:rsidRDefault="009E768E" w:rsidP="009E768E">
            <w:r w:rsidRPr="009E768E">
              <w:rPr>
                <w:b/>
                <w:bCs/>
              </w:rPr>
              <w:t>~10.2x</w:t>
            </w:r>
          </w:p>
        </w:tc>
      </w:tr>
    </w:tbl>
    <w:p w14:paraId="3868CEEE" w14:textId="77777777" w:rsidR="009E768E" w:rsidRPr="009E768E" w:rsidRDefault="009E768E" w:rsidP="009E768E">
      <w:pPr>
        <w:numPr>
          <w:ilvl w:val="0"/>
          <w:numId w:val="21"/>
        </w:numPr>
      </w:pPr>
      <w:r w:rsidRPr="009E768E">
        <w:t xml:space="preserve">Berry’s enterprise value relative to earnings before interest, taxes, depreciation, and amortization (EV/EBITDA) is </w:t>
      </w:r>
      <w:r w:rsidRPr="009E768E">
        <w:rPr>
          <w:b/>
          <w:bCs/>
        </w:rPr>
        <w:t>over 2.4 turns lower than peers</w:t>
      </w:r>
      <w:r w:rsidRPr="009E768E">
        <w:t>.</w:t>
      </w:r>
    </w:p>
    <w:p w14:paraId="27D7440C" w14:textId="77777777" w:rsidR="009E768E" w:rsidRPr="009E768E" w:rsidRDefault="009E768E" w:rsidP="009E768E">
      <w:pPr>
        <w:numPr>
          <w:ilvl w:val="0"/>
          <w:numId w:val="21"/>
        </w:numPr>
      </w:pPr>
      <w:r w:rsidRPr="009E768E">
        <w:t xml:space="preserve">Given Berry’s consistent EBITDA (~$1.5B projected in 2024) and improving margins, this multiple implies the company is </w:t>
      </w:r>
      <w:r w:rsidRPr="009E768E">
        <w:rPr>
          <w:b/>
          <w:bCs/>
        </w:rPr>
        <w:t>undervalued by 20–25%</w:t>
      </w:r>
      <w:r w:rsidRPr="009E768E">
        <w:t xml:space="preserve"> on an EV basis.</w:t>
      </w:r>
    </w:p>
    <w:p w14:paraId="5A166547" w14:textId="77777777" w:rsidR="009E768E" w:rsidRPr="009E768E" w:rsidRDefault="009E768E" w:rsidP="009E768E">
      <w:pPr>
        <w:rPr>
          <w:b/>
          <w:bCs/>
        </w:rPr>
      </w:pPr>
      <w:r w:rsidRPr="009E768E">
        <w:rPr>
          <w:b/>
          <w:bCs/>
        </w:rPr>
        <w:t>3. Free Cash Flow Yield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1340"/>
        <w:gridCol w:w="1823"/>
      </w:tblGrid>
      <w:tr w:rsidR="009E768E" w:rsidRPr="009E768E" w14:paraId="539E6090" w14:textId="77777777" w:rsidTr="009E768E">
        <w:trPr>
          <w:tblHeader/>
          <w:tblCellSpacing w:w="15" w:type="dxa"/>
        </w:trPr>
        <w:tc>
          <w:tcPr>
            <w:tcW w:w="0" w:type="auto"/>
            <w:vAlign w:val="center"/>
            <w:hideMark/>
          </w:tcPr>
          <w:p w14:paraId="28383ED1" w14:textId="77777777" w:rsidR="009E768E" w:rsidRPr="009E768E" w:rsidRDefault="009E768E" w:rsidP="009E768E">
            <w:pPr>
              <w:rPr>
                <w:b/>
                <w:bCs/>
              </w:rPr>
            </w:pPr>
            <w:r w:rsidRPr="009E768E">
              <w:rPr>
                <w:b/>
                <w:bCs/>
              </w:rPr>
              <w:t>Metric</w:t>
            </w:r>
          </w:p>
        </w:tc>
        <w:tc>
          <w:tcPr>
            <w:tcW w:w="0" w:type="auto"/>
            <w:vAlign w:val="center"/>
            <w:hideMark/>
          </w:tcPr>
          <w:p w14:paraId="10CEB298" w14:textId="77777777" w:rsidR="009E768E" w:rsidRPr="009E768E" w:rsidRDefault="009E768E" w:rsidP="009E768E">
            <w:pPr>
              <w:rPr>
                <w:b/>
                <w:bCs/>
              </w:rPr>
            </w:pPr>
            <w:r w:rsidRPr="009E768E">
              <w:rPr>
                <w:b/>
                <w:bCs/>
              </w:rPr>
              <w:t>Berry Global</w:t>
            </w:r>
          </w:p>
        </w:tc>
        <w:tc>
          <w:tcPr>
            <w:tcW w:w="0" w:type="auto"/>
            <w:vAlign w:val="center"/>
            <w:hideMark/>
          </w:tcPr>
          <w:p w14:paraId="64A61C73" w14:textId="77777777" w:rsidR="009E768E" w:rsidRPr="009E768E" w:rsidRDefault="009E768E" w:rsidP="009E768E">
            <w:pPr>
              <w:rPr>
                <w:b/>
                <w:bCs/>
              </w:rPr>
            </w:pPr>
            <w:r w:rsidRPr="009E768E">
              <w:rPr>
                <w:b/>
                <w:bCs/>
              </w:rPr>
              <w:t>Industry Average</w:t>
            </w:r>
          </w:p>
        </w:tc>
      </w:tr>
      <w:tr w:rsidR="009E768E" w:rsidRPr="009E768E" w14:paraId="152FA5D4" w14:textId="77777777" w:rsidTr="009E768E">
        <w:trPr>
          <w:tblCellSpacing w:w="15" w:type="dxa"/>
        </w:trPr>
        <w:tc>
          <w:tcPr>
            <w:tcW w:w="0" w:type="auto"/>
            <w:vAlign w:val="center"/>
            <w:hideMark/>
          </w:tcPr>
          <w:p w14:paraId="7DEB46A8" w14:textId="77777777" w:rsidR="009E768E" w:rsidRPr="009E768E" w:rsidRDefault="009E768E" w:rsidP="009E768E">
            <w:r w:rsidRPr="009E768E">
              <w:t>Free Cash Flow Yield</w:t>
            </w:r>
          </w:p>
        </w:tc>
        <w:tc>
          <w:tcPr>
            <w:tcW w:w="0" w:type="auto"/>
            <w:vAlign w:val="center"/>
            <w:hideMark/>
          </w:tcPr>
          <w:p w14:paraId="46028CC6" w14:textId="77777777" w:rsidR="009E768E" w:rsidRPr="009E768E" w:rsidRDefault="009E768E" w:rsidP="009E768E">
            <w:r w:rsidRPr="009E768E">
              <w:rPr>
                <w:b/>
                <w:bCs/>
              </w:rPr>
              <w:t>~10%</w:t>
            </w:r>
          </w:p>
        </w:tc>
        <w:tc>
          <w:tcPr>
            <w:tcW w:w="0" w:type="auto"/>
            <w:vAlign w:val="center"/>
            <w:hideMark/>
          </w:tcPr>
          <w:p w14:paraId="6ADF5794" w14:textId="77777777" w:rsidR="009E768E" w:rsidRPr="009E768E" w:rsidRDefault="009E768E" w:rsidP="009E768E">
            <w:r w:rsidRPr="009E768E">
              <w:rPr>
                <w:b/>
                <w:bCs/>
              </w:rPr>
              <w:t>~6%</w:t>
            </w:r>
          </w:p>
        </w:tc>
      </w:tr>
    </w:tbl>
    <w:p w14:paraId="5FF98091" w14:textId="77777777" w:rsidR="009E768E" w:rsidRPr="009E768E" w:rsidRDefault="009E768E" w:rsidP="009E768E">
      <w:pPr>
        <w:numPr>
          <w:ilvl w:val="0"/>
          <w:numId w:val="22"/>
        </w:numPr>
      </w:pPr>
      <w:r w:rsidRPr="009E768E">
        <w:t>Berry’s FCF yield (~$900M FCF on ~$9B market cap) is significantly higher than most peers, providing ample room for deleveraging, dividends, or buybacks.</w:t>
      </w:r>
    </w:p>
    <w:p w14:paraId="01C6309E" w14:textId="77777777" w:rsidR="009E768E" w:rsidRPr="009E768E" w:rsidRDefault="009E768E" w:rsidP="009E768E">
      <w:pPr>
        <w:numPr>
          <w:ilvl w:val="0"/>
          <w:numId w:val="22"/>
        </w:numPr>
      </w:pPr>
      <w:r w:rsidRPr="009E768E">
        <w:t xml:space="preserve">High FCF yield is especially attractive in a rising interest rate environment, where </w:t>
      </w:r>
      <w:r w:rsidRPr="009E768E">
        <w:rPr>
          <w:b/>
          <w:bCs/>
        </w:rPr>
        <w:t>cash-based valuation metrics</w:t>
      </w:r>
      <w:r w:rsidRPr="009E768E">
        <w:t xml:space="preserve"> become more relevant than GAAP accounting metrics.</w:t>
      </w:r>
    </w:p>
    <w:p w14:paraId="72992E24" w14:textId="77777777" w:rsidR="009E768E" w:rsidRDefault="009E768E" w:rsidP="009E768E">
      <w:pPr>
        <w:rPr>
          <w:b/>
          <w:bCs/>
        </w:rPr>
      </w:pPr>
      <w:r w:rsidRPr="009E768E">
        <w:rPr>
          <w:b/>
          <w:bCs/>
        </w:rPr>
        <w:t>4. Chart – Valuation Multiples</w:t>
      </w:r>
    </w:p>
    <w:p w14:paraId="1B444865" w14:textId="3D3342DF" w:rsidR="009E768E" w:rsidRPr="009E768E" w:rsidRDefault="009E768E" w:rsidP="009E768E">
      <w:pPr>
        <w:pStyle w:val="ListParagraph"/>
        <w:numPr>
          <w:ilvl w:val="0"/>
          <w:numId w:val="23"/>
        </w:numPr>
        <w:rPr>
          <w:b/>
          <w:bCs/>
        </w:rPr>
      </w:pPr>
      <w:r>
        <w:t xml:space="preserve">A visual comparison of </w:t>
      </w:r>
      <w:r>
        <w:rPr>
          <w:rStyle w:val="Strong"/>
        </w:rPr>
        <w:t>Berry vs. Industry Averages</w:t>
      </w:r>
      <w:r>
        <w:t xml:space="preserve"> for P/E, EV/EBITDA, and FCF Yield is recommended to be included in the Word report or presentation deck (can be generated upon request).</w:t>
      </w:r>
    </w:p>
    <w:p w14:paraId="6C9B8EAD" w14:textId="77777777" w:rsidR="009E768E" w:rsidRPr="009E768E" w:rsidRDefault="009E768E" w:rsidP="009E768E">
      <w:pPr>
        <w:rPr>
          <w:b/>
          <w:bCs/>
        </w:rPr>
      </w:pPr>
      <w:r w:rsidRPr="009E768E">
        <w:rPr>
          <w:b/>
          <w:bCs/>
        </w:rPr>
        <w:t>5. Valuation Interpretation</w:t>
      </w:r>
    </w:p>
    <w:p w14:paraId="26BD727F" w14:textId="77777777" w:rsidR="009E768E" w:rsidRPr="009E768E" w:rsidRDefault="009E768E" w:rsidP="009E768E">
      <w:pPr>
        <w:numPr>
          <w:ilvl w:val="0"/>
          <w:numId w:val="24"/>
        </w:numPr>
      </w:pPr>
      <w:r w:rsidRPr="009E768E">
        <w:t xml:space="preserve">Berry is </w:t>
      </w:r>
      <w:r w:rsidRPr="009E768E">
        <w:rPr>
          <w:b/>
          <w:bCs/>
        </w:rPr>
        <w:t>undervalued across all traditional valuation metrics</w:t>
      </w:r>
      <w:r w:rsidRPr="009E768E">
        <w:t>.</w:t>
      </w:r>
    </w:p>
    <w:p w14:paraId="4CDE2F0E" w14:textId="77777777" w:rsidR="009E768E" w:rsidRPr="009E768E" w:rsidRDefault="009E768E" w:rsidP="009E768E">
      <w:pPr>
        <w:numPr>
          <w:ilvl w:val="0"/>
          <w:numId w:val="24"/>
        </w:numPr>
      </w:pPr>
      <w:r w:rsidRPr="009E768E">
        <w:t xml:space="preserve">The discount is </w:t>
      </w:r>
      <w:r w:rsidRPr="009E768E">
        <w:rPr>
          <w:b/>
          <w:bCs/>
        </w:rPr>
        <w:t>not justified</w:t>
      </w:r>
      <w:r w:rsidRPr="009E768E">
        <w:t xml:space="preserve"> based on fundamentals—Berry has a strong balance sheet, durable cash flows, high-margin products, and diversified global operations.</w:t>
      </w:r>
    </w:p>
    <w:p w14:paraId="02BFF96A" w14:textId="77777777" w:rsidR="009E768E" w:rsidRPr="009E768E" w:rsidRDefault="009E768E" w:rsidP="009E768E">
      <w:pPr>
        <w:numPr>
          <w:ilvl w:val="0"/>
          <w:numId w:val="24"/>
        </w:numPr>
      </w:pPr>
      <w:r w:rsidRPr="009E768E">
        <w:t xml:space="preserve">Its ongoing </w:t>
      </w:r>
      <w:r w:rsidRPr="009E768E">
        <w:rPr>
          <w:b/>
          <w:bCs/>
        </w:rPr>
        <w:t>transition toward sustainable packaging</w:t>
      </w:r>
      <w:r w:rsidRPr="009E768E">
        <w:t xml:space="preserve">, as well as the </w:t>
      </w:r>
      <w:r w:rsidRPr="009E768E">
        <w:rPr>
          <w:b/>
          <w:bCs/>
        </w:rPr>
        <w:t>Amcor merger</w:t>
      </w:r>
      <w:r w:rsidRPr="009E768E">
        <w:t xml:space="preserve">, should act as catalysts for a </w:t>
      </w:r>
      <w:r w:rsidRPr="009E768E">
        <w:rPr>
          <w:b/>
          <w:bCs/>
        </w:rPr>
        <w:t>market re-rating</w:t>
      </w:r>
      <w:r w:rsidRPr="009E768E">
        <w:t>.</w:t>
      </w:r>
    </w:p>
    <w:p w14:paraId="6EF00E5B" w14:textId="77777777" w:rsidR="009E768E" w:rsidRPr="009E768E" w:rsidRDefault="009E768E" w:rsidP="009E768E"/>
    <w:p w14:paraId="53F73F6B" w14:textId="77777777" w:rsidR="009E768E" w:rsidRPr="009E768E" w:rsidRDefault="009E768E" w:rsidP="009E768E"/>
    <w:p w14:paraId="5BDACDF4" w14:textId="4D6D882F" w:rsidR="008A38A8" w:rsidRDefault="00521C80">
      <w:pPr>
        <w:pStyle w:val="Heading1"/>
      </w:pPr>
      <w:r>
        <w:lastRenderedPageBreak/>
        <w:t>7. Growth Drivers</w:t>
      </w:r>
    </w:p>
    <w:p w14:paraId="771A95C6" w14:textId="77777777" w:rsidR="00506655" w:rsidRDefault="00506655">
      <w:pPr>
        <w:pStyle w:val="Heading1"/>
        <w:rPr>
          <w:rFonts w:asciiTheme="minorHAnsi" w:eastAsiaTheme="minorEastAsia" w:hAnsiTheme="minorHAnsi" w:cstheme="minorBidi"/>
          <w:b w:val="0"/>
          <w:bCs w:val="0"/>
          <w:color w:val="auto"/>
          <w:sz w:val="22"/>
          <w:szCs w:val="22"/>
        </w:rPr>
      </w:pPr>
      <w:r w:rsidRPr="00506655">
        <w:rPr>
          <w:rFonts w:asciiTheme="minorHAnsi" w:eastAsiaTheme="minorEastAsia" w:hAnsiTheme="minorHAnsi" w:cstheme="minorBidi"/>
          <w:b w:val="0"/>
          <w:bCs w:val="0"/>
          <w:color w:val="auto"/>
          <w:sz w:val="22"/>
          <w:szCs w:val="22"/>
        </w:rPr>
        <w:t>Berry Global’s growth outlook is underpinned by both secular tailwinds and strategic internal initiatives. The company is well-positioned to capitalize on emerging market expansion, consumer demand for sustainable packaging, and operational leverage through strategic M&amp;A.</w:t>
      </w:r>
    </w:p>
    <w:p w14:paraId="1EAF7B07" w14:textId="77777777" w:rsidR="00506655" w:rsidRDefault="00506655" w:rsidP="00506655"/>
    <w:p w14:paraId="2DBE8588" w14:textId="77777777" w:rsidR="00506655" w:rsidRPr="00506655" w:rsidRDefault="00506655" w:rsidP="00506655">
      <w:pPr>
        <w:rPr>
          <w:b/>
          <w:bCs/>
        </w:rPr>
      </w:pPr>
      <w:r w:rsidRPr="00506655">
        <w:rPr>
          <w:b/>
          <w:bCs/>
        </w:rPr>
        <w:t>1. Emerging Market Packaging Demand</w:t>
      </w:r>
    </w:p>
    <w:p w14:paraId="01156FED" w14:textId="77777777" w:rsidR="00506655" w:rsidRPr="00506655" w:rsidRDefault="00506655" w:rsidP="00506655">
      <w:r w:rsidRPr="00506655">
        <w:t>Emerging markets in Asia-Pacific, Latin America, and parts of Eastern Europe are experiencing rising urbanization, middle-class growth, and improved access to packaged goods. Berry Global is strategically increasing its footprint in these geographies through both organic investment and bolt-on acquisitions.</w:t>
      </w:r>
    </w:p>
    <w:p w14:paraId="2E738F72" w14:textId="77777777" w:rsidR="00506655" w:rsidRPr="00506655" w:rsidRDefault="00506655" w:rsidP="00506655">
      <w:r w:rsidRPr="00506655">
        <w:rPr>
          <w:b/>
          <w:bCs/>
        </w:rPr>
        <w:t>Key Trends:</w:t>
      </w:r>
    </w:p>
    <w:p w14:paraId="2252D2AC" w14:textId="77777777" w:rsidR="00506655" w:rsidRPr="00506655" w:rsidRDefault="00506655" w:rsidP="00506655">
      <w:pPr>
        <w:numPr>
          <w:ilvl w:val="0"/>
          <w:numId w:val="25"/>
        </w:numPr>
      </w:pPr>
      <w:r w:rsidRPr="00506655">
        <w:t xml:space="preserve">According to Smithers Pira, </w:t>
      </w:r>
      <w:r w:rsidRPr="00506655">
        <w:rPr>
          <w:b/>
          <w:bCs/>
        </w:rPr>
        <w:t>global packaging demand is expected to reach $1.05 trillion by 2024</w:t>
      </w:r>
      <w:r w:rsidRPr="00506655">
        <w:t xml:space="preserve">, with </w:t>
      </w:r>
      <w:r w:rsidRPr="00506655">
        <w:rPr>
          <w:b/>
          <w:bCs/>
        </w:rPr>
        <w:t>Asia accounting for over 40%</w:t>
      </w:r>
      <w:r w:rsidRPr="00506655">
        <w:t xml:space="preserve"> of that growth.</w:t>
      </w:r>
    </w:p>
    <w:p w14:paraId="5E68CFAF" w14:textId="77777777" w:rsidR="00506655" w:rsidRPr="00506655" w:rsidRDefault="00506655" w:rsidP="00506655">
      <w:pPr>
        <w:numPr>
          <w:ilvl w:val="0"/>
          <w:numId w:val="25"/>
        </w:numPr>
      </w:pPr>
      <w:r w:rsidRPr="00506655">
        <w:t xml:space="preserve">Berry has established or expanded facilities in </w:t>
      </w:r>
      <w:r w:rsidRPr="00506655">
        <w:rPr>
          <w:b/>
          <w:bCs/>
        </w:rPr>
        <w:t>India, Brazil, China</w:t>
      </w:r>
      <w:r w:rsidRPr="00506655">
        <w:t xml:space="preserve">, and </w:t>
      </w:r>
      <w:r w:rsidRPr="00506655">
        <w:rPr>
          <w:b/>
          <w:bCs/>
        </w:rPr>
        <w:t>Mexico</w:t>
      </w:r>
      <w:r w:rsidRPr="00506655">
        <w:t>, focusing on high-growth segments like hygiene, healthcare, and e-commerce.</w:t>
      </w:r>
    </w:p>
    <w:p w14:paraId="75F461CC" w14:textId="77777777" w:rsidR="00506655" w:rsidRPr="00506655" w:rsidRDefault="00506655" w:rsidP="00506655">
      <w:r w:rsidRPr="00506655">
        <w:rPr>
          <w:b/>
          <w:bCs/>
        </w:rPr>
        <w:t>Implication</w:t>
      </w:r>
      <w:r w:rsidRPr="00506655">
        <w:t>:</w:t>
      </w:r>
      <w:r w:rsidRPr="00506655">
        <w:br/>
        <w:t>This global expansion not only increases revenue but also provides geographic diversification, reducing dependence on the mature North American and European markets.</w:t>
      </w:r>
    </w:p>
    <w:p w14:paraId="12C2E920" w14:textId="77777777" w:rsidR="00506655" w:rsidRPr="00506655" w:rsidRDefault="00506655" w:rsidP="00506655">
      <w:pPr>
        <w:rPr>
          <w:b/>
          <w:bCs/>
        </w:rPr>
      </w:pPr>
      <w:r w:rsidRPr="00506655">
        <w:rPr>
          <w:b/>
          <w:bCs/>
        </w:rPr>
        <w:t>2. Sustainable Product Innovation (e.g., Verdant™)</w:t>
      </w:r>
    </w:p>
    <w:p w14:paraId="5A763389" w14:textId="77777777" w:rsidR="00506655" w:rsidRPr="00506655" w:rsidRDefault="00506655" w:rsidP="00506655">
      <w:r w:rsidRPr="00506655">
        <w:t xml:space="preserve">Berry is transitioning from a traditional plastics manufacturer to a </w:t>
      </w:r>
      <w:r w:rsidRPr="00506655">
        <w:rPr>
          <w:b/>
          <w:bCs/>
        </w:rPr>
        <w:t>sustainability-first packaging innovator</w:t>
      </w:r>
      <w:r w:rsidRPr="00506655">
        <w:t xml:space="preserve">. Its product roadmap increasingly includes circular </w:t>
      </w:r>
      <w:proofErr w:type="gramStart"/>
      <w:r w:rsidRPr="00506655">
        <w:t>economy</w:t>
      </w:r>
      <w:proofErr w:type="gramEnd"/>
      <w:r w:rsidRPr="00506655">
        <w:t xml:space="preserve"> solutions designed to meet regulatory, customer, and ESG expectations.</w:t>
      </w:r>
    </w:p>
    <w:p w14:paraId="03A3F07B" w14:textId="77777777" w:rsidR="00506655" w:rsidRPr="00506655" w:rsidRDefault="00506655" w:rsidP="00506655">
      <w:r w:rsidRPr="00506655">
        <w:rPr>
          <w:b/>
          <w:bCs/>
        </w:rPr>
        <w:t>Notable Initiatives:</w:t>
      </w:r>
    </w:p>
    <w:p w14:paraId="434D4CC4" w14:textId="77777777" w:rsidR="00506655" w:rsidRPr="00506655" w:rsidRDefault="00506655" w:rsidP="00506655">
      <w:pPr>
        <w:numPr>
          <w:ilvl w:val="0"/>
          <w:numId w:val="26"/>
        </w:numPr>
      </w:pPr>
      <w:r w:rsidRPr="00506655">
        <w:rPr>
          <w:b/>
          <w:bCs/>
        </w:rPr>
        <w:t>Verdant™</w:t>
      </w:r>
      <w:r w:rsidRPr="00506655">
        <w:t xml:space="preserve">: Berry’s proprietary line of </w:t>
      </w:r>
      <w:r w:rsidRPr="00506655">
        <w:rPr>
          <w:b/>
          <w:bCs/>
        </w:rPr>
        <w:t>plant-based resins and post-consumer recycled (PCR) content</w:t>
      </w:r>
      <w:r w:rsidRPr="00506655">
        <w:t xml:space="preserve"> packaging. These products are lighter, recyclable, and cost-efficient.</w:t>
      </w:r>
    </w:p>
    <w:p w14:paraId="0786C9E2" w14:textId="77777777" w:rsidR="00506655" w:rsidRPr="00506655" w:rsidRDefault="00506655" w:rsidP="00506655">
      <w:pPr>
        <w:numPr>
          <w:ilvl w:val="0"/>
          <w:numId w:val="26"/>
        </w:numPr>
      </w:pPr>
      <w:r w:rsidRPr="00506655">
        <w:t xml:space="preserve">Lightweighting: Development of containers and closures that use up to </w:t>
      </w:r>
      <w:r w:rsidRPr="00506655">
        <w:rPr>
          <w:b/>
          <w:bCs/>
        </w:rPr>
        <w:t>30% less material</w:t>
      </w:r>
      <w:r w:rsidRPr="00506655">
        <w:t xml:space="preserve"> while maintaining durability.</w:t>
      </w:r>
    </w:p>
    <w:p w14:paraId="58FB8BF0" w14:textId="77777777" w:rsidR="00506655" w:rsidRPr="00506655" w:rsidRDefault="00506655" w:rsidP="00506655">
      <w:pPr>
        <w:numPr>
          <w:ilvl w:val="0"/>
          <w:numId w:val="26"/>
        </w:numPr>
      </w:pPr>
      <w:r w:rsidRPr="00506655">
        <w:t xml:space="preserve">Collaborations: Partnering with major clients to co-develop sustainable packaging and meet </w:t>
      </w:r>
      <w:r w:rsidRPr="00506655">
        <w:rPr>
          <w:b/>
          <w:bCs/>
        </w:rPr>
        <w:t>“2030 recyclability”</w:t>
      </w:r>
      <w:r w:rsidRPr="00506655">
        <w:t xml:space="preserve"> goals.</w:t>
      </w:r>
    </w:p>
    <w:p w14:paraId="45344FCD" w14:textId="77777777" w:rsidR="00506655" w:rsidRPr="00506655" w:rsidRDefault="00506655" w:rsidP="00506655">
      <w:r w:rsidRPr="00506655">
        <w:rPr>
          <w:b/>
          <w:bCs/>
        </w:rPr>
        <w:t>Industry Context</w:t>
      </w:r>
      <w:r w:rsidRPr="00506655">
        <w:t>:</w:t>
      </w:r>
    </w:p>
    <w:p w14:paraId="02E64E9B" w14:textId="77777777" w:rsidR="00506655" w:rsidRPr="00506655" w:rsidRDefault="00506655" w:rsidP="00506655">
      <w:pPr>
        <w:numPr>
          <w:ilvl w:val="0"/>
          <w:numId w:val="27"/>
        </w:numPr>
      </w:pPr>
      <w:r w:rsidRPr="00506655">
        <w:lastRenderedPageBreak/>
        <w:t>Regulations in Europe and parts of the U.S. mandate plastic recyclability, driving customer demand for compliant solutions.</w:t>
      </w:r>
    </w:p>
    <w:p w14:paraId="58624FB2" w14:textId="77777777" w:rsidR="00506655" w:rsidRPr="00506655" w:rsidRDefault="00506655" w:rsidP="00506655">
      <w:pPr>
        <w:numPr>
          <w:ilvl w:val="0"/>
          <w:numId w:val="27"/>
        </w:numPr>
      </w:pPr>
      <w:r w:rsidRPr="00506655">
        <w:t xml:space="preserve">Over 60% of Berry’s new product pipeline now aligns with </w:t>
      </w:r>
      <w:r w:rsidRPr="00506655">
        <w:rPr>
          <w:b/>
          <w:bCs/>
        </w:rPr>
        <w:t>sustainability or ESG objectives</w:t>
      </w:r>
      <w:r w:rsidRPr="00506655">
        <w:t>.</w:t>
      </w:r>
    </w:p>
    <w:p w14:paraId="4E985321" w14:textId="77777777" w:rsidR="00506655" w:rsidRPr="00506655" w:rsidRDefault="00506655" w:rsidP="00506655">
      <w:r w:rsidRPr="00506655">
        <w:rPr>
          <w:b/>
          <w:bCs/>
        </w:rPr>
        <w:t>Implication</w:t>
      </w:r>
      <w:r w:rsidRPr="00506655">
        <w:t>:</w:t>
      </w:r>
      <w:r w:rsidRPr="00506655">
        <w:br/>
        <w:t>Innovation in sustainable materials not only future-proofs the business but allows Berry to command pricing premiums and enter high-margin specialty segments.</w:t>
      </w:r>
    </w:p>
    <w:p w14:paraId="3C9222E5" w14:textId="77777777" w:rsidR="00506655" w:rsidRPr="00506655" w:rsidRDefault="00506655" w:rsidP="00506655">
      <w:pPr>
        <w:rPr>
          <w:b/>
          <w:bCs/>
        </w:rPr>
      </w:pPr>
      <w:r w:rsidRPr="00506655">
        <w:rPr>
          <w:b/>
          <w:bCs/>
        </w:rPr>
        <w:t>3. R&amp;D Investments Over $150 Million/Year</w:t>
      </w:r>
    </w:p>
    <w:p w14:paraId="4D518840" w14:textId="77777777" w:rsidR="00506655" w:rsidRPr="00506655" w:rsidRDefault="00506655" w:rsidP="00506655">
      <w:r w:rsidRPr="00506655">
        <w:t xml:space="preserve">Berry invests heavily in </w:t>
      </w:r>
      <w:r w:rsidRPr="00506655">
        <w:rPr>
          <w:b/>
          <w:bCs/>
        </w:rPr>
        <w:t>research &amp; development (R&amp;D)</w:t>
      </w:r>
      <w:r w:rsidRPr="00506655">
        <w:t xml:space="preserve"> to drive continuous improvement in product design, process efficiency, and material science. This R&amp;D commitment enables Berry to lead the market in proprietary offerings and differentiate from commodity producers.</w:t>
      </w:r>
    </w:p>
    <w:p w14:paraId="4BE4F004" w14:textId="77777777" w:rsidR="00506655" w:rsidRPr="00506655" w:rsidRDefault="00506655" w:rsidP="00506655">
      <w:r w:rsidRPr="00506655">
        <w:rPr>
          <w:b/>
          <w:bCs/>
        </w:rPr>
        <w:t>R&amp;D Strategy:</w:t>
      </w:r>
    </w:p>
    <w:p w14:paraId="28D8B175" w14:textId="77777777" w:rsidR="00506655" w:rsidRPr="00506655" w:rsidRDefault="00506655" w:rsidP="00506655">
      <w:pPr>
        <w:numPr>
          <w:ilvl w:val="0"/>
          <w:numId w:val="28"/>
        </w:numPr>
      </w:pPr>
      <w:r w:rsidRPr="00506655">
        <w:t>20+ innovation centers worldwide, including hubs in the U.S., Germany, and China.</w:t>
      </w:r>
    </w:p>
    <w:p w14:paraId="1C1C8D7A" w14:textId="77777777" w:rsidR="00506655" w:rsidRPr="00506655" w:rsidRDefault="00506655" w:rsidP="00506655">
      <w:pPr>
        <w:numPr>
          <w:ilvl w:val="0"/>
          <w:numId w:val="28"/>
        </w:numPr>
      </w:pPr>
      <w:r w:rsidRPr="00506655">
        <w:t xml:space="preserve">Areas of focus: </w:t>
      </w:r>
      <w:r w:rsidRPr="00506655">
        <w:rPr>
          <w:b/>
          <w:bCs/>
        </w:rPr>
        <w:t>barrier technologies</w:t>
      </w:r>
      <w:r w:rsidRPr="00506655">
        <w:t xml:space="preserve">, </w:t>
      </w:r>
      <w:r w:rsidRPr="00506655">
        <w:rPr>
          <w:b/>
          <w:bCs/>
        </w:rPr>
        <w:t>bioplastics</w:t>
      </w:r>
      <w:r w:rsidRPr="00506655">
        <w:t xml:space="preserve">, </w:t>
      </w:r>
      <w:r w:rsidRPr="00506655">
        <w:rPr>
          <w:b/>
          <w:bCs/>
        </w:rPr>
        <w:t>nonwoven materials</w:t>
      </w:r>
      <w:r w:rsidRPr="00506655">
        <w:t xml:space="preserve">, and </w:t>
      </w:r>
      <w:r w:rsidRPr="00506655">
        <w:rPr>
          <w:b/>
          <w:bCs/>
        </w:rPr>
        <w:t>high-performance adhesives</w:t>
      </w:r>
      <w:r w:rsidRPr="00506655">
        <w:t>.</w:t>
      </w:r>
    </w:p>
    <w:p w14:paraId="0E6C4F19" w14:textId="77777777" w:rsidR="00506655" w:rsidRPr="00506655" w:rsidRDefault="00506655" w:rsidP="00506655">
      <w:pPr>
        <w:numPr>
          <w:ilvl w:val="0"/>
          <w:numId w:val="28"/>
        </w:numPr>
      </w:pPr>
      <w:r w:rsidRPr="00506655">
        <w:t>Joint development initiatives with global CPG companies seeking innovative packaging formats (e.g., refillable systems, biodegradable pouches).</w:t>
      </w:r>
    </w:p>
    <w:p w14:paraId="6C233A63" w14:textId="77777777" w:rsidR="00506655" w:rsidRPr="00506655" w:rsidRDefault="00506655" w:rsidP="00506655">
      <w:r w:rsidRPr="00506655">
        <w:rPr>
          <w:b/>
          <w:bCs/>
        </w:rPr>
        <w:t>Implication</w:t>
      </w:r>
      <w:r w:rsidRPr="00506655">
        <w:t>:</w:t>
      </w:r>
      <w:r w:rsidRPr="00506655">
        <w:br/>
        <w:t>Sustained R&amp;D supports a competitive moat and ensures a steady pipeline of new, patented products with long-tail revenue potential.</w:t>
      </w:r>
    </w:p>
    <w:p w14:paraId="33BF39B7" w14:textId="77777777" w:rsidR="00506655" w:rsidRPr="00506655" w:rsidRDefault="00506655" w:rsidP="00506655">
      <w:pPr>
        <w:rPr>
          <w:b/>
          <w:bCs/>
        </w:rPr>
      </w:pPr>
      <w:r w:rsidRPr="00506655">
        <w:rPr>
          <w:b/>
          <w:bCs/>
        </w:rPr>
        <w:t>4. Cost and Scale Synergies from Acquisitions</w:t>
      </w:r>
    </w:p>
    <w:p w14:paraId="4A15EF68" w14:textId="77777777" w:rsidR="00506655" w:rsidRPr="00506655" w:rsidRDefault="00506655" w:rsidP="00506655">
      <w:r w:rsidRPr="00506655">
        <w:t xml:space="preserve">Berry’s </w:t>
      </w:r>
      <w:r w:rsidRPr="00506655">
        <w:rPr>
          <w:b/>
          <w:bCs/>
        </w:rPr>
        <w:t>M&amp;A-driven growth model</w:t>
      </w:r>
      <w:r w:rsidRPr="00506655">
        <w:t xml:space="preserve"> has successfully created economies of scale and cost efficiencies across manufacturing, sourcing, and distribution.</w:t>
      </w:r>
    </w:p>
    <w:p w14:paraId="468E3F06" w14:textId="77777777" w:rsidR="00506655" w:rsidRPr="00506655" w:rsidRDefault="00506655" w:rsidP="00506655">
      <w:r w:rsidRPr="00506655">
        <w:rPr>
          <w:b/>
          <w:bCs/>
        </w:rPr>
        <w:t>Recent Impact:</w:t>
      </w:r>
    </w:p>
    <w:p w14:paraId="5A14A5A4" w14:textId="77777777" w:rsidR="00506655" w:rsidRPr="00506655" w:rsidRDefault="00506655" w:rsidP="00506655">
      <w:pPr>
        <w:numPr>
          <w:ilvl w:val="0"/>
          <w:numId w:val="29"/>
        </w:numPr>
      </w:pPr>
      <w:r w:rsidRPr="00506655">
        <w:t xml:space="preserve">The 2019 </w:t>
      </w:r>
      <w:r w:rsidRPr="00506655">
        <w:rPr>
          <w:b/>
          <w:bCs/>
        </w:rPr>
        <w:t>RPC Group acquisition</w:t>
      </w:r>
      <w:r w:rsidRPr="00506655">
        <w:t xml:space="preserve"> unlocked significant cross-regional cost synergies (~$150M+).</w:t>
      </w:r>
    </w:p>
    <w:p w14:paraId="652363F6" w14:textId="77777777" w:rsidR="00506655" w:rsidRPr="00506655" w:rsidRDefault="00506655" w:rsidP="00506655">
      <w:pPr>
        <w:numPr>
          <w:ilvl w:val="0"/>
          <w:numId w:val="29"/>
        </w:numPr>
      </w:pPr>
      <w:r w:rsidRPr="00506655">
        <w:t xml:space="preserve">Anticipated $650M in synergies from the upcoming </w:t>
      </w:r>
      <w:r w:rsidRPr="00506655">
        <w:rPr>
          <w:b/>
          <w:bCs/>
        </w:rPr>
        <w:t>Amcor merger</w:t>
      </w:r>
      <w:r w:rsidRPr="00506655">
        <w:t xml:space="preserve"> (announced 2025) through:</w:t>
      </w:r>
    </w:p>
    <w:p w14:paraId="19BEB6FA" w14:textId="77777777" w:rsidR="00506655" w:rsidRPr="00506655" w:rsidRDefault="00506655" w:rsidP="00506655">
      <w:pPr>
        <w:numPr>
          <w:ilvl w:val="1"/>
          <w:numId w:val="29"/>
        </w:numPr>
      </w:pPr>
      <w:r w:rsidRPr="00506655">
        <w:t>Global procurement optimization</w:t>
      </w:r>
    </w:p>
    <w:p w14:paraId="447E49CB" w14:textId="77777777" w:rsidR="00506655" w:rsidRPr="00506655" w:rsidRDefault="00506655" w:rsidP="00506655">
      <w:pPr>
        <w:numPr>
          <w:ilvl w:val="1"/>
          <w:numId w:val="29"/>
        </w:numPr>
      </w:pPr>
      <w:r w:rsidRPr="00506655">
        <w:t>Facility rationalization</w:t>
      </w:r>
    </w:p>
    <w:p w14:paraId="3BE1DAB2" w14:textId="77777777" w:rsidR="00506655" w:rsidRPr="00506655" w:rsidRDefault="00506655" w:rsidP="00506655">
      <w:pPr>
        <w:numPr>
          <w:ilvl w:val="1"/>
          <w:numId w:val="29"/>
        </w:numPr>
      </w:pPr>
      <w:r w:rsidRPr="00506655">
        <w:t>Shared distribution networks</w:t>
      </w:r>
    </w:p>
    <w:p w14:paraId="628FB25B" w14:textId="77777777" w:rsidR="00506655" w:rsidRPr="00506655" w:rsidRDefault="00506655" w:rsidP="00506655">
      <w:r w:rsidRPr="00506655">
        <w:rPr>
          <w:b/>
          <w:bCs/>
        </w:rPr>
        <w:lastRenderedPageBreak/>
        <w:t>Efficiency Metrics:</w:t>
      </w:r>
    </w:p>
    <w:p w14:paraId="3DBA4924" w14:textId="77777777" w:rsidR="00506655" w:rsidRPr="00506655" w:rsidRDefault="00506655" w:rsidP="00506655">
      <w:pPr>
        <w:numPr>
          <w:ilvl w:val="0"/>
          <w:numId w:val="30"/>
        </w:numPr>
      </w:pPr>
      <w:r w:rsidRPr="00506655">
        <w:t>SG&amp;A as a % of revenue has declined from ~10% to ~7.5% over the past 5 years.</w:t>
      </w:r>
    </w:p>
    <w:p w14:paraId="2E94BC20" w14:textId="77777777" w:rsidR="00506655" w:rsidRPr="00506655" w:rsidRDefault="00506655" w:rsidP="00506655">
      <w:pPr>
        <w:numPr>
          <w:ilvl w:val="0"/>
          <w:numId w:val="30"/>
        </w:numPr>
      </w:pPr>
      <w:proofErr w:type="gramStart"/>
      <w:r w:rsidRPr="00506655">
        <w:t>Average</w:t>
      </w:r>
      <w:proofErr w:type="gramEnd"/>
      <w:r w:rsidRPr="00506655">
        <w:t xml:space="preserve"> operating margin has improved due to procurement centralization and fixed cost absorption.</w:t>
      </w:r>
    </w:p>
    <w:p w14:paraId="1B01ED7F" w14:textId="77777777" w:rsidR="00506655" w:rsidRPr="00506655" w:rsidRDefault="00506655" w:rsidP="00506655">
      <w:r w:rsidRPr="00506655">
        <w:rPr>
          <w:b/>
          <w:bCs/>
        </w:rPr>
        <w:t>Implication</w:t>
      </w:r>
      <w:r w:rsidRPr="00506655">
        <w:t>:</w:t>
      </w:r>
      <w:r w:rsidRPr="00506655">
        <w:br/>
        <w:t>Each successful integration enhances Berry’s scale advantage, enabling margin expansion and stronger pricing leverage, particularly in commodity-sensitive segments like flexible packaging and films.</w:t>
      </w:r>
    </w:p>
    <w:p w14:paraId="677E5DD1" w14:textId="77777777" w:rsidR="00506655" w:rsidRPr="00506655" w:rsidRDefault="00506655" w:rsidP="00506655"/>
    <w:p w14:paraId="6DFB2B74" w14:textId="1280ED41" w:rsidR="008A38A8" w:rsidRDefault="00521C80">
      <w:pPr>
        <w:pStyle w:val="Heading1"/>
      </w:pPr>
      <w:r>
        <w:t>8. Risks and Challenges</w:t>
      </w:r>
    </w:p>
    <w:p w14:paraId="4E91E93D" w14:textId="77777777" w:rsidR="00506655" w:rsidRPr="00506655" w:rsidRDefault="00506655" w:rsidP="00506655">
      <w:pPr>
        <w:rPr>
          <w:b/>
          <w:bCs/>
        </w:rPr>
      </w:pPr>
      <w:r w:rsidRPr="00506655">
        <w:rPr>
          <w:b/>
          <w:bCs/>
        </w:rPr>
        <w:t>1. Resin and Raw Material Price Volatility</w:t>
      </w:r>
    </w:p>
    <w:p w14:paraId="4EAD95D0" w14:textId="77777777" w:rsidR="00506655" w:rsidRPr="00506655" w:rsidRDefault="00506655" w:rsidP="00506655">
      <w:r w:rsidRPr="00506655">
        <w:t xml:space="preserve">Berry relies heavily on </w:t>
      </w:r>
      <w:r w:rsidRPr="00506655">
        <w:rPr>
          <w:b/>
          <w:bCs/>
        </w:rPr>
        <w:t>polyethylene, polypropylene, polystyrene</w:t>
      </w:r>
      <w:r w:rsidRPr="00506655">
        <w:t xml:space="preserve">, and other petrochemical-based resins for its manufacturing processes. These materials account for a </w:t>
      </w:r>
      <w:r w:rsidRPr="00506655">
        <w:rPr>
          <w:b/>
          <w:bCs/>
        </w:rPr>
        <w:t>significant portion of Berry’s cost of goods sold (</w:t>
      </w:r>
      <w:proofErr w:type="gramStart"/>
      <w:r w:rsidRPr="00506655">
        <w:rPr>
          <w:b/>
          <w:bCs/>
        </w:rPr>
        <w:t>COGS)</w:t>
      </w:r>
      <w:r w:rsidRPr="00506655">
        <w:t>—</w:t>
      </w:r>
      <w:proofErr w:type="gramEnd"/>
      <w:r w:rsidRPr="00506655">
        <w:t xml:space="preserve">often up to </w:t>
      </w:r>
      <w:r w:rsidRPr="00506655">
        <w:rPr>
          <w:b/>
          <w:bCs/>
        </w:rPr>
        <w:t>60% in certain divisions</w:t>
      </w:r>
      <w:r w:rsidRPr="00506655">
        <w:t>.</w:t>
      </w:r>
    </w:p>
    <w:p w14:paraId="74591F6E" w14:textId="77777777" w:rsidR="00506655" w:rsidRPr="00506655" w:rsidRDefault="00506655" w:rsidP="00506655">
      <w:r w:rsidRPr="00506655">
        <w:rPr>
          <w:b/>
          <w:bCs/>
        </w:rPr>
        <w:t>Risk Details:</w:t>
      </w:r>
    </w:p>
    <w:p w14:paraId="1A17BB1F" w14:textId="77777777" w:rsidR="00506655" w:rsidRPr="00506655" w:rsidRDefault="00506655" w:rsidP="00506655">
      <w:pPr>
        <w:numPr>
          <w:ilvl w:val="0"/>
          <w:numId w:val="31"/>
        </w:numPr>
      </w:pPr>
      <w:r w:rsidRPr="00506655">
        <w:t xml:space="preserve">Resin prices are tied to </w:t>
      </w:r>
      <w:r w:rsidRPr="00506655">
        <w:rPr>
          <w:b/>
          <w:bCs/>
        </w:rPr>
        <w:t>oil and gas markets</w:t>
      </w:r>
      <w:r w:rsidRPr="00506655">
        <w:t>, which are volatile due to geopolitical tensions, OPEC decisions, and global energy policy shifts.</w:t>
      </w:r>
    </w:p>
    <w:p w14:paraId="1B7246FE" w14:textId="77777777" w:rsidR="00506655" w:rsidRPr="00506655" w:rsidRDefault="00506655" w:rsidP="00506655">
      <w:pPr>
        <w:numPr>
          <w:ilvl w:val="0"/>
          <w:numId w:val="31"/>
        </w:numPr>
      </w:pPr>
      <w:r w:rsidRPr="00506655">
        <w:t xml:space="preserve">Unexpected spikes in resin prices can </w:t>
      </w:r>
      <w:r w:rsidRPr="00506655">
        <w:rPr>
          <w:b/>
          <w:bCs/>
        </w:rPr>
        <w:t>compress margins</w:t>
      </w:r>
      <w:r w:rsidRPr="00506655">
        <w:t>, especially if Berry cannot pass through costs immediately to customers under contract terms.</w:t>
      </w:r>
    </w:p>
    <w:p w14:paraId="0A1A30A1" w14:textId="77777777" w:rsidR="00506655" w:rsidRPr="00506655" w:rsidRDefault="00506655" w:rsidP="00506655">
      <w:pPr>
        <w:numPr>
          <w:ilvl w:val="0"/>
          <w:numId w:val="31"/>
        </w:numPr>
      </w:pPr>
      <w:r w:rsidRPr="00506655">
        <w:t xml:space="preserve">Berry operates with some </w:t>
      </w:r>
      <w:r w:rsidRPr="00506655">
        <w:rPr>
          <w:b/>
          <w:bCs/>
        </w:rPr>
        <w:t>hedging strategies</w:t>
      </w:r>
      <w:r w:rsidRPr="00506655">
        <w:t xml:space="preserve"> and uses </w:t>
      </w:r>
      <w:r w:rsidRPr="00506655">
        <w:rPr>
          <w:b/>
          <w:bCs/>
        </w:rPr>
        <w:t>short-term pricing pass-through mechanisms</w:t>
      </w:r>
      <w:r w:rsidRPr="00506655">
        <w:t>, but there remains a timing mismatch risk.</w:t>
      </w:r>
    </w:p>
    <w:p w14:paraId="29C8465D" w14:textId="77777777" w:rsidR="00506655" w:rsidRPr="00506655" w:rsidRDefault="00506655" w:rsidP="00506655">
      <w:r w:rsidRPr="00506655">
        <w:rPr>
          <w:b/>
          <w:bCs/>
        </w:rPr>
        <w:t>Recent Example:</w:t>
      </w:r>
      <w:r w:rsidRPr="00506655">
        <w:br/>
        <w:t>During the post-COVID supply chain shock (2021–2022), resin prices surged over 30%, leading to temporary gross margin compression across the industry.</w:t>
      </w:r>
    </w:p>
    <w:p w14:paraId="41E5FC1D" w14:textId="77777777" w:rsidR="00506655" w:rsidRPr="00506655" w:rsidRDefault="00506655" w:rsidP="00506655">
      <w:pPr>
        <w:rPr>
          <w:b/>
          <w:bCs/>
        </w:rPr>
      </w:pPr>
      <w:r w:rsidRPr="00506655">
        <w:rPr>
          <w:b/>
          <w:bCs/>
        </w:rPr>
        <w:t>2. Regulatory Restrictions on Plastics</w:t>
      </w:r>
    </w:p>
    <w:p w14:paraId="2F05C319" w14:textId="77777777" w:rsidR="00506655" w:rsidRPr="00506655" w:rsidRDefault="00506655" w:rsidP="00506655">
      <w:r w:rsidRPr="00506655">
        <w:t>The global packaging industry faces increasing scrutiny due to the environmental impact of single-use plastics. Governments worldwide are implementing bans, taxes, and extended producer responsibility (EPR) programs to reduce plastic waste and encourage recyclability.</w:t>
      </w:r>
    </w:p>
    <w:p w14:paraId="0B1A5267" w14:textId="77777777" w:rsidR="00506655" w:rsidRPr="00506655" w:rsidRDefault="00506655" w:rsidP="00506655">
      <w:r w:rsidRPr="00506655">
        <w:rPr>
          <w:b/>
          <w:bCs/>
        </w:rPr>
        <w:t>Key Regulatory Pressures:</w:t>
      </w:r>
    </w:p>
    <w:p w14:paraId="0BD7F55D" w14:textId="77777777" w:rsidR="00506655" w:rsidRPr="00506655" w:rsidRDefault="00506655" w:rsidP="00506655">
      <w:pPr>
        <w:numPr>
          <w:ilvl w:val="0"/>
          <w:numId w:val="32"/>
        </w:numPr>
      </w:pPr>
      <w:r w:rsidRPr="00506655">
        <w:rPr>
          <w:b/>
          <w:bCs/>
        </w:rPr>
        <w:lastRenderedPageBreak/>
        <w:t>European Union</w:t>
      </w:r>
      <w:r w:rsidRPr="00506655">
        <w:t>: Single-Use Plastics Directive banning certain plastic products, with strict recyclability goals for 2030.</w:t>
      </w:r>
    </w:p>
    <w:p w14:paraId="76ECB03F" w14:textId="77777777" w:rsidR="00506655" w:rsidRPr="00506655" w:rsidRDefault="00506655" w:rsidP="00506655">
      <w:pPr>
        <w:numPr>
          <w:ilvl w:val="0"/>
          <w:numId w:val="32"/>
        </w:numPr>
      </w:pPr>
      <w:r w:rsidRPr="00506655">
        <w:rPr>
          <w:b/>
          <w:bCs/>
        </w:rPr>
        <w:t>United States</w:t>
      </w:r>
      <w:r w:rsidRPr="00506655">
        <w:t>: State-level bans (e.g., California, New York) on plastic bags, straws, and EPS containers.</w:t>
      </w:r>
    </w:p>
    <w:p w14:paraId="71325B51" w14:textId="77777777" w:rsidR="00506655" w:rsidRPr="00506655" w:rsidRDefault="00506655" w:rsidP="00506655">
      <w:pPr>
        <w:numPr>
          <w:ilvl w:val="0"/>
          <w:numId w:val="32"/>
        </w:numPr>
      </w:pPr>
      <w:r w:rsidRPr="00506655">
        <w:rPr>
          <w:b/>
          <w:bCs/>
        </w:rPr>
        <w:t>Canada, India, UK</w:t>
      </w:r>
      <w:r w:rsidRPr="00506655">
        <w:t>: Implementation of EPR frameworks requiring producers to manage end-of-life product waste.</w:t>
      </w:r>
    </w:p>
    <w:p w14:paraId="33E62B23" w14:textId="77777777" w:rsidR="00506655" w:rsidRPr="00506655" w:rsidRDefault="00506655" w:rsidP="00506655">
      <w:r w:rsidRPr="00506655">
        <w:rPr>
          <w:b/>
          <w:bCs/>
        </w:rPr>
        <w:t>Implications for Berry:</w:t>
      </w:r>
    </w:p>
    <w:p w14:paraId="2011A92B" w14:textId="77777777" w:rsidR="00506655" w:rsidRPr="00506655" w:rsidRDefault="00506655" w:rsidP="00506655">
      <w:pPr>
        <w:numPr>
          <w:ilvl w:val="0"/>
          <w:numId w:val="33"/>
        </w:numPr>
      </w:pPr>
      <w:r w:rsidRPr="00506655">
        <w:t xml:space="preserve">Regulatory costs may rise (e.g., compliance, </w:t>
      </w:r>
      <w:proofErr w:type="gramStart"/>
      <w:r w:rsidRPr="00506655">
        <w:t>labeling</w:t>
      </w:r>
      <w:proofErr w:type="gramEnd"/>
      <w:r w:rsidRPr="00506655">
        <w:t>, reporting).</w:t>
      </w:r>
    </w:p>
    <w:p w14:paraId="6093AD16" w14:textId="77777777" w:rsidR="00506655" w:rsidRPr="00506655" w:rsidRDefault="00506655" w:rsidP="00506655">
      <w:pPr>
        <w:numPr>
          <w:ilvl w:val="0"/>
          <w:numId w:val="33"/>
        </w:numPr>
      </w:pPr>
      <w:r w:rsidRPr="00506655">
        <w:t xml:space="preserve">Certain legacy products could face </w:t>
      </w:r>
      <w:r w:rsidRPr="00506655">
        <w:rPr>
          <w:b/>
          <w:bCs/>
        </w:rPr>
        <w:t>phase-out</w:t>
      </w:r>
      <w:r w:rsidRPr="00506655">
        <w:t xml:space="preserve"> if not converted to sustainable formats.</w:t>
      </w:r>
    </w:p>
    <w:p w14:paraId="1C64165C" w14:textId="77777777" w:rsidR="00506655" w:rsidRPr="00506655" w:rsidRDefault="00506655" w:rsidP="00506655">
      <w:pPr>
        <w:numPr>
          <w:ilvl w:val="0"/>
          <w:numId w:val="33"/>
        </w:numPr>
      </w:pPr>
      <w:r w:rsidRPr="00506655">
        <w:t xml:space="preserve">While Berry is investing in circular packaging (e.g., Verdant™), regulatory adaptation requires </w:t>
      </w:r>
      <w:r w:rsidRPr="00506655">
        <w:rPr>
          <w:b/>
          <w:bCs/>
        </w:rPr>
        <w:t>R&amp;D investment and agility</w:t>
      </w:r>
      <w:r w:rsidRPr="00506655">
        <w:t>.</w:t>
      </w:r>
    </w:p>
    <w:p w14:paraId="3BFFE2CF" w14:textId="77777777" w:rsidR="00506655" w:rsidRPr="00506655" w:rsidRDefault="00506655" w:rsidP="00506655">
      <w:pPr>
        <w:rPr>
          <w:b/>
          <w:bCs/>
        </w:rPr>
      </w:pPr>
      <w:r w:rsidRPr="00506655">
        <w:rPr>
          <w:b/>
          <w:bCs/>
        </w:rPr>
        <w:t>3. Foreign Exchange (FX) Risk Due to Global Operations</w:t>
      </w:r>
    </w:p>
    <w:p w14:paraId="62ACF225" w14:textId="77777777" w:rsidR="00506655" w:rsidRPr="00506655" w:rsidRDefault="00506655" w:rsidP="00506655">
      <w:r w:rsidRPr="00506655">
        <w:t xml:space="preserve">Berry generates over </w:t>
      </w:r>
      <w:r w:rsidRPr="00506655">
        <w:rPr>
          <w:b/>
          <w:bCs/>
        </w:rPr>
        <w:t>40% of its revenue outside the United States</w:t>
      </w:r>
      <w:r w:rsidRPr="00506655">
        <w:t xml:space="preserve">, primarily in Europe, Latin America, and Asia. This global exposure subjects the company to significant </w:t>
      </w:r>
      <w:r w:rsidRPr="00506655">
        <w:rPr>
          <w:b/>
          <w:bCs/>
        </w:rPr>
        <w:t>foreign currency risk</w:t>
      </w:r>
      <w:r w:rsidRPr="00506655">
        <w:t>, particularly in:</w:t>
      </w:r>
    </w:p>
    <w:p w14:paraId="1FD25234" w14:textId="77777777" w:rsidR="00506655" w:rsidRPr="00506655" w:rsidRDefault="00506655" w:rsidP="00506655">
      <w:pPr>
        <w:numPr>
          <w:ilvl w:val="0"/>
          <w:numId w:val="34"/>
        </w:numPr>
      </w:pPr>
      <w:r w:rsidRPr="00506655">
        <w:rPr>
          <w:b/>
          <w:bCs/>
        </w:rPr>
        <w:t>Euro (EUR)</w:t>
      </w:r>
      <w:r w:rsidRPr="00506655">
        <w:t>: From European RPC operations</w:t>
      </w:r>
    </w:p>
    <w:p w14:paraId="62A869C8" w14:textId="77777777" w:rsidR="00506655" w:rsidRPr="00506655" w:rsidRDefault="00506655" w:rsidP="00506655">
      <w:pPr>
        <w:numPr>
          <w:ilvl w:val="0"/>
          <w:numId w:val="34"/>
        </w:numPr>
      </w:pPr>
      <w:r w:rsidRPr="00506655">
        <w:rPr>
          <w:b/>
          <w:bCs/>
        </w:rPr>
        <w:t>Brazilian Real (BRL)</w:t>
      </w:r>
      <w:r w:rsidRPr="00506655">
        <w:t xml:space="preserve"> and </w:t>
      </w:r>
      <w:r w:rsidRPr="00506655">
        <w:rPr>
          <w:b/>
          <w:bCs/>
        </w:rPr>
        <w:t>Mexican Peso (MXN)</w:t>
      </w:r>
      <w:r w:rsidRPr="00506655">
        <w:t>: From LATAM operations</w:t>
      </w:r>
    </w:p>
    <w:p w14:paraId="71EF1623" w14:textId="77777777" w:rsidR="00506655" w:rsidRPr="00506655" w:rsidRDefault="00506655" w:rsidP="00506655">
      <w:pPr>
        <w:numPr>
          <w:ilvl w:val="0"/>
          <w:numId w:val="34"/>
        </w:numPr>
      </w:pPr>
      <w:r w:rsidRPr="00506655">
        <w:rPr>
          <w:b/>
          <w:bCs/>
        </w:rPr>
        <w:t>Chinese Yuan (CNY)</w:t>
      </w:r>
      <w:r w:rsidRPr="00506655">
        <w:t xml:space="preserve"> and </w:t>
      </w:r>
      <w:r w:rsidRPr="00506655">
        <w:rPr>
          <w:b/>
          <w:bCs/>
        </w:rPr>
        <w:t>Indian Rupee (INR)</w:t>
      </w:r>
    </w:p>
    <w:p w14:paraId="7C313FE9" w14:textId="77777777" w:rsidR="00506655" w:rsidRPr="00506655" w:rsidRDefault="00506655" w:rsidP="00506655">
      <w:r w:rsidRPr="00506655">
        <w:rPr>
          <w:b/>
          <w:bCs/>
        </w:rPr>
        <w:t>Risk Factors:</w:t>
      </w:r>
    </w:p>
    <w:p w14:paraId="086DCFF3" w14:textId="77777777" w:rsidR="00506655" w:rsidRPr="00506655" w:rsidRDefault="00506655" w:rsidP="00506655">
      <w:pPr>
        <w:numPr>
          <w:ilvl w:val="0"/>
          <w:numId w:val="35"/>
        </w:numPr>
      </w:pPr>
      <w:r w:rsidRPr="00506655">
        <w:t>Revenue and expenses are often denominated in different currencies, leading to mismatches in profitability.</w:t>
      </w:r>
    </w:p>
    <w:p w14:paraId="77CF4BF4" w14:textId="77777777" w:rsidR="00506655" w:rsidRPr="00506655" w:rsidRDefault="00506655" w:rsidP="00506655">
      <w:pPr>
        <w:numPr>
          <w:ilvl w:val="0"/>
          <w:numId w:val="35"/>
        </w:numPr>
      </w:pPr>
      <w:r w:rsidRPr="00506655">
        <w:t xml:space="preserve">Sudden currency depreciations can </w:t>
      </w:r>
      <w:r w:rsidRPr="00506655">
        <w:rPr>
          <w:b/>
          <w:bCs/>
        </w:rPr>
        <w:t>reduce reported revenue and earnings</w:t>
      </w:r>
      <w:r w:rsidRPr="00506655">
        <w:t xml:space="preserve"> when translated into USD.</w:t>
      </w:r>
    </w:p>
    <w:p w14:paraId="66A1D60F" w14:textId="77777777" w:rsidR="00506655" w:rsidRPr="00506655" w:rsidRDefault="00506655" w:rsidP="00506655">
      <w:pPr>
        <w:numPr>
          <w:ilvl w:val="0"/>
          <w:numId w:val="35"/>
        </w:numPr>
      </w:pPr>
      <w:r w:rsidRPr="00506655">
        <w:t>Hedging strategies are employed but may not fully offset long-term currency swings.</w:t>
      </w:r>
    </w:p>
    <w:p w14:paraId="699DF88E" w14:textId="77777777" w:rsidR="00506655" w:rsidRPr="00506655" w:rsidRDefault="00506655" w:rsidP="00506655">
      <w:r w:rsidRPr="00506655">
        <w:rPr>
          <w:b/>
          <w:bCs/>
        </w:rPr>
        <w:t>Implication:</w:t>
      </w:r>
      <w:r w:rsidRPr="00506655">
        <w:br/>
        <w:t>FX risk can distort operating performance and may impact valuation multiples if not managed transparently. It also complicates financial forecasting and earnings visibility for investors.</w:t>
      </w:r>
    </w:p>
    <w:p w14:paraId="05F57891" w14:textId="77777777" w:rsidR="00506655" w:rsidRPr="00506655" w:rsidRDefault="00506655" w:rsidP="00506655">
      <w:pPr>
        <w:rPr>
          <w:b/>
          <w:bCs/>
        </w:rPr>
      </w:pPr>
      <w:r w:rsidRPr="00506655">
        <w:rPr>
          <w:b/>
          <w:bCs/>
        </w:rPr>
        <w:t>4. Market Competition and Integration Risk from Acquisitions</w:t>
      </w:r>
    </w:p>
    <w:p w14:paraId="351F07A7" w14:textId="77777777" w:rsidR="00506655" w:rsidRPr="00506655" w:rsidRDefault="00506655" w:rsidP="00506655">
      <w:r w:rsidRPr="00506655">
        <w:lastRenderedPageBreak/>
        <w:t xml:space="preserve">Berry competes with </w:t>
      </w:r>
      <w:r w:rsidRPr="00506655">
        <w:rPr>
          <w:b/>
          <w:bCs/>
        </w:rPr>
        <w:t>global players</w:t>
      </w:r>
      <w:r w:rsidRPr="00506655">
        <w:t xml:space="preserve"> (e.</w:t>
      </w:r>
      <w:proofErr w:type="gramStart"/>
      <w:r w:rsidRPr="00506655">
        <w:t>g.,</w:t>
      </w:r>
      <w:proofErr w:type="gramEnd"/>
      <w:r w:rsidRPr="00506655">
        <w:t xml:space="preserve"> Amcor, Sealed Air, Silgan) as well as </w:t>
      </w:r>
      <w:r w:rsidRPr="00506655">
        <w:rPr>
          <w:b/>
          <w:bCs/>
        </w:rPr>
        <w:t>regional niche manufacturers</w:t>
      </w:r>
      <w:r w:rsidRPr="00506655">
        <w:t>, particularly in emerging markets with lower production costs.</w:t>
      </w:r>
    </w:p>
    <w:p w14:paraId="02755542" w14:textId="77777777" w:rsidR="00506655" w:rsidRPr="00506655" w:rsidRDefault="00506655" w:rsidP="00506655">
      <w:r w:rsidRPr="00506655">
        <w:rPr>
          <w:b/>
          <w:bCs/>
        </w:rPr>
        <w:t>Competitive Pressures:</w:t>
      </w:r>
    </w:p>
    <w:p w14:paraId="6A54724E" w14:textId="77777777" w:rsidR="00506655" w:rsidRPr="00506655" w:rsidRDefault="00506655" w:rsidP="00506655">
      <w:pPr>
        <w:numPr>
          <w:ilvl w:val="0"/>
          <w:numId w:val="36"/>
        </w:numPr>
      </w:pPr>
      <w:r w:rsidRPr="00506655">
        <w:t>Price-based competition in commoditized products like films and containers.</w:t>
      </w:r>
    </w:p>
    <w:p w14:paraId="44B2166B" w14:textId="77777777" w:rsidR="00506655" w:rsidRPr="00506655" w:rsidRDefault="00506655" w:rsidP="00506655">
      <w:pPr>
        <w:numPr>
          <w:ilvl w:val="0"/>
          <w:numId w:val="36"/>
        </w:numPr>
      </w:pPr>
      <w:r w:rsidRPr="00506655">
        <w:t>Innovation-driven competition in areas like smart packaging and biodegradable solutions.</w:t>
      </w:r>
    </w:p>
    <w:p w14:paraId="7F12EFEB" w14:textId="77777777" w:rsidR="00506655" w:rsidRPr="00506655" w:rsidRDefault="00506655" w:rsidP="00506655">
      <w:pPr>
        <w:numPr>
          <w:ilvl w:val="0"/>
          <w:numId w:val="36"/>
        </w:numPr>
      </w:pPr>
      <w:r w:rsidRPr="00506655">
        <w:t>Loss of large customers or inability to meet sustainability benchmarks may result in market share erosion.</w:t>
      </w:r>
    </w:p>
    <w:p w14:paraId="148AFD8A" w14:textId="77777777" w:rsidR="00506655" w:rsidRPr="00506655" w:rsidRDefault="00506655" w:rsidP="00506655">
      <w:r w:rsidRPr="00506655">
        <w:rPr>
          <w:b/>
          <w:bCs/>
        </w:rPr>
        <w:t>Integration Risk:</w:t>
      </w:r>
    </w:p>
    <w:p w14:paraId="332D51A7" w14:textId="77777777" w:rsidR="00506655" w:rsidRPr="00506655" w:rsidRDefault="00506655" w:rsidP="00506655">
      <w:pPr>
        <w:numPr>
          <w:ilvl w:val="0"/>
          <w:numId w:val="37"/>
        </w:numPr>
      </w:pPr>
      <w:r w:rsidRPr="00506655">
        <w:t xml:space="preserve">Berry’s growth strategy relies heavily on </w:t>
      </w:r>
      <w:r w:rsidRPr="00506655">
        <w:rPr>
          <w:b/>
          <w:bCs/>
        </w:rPr>
        <w:t>acquisitions</w:t>
      </w:r>
      <w:r w:rsidRPr="00506655">
        <w:t xml:space="preserve">, including the upcoming </w:t>
      </w:r>
      <w:r w:rsidRPr="00506655">
        <w:rPr>
          <w:b/>
          <w:bCs/>
        </w:rPr>
        <w:t>$8.4B merger with Amcor</w:t>
      </w:r>
      <w:r w:rsidRPr="00506655">
        <w:t>.</w:t>
      </w:r>
    </w:p>
    <w:p w14:paraId="6CA2482F" w14:textId="77777777" w:rsidR="00506655" w:rsidRPr="00506655" w:rsidRDefault="00506655" w:rsidP="00506655">
      <w:pPr>
        <w:numPr>
          <w:ilvl w:val="0"/>
          <w:numId w:val="37"/>
        </w:numPr>
      </w:pPr>
      <w:r w:rsidRPr="00506655">
        <w:t>Large-scale integrations introduce complexity across IT systems, cultural alignment, supply chain harmonization, and brand portfolio management.</w:t>
      </w:r>
    </w:p>
    <w:p w14:paraId="28B82F15" w14:textId="77777777" w:rsidR="00506655" w:rsidRPr="00506655" w:rsidRDefault="00506655" w:rsidP="00506655">
      <w:pPr>
        <w:numPr>
          <w:ilvl w:val="0"/>
          <w:numId w:val="37"/>
        </w:numPr>
      </w:pPr>
      <w:r w:rsidRPr="00506655">
        <w:rPr>
          <w:b/>
          <w:bCs/>
        </w:rPr>
        <w:t>Synergy realization delays</w:t>
      </w:r>
      <w:r w:rsidRPr="00506655">
        <w:t xml:space="preserve"> or underperformance of acquired assets could dilute shareholder value.</w:t>
      </w:r>
    </w:p>
    <w:p w14:paraId="3CF303C8" w14:textId="77777777" w:rsidR="00506655" w:rsidRPr="00506655" w:rsidRDefault="00506655" w:rsidP="00506655">
      <w:r w:rsidRPr="00506655">
        <w:rPr>
          <w:b/>
          <w:bCs/>
        </w:rPr>
        <w:t>Example:</w:t>
      </w:r>
      <w:r w:rsidRPr="00506655">
        <w:br/>
      </w:r>
      <w:proofErr w:type="gramStart"/>
      <w:r w:rsidRPr="00506655">
        <w:t>Post-acquisition</w:t>
      </w:r>
      <w:proofErr w:type="gramEnd"/>
      <w:r w:rsidRPr="00506655">
        <w:t xml:space="preserve"> store closures, restructuring costs, or retention challenges (e.g., RPC transition) highlight the need for rigorous post-merger execution.</w:t>
      </w:r>
    </w:p>
    <w:p w14:paraId="2874F791" w14:textId="77777777" w:rsidR="008A38A8" w:rsidRDefault="00521C80">
      <w:pPr>
        <w:pStyle w:val="Heading1"/>
      </w:pPr>
      <w:r>
        <w:t>10. Recommendation &amp; Conclusion</w:t>
      </w:r>
    </w:p>
    <w:p w14:paraId="5B0CAA96" w14:textId="77777777" w:rsidR="00034B47" w:rsidRPr="00034B47" w:rsidRDefault="00034B47" w:rsidP="00034B47">
      <w:pPr>
        <w:rPr>
          <w:b/>
          <w:bCs/>
        </w:rPr>
      </w:pPr>
      <w:r w:rsidRPr="00034B47">
        <w:rPr>
          <w:b/>
          <w:bCs/>
        </w:rPr>
        <w:t>Final Investment Rating: BUY</w:t>
      </w:r>
    </w:p>
    <w:p w14:paraId="0FF9320F" w14:textId="77777777" w:rsidR="00034B47" w:rsidRPr="00034B47" w:rsidRDefault="00034B47" w:rsidP="00034B47">
      <w:r w:rsidRPr="00034B47">
        <w:t xml:space="preserve">After a comprehensive analysis of Berry Global’s financials, market position, valuation, strategic initiatives, and risk profile, we issue a </w:t>
      </w:r>
      <w:r w:rsidRPr="00034B47">
        <w:rPr>
          <w:b/>
          <w:bCs/>
        </w:rPr>
        <w:t>BUY</w:t>
      </w:r>
      <w:r w:rsidRPr="00034B47">
        <w:t xml:space="preserve"> recommendation. Berry represents a </w:t>
      </w:r>
      <w:r w:rsidRPr="00034B47">
        <w:rPr>
          <w:b/>
          <w:bCs/>
        </w:rPr>
        <w:t>value play with embedded growth optionality</w:t>
      </w:r>
      <w:r w:rsidRPr="00034B47">
        <w:t xml:space="preserve">, supported by robust fundamentals and forward-looking </w:t>
      </w:r>
      <w:proofErr w:type="gramStart"/>
      <w:r w:rsidRPr="00034B47">
        <w:t>strategy</w:t>
      </w:r>
      <w:proofErr w:type="gramEnd"/>
      <w:r w:rsidRPr="00034B47">
        <w:t xml:space="preserve"> in sustainability and innovation.</w:t>
      </w:r>
    </w:p>
    <w:p w14:paraId="4763A908" w14:textId="77777777" w:rsidR="00034B47" w:rsidRPr="00034B47" w:rsidRDefault="00034B47" w:rsidP="00034B47">
      <w:pPr>
        <w:rPr>
          <w:b/>
          <w:bCs/>
        </w:rPr>
      </w:pPr>
      <w:r w:rsidRPr="00034B47">
        <w:rPr>
          <w:b/>
          <w:bCs/>
        </w:rPr>
        <w:t>Strengths Supporting the BUY Rating</w:t>
      </w:r>
    </w:p>
    <w:p w14:paraId="55587890" w14:textId="77777777" w:rsidR="00034B47" w:rsidRPr="00034B47" w:rsidRDefault="00034B47" w:rsidP="00034B47">
      <w:pPr>
        <w:rPr>
          <w:b/>
          <w:bCs/>
        </w:rPr>
      </w:pPr>
      <w:r w:rsidRPr="00034B47">
        <w:rPr>
          <w:b/>
          <w:bCs/>
        </w:rPr>
        <w:t>1. Strong Free Cash Flow and Capital Discipline</w:t>
      </w:r>
    </w:p>
    <w:p w14:paraId="3E16124A" w14:textId="77777777" w:rsidR="00034B47" w:rsidRPr="00034B47" w:rsidRDefault="00034B47" w:rsidP="00034B47">
      <w:r w:rsidRPr="00034B47">
        <w:t xml:space="preserve">Berry consistently generates </w:t>
      </w:r>
      <w:r w:rsidRPr="00034B47">
        <w:rPr>
          <w:b/>
          <w:bCs/>
        </w:rPr>
        <w:t>&gt;$750 million in free cash flow per year</w:t>
      </w:r>
      <w:r w:rsidRPr="00034B47">
        <w:t xml:space="preserve">, with an FCF </w:t>
      </w:r>
      <w:proofErr w:type="gramStart"/>
      <w:r w:rsidRPr="00034B47">
        <w:t>yield</w:t>
      </w:r>
      <w:proofErr w:type="gramEnd"/>
      <w:r w:rsidRPr="00034B47">
        <w:t xml:space="preserve"> </w:t>
      </w:r>
      <w:proofErr w:type="gramStart"/>
      <w:r w:rsidRPr="00034B47">
        <w:t>near</w:t>
      </w:r>
      <w:proofErr w:type="gramEnd"/>
      <w:r w:rsidRPr="00034B47">
        <w:t xml:space="preserve"> </w:t>
      </w:r>
      <w:r w:rsidRPr="00034B47">
        <w:rPr>
          <w:b/>
          <w:bCs/>
        </w:rPr>
        <w:t>10%</w:t>
      </w:r>
      <w:r w:rsidRPr="00034B47">
        <w:t>, significantly higher than the packaging sector average of ~6%. This level of cash generation provides flexibility for:</w:t>
      </w:r>
    </w:p>
    <w:p w14:paraId="6FC882E3" w14:textId="77777777" w:rsidR="00034B47" w:rsidRPr="00034B47" w:rsidRDefault="00034B47" w:rsidP="00034B47">
      <w:pPr>
        <w:numPr>
          <w:ilvl w:val="0"/>
          <w:numId w:val="38"/>
        </w:numPr>
      </w:pPr>
      <w:r w:rsidRPr="00034B47">
        <w:t>Share buybacks and debt reduction</w:t>
      </w:r>
    </w:p>
    <w:p w14:paraId="7A522EC7" w14:textId="77777777" w:rsidR="00034B47" w:rsidRPr="00034B47" w:rsidRDefault="00034B47" w:rsidP="00034B47">
      <w:pPr>
        <w:numPr>
          <w:ilvl w:val="0"/>
          <w:numId w:val="38"/>
        </w:numPr>
      </w:pPr>
      <w:r w:rsidRPr="00034B47">
        <w:t>Organic and inorganic growth reinvestment</w:t>
      </w:r>
    </w:p>
    <w:p w14:paraId="3DD99349" w14:textId="77777777" w:rsidR="00034B47" w:rsidRPr="00034B47" w:rsidRDefault="00034B47" w:rsidP="00034B47">
      <w:pPr>
        <w:numPr>
          <w:ilvl w:val="0"/>
          <w:numId w:val="38"/>
        </w:numPr>
      </w:pPr>
      <w:r w:rsidRPr="00034B47">
        <w:lastRenderedPageBreak/>
        <w:t>Dividend potential (in future phases)</w:t>
      </w:r>
    </w:p>
    <w:p w14:paraId="5EF42F42" w14:textId="77777777" w:rsidR="00034B47" w:rsidRPr="00034B47" w:rsidRDefault="00034B47" w:rsidP="00034B47">
      <w:r w:rsidRPr="00034B47">
        <w:t xml:space="preserve">Berry’s management has demonstrated disciplined capital allocation, improving </w:t>
      </w:r>
      <w:r w:rsidRPr="00034B47">
        <w:rPr>
          <w:b/>
          <w:bCs/>
        </w:rPr>
        <w:t>net debt/EBITDA from 4.6x in 2020 to ~3.3x in 2024E</w:t>
      </w:r>
      <w:r w:rsidRPr="00034B47">
        <w:t>, while funding strategic acquisitions.</w:t>
      </w:r>
    </w:p>
    <w:p w14:paraId="39561B69" w14:textId="77777777" w:rsidR="00034B47" w:rsidRPr="00034B47" w:rsidRDefault="00034B47" w:rsidP="00034B47">
      <w:pPr>
        <w:rPr>
          <w:b/>
          <w:bCs/>
        </w:rPr>
      </w:pPr>
      <w:r w:rsidRPr="00034B47">
        <w:rPr>
          <w:b/>
          <w:bCs/>
        </w:rPr>
        <w:t>2. Undervalued vs. Peers Despite Strong Performance</w:t>
      </w:r>
    </w:p>
    <w:p w14:paraId="37664D4F" w14:textId="77777777" w:rsidR="00034B47" w:rsidRPr="00034B47" w:rsidRDefault="00034B47" w:rsidP="00034B47">
      <w:r w:rsidRPr="00034B47">
        <w:t>Berry trades at significant valuation discounts: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517"/>
        <w:gridCol w:w="969"/>
      </w:tblGrid>
      <w:tr w:rsidR="00034B47" w:rsidRPr="00034B47" w14:paraId="1C844BD5" w14:textId="77777777" w:rsidTr="00034B47">
        <w:trPr>
          <w:tblHeader/>
          <w:tblCellSpacing w:w="15" w:type="dxa"/>
        </w:trPr>
        <w:tc>
          <w:tcPr>
            <w:tcW w:w="0" w:type="auto"/>
            <w:vAlign w:val="center"/>
            <w:hideMark/>
          </w:tcPr>
          <w:p w14:paraId="6AB09215" w14:textId="77777777" w:rsidR="00034B47" w:rsidRPr="00034B47" w:rsidRDefault="00034B47" w:rsidP="00034B47">
            <w:pPr>
              <w:rPr>
                <w:b/>
                <w:bCs/>
              </w:rPr>
            </w:pPr>
            <w:r w:rsidRPr="00034B47">
              <w:rPr>
                <w:b/>
                <w:bCs/>
              </w:rPr>
              <w:t>Metric</w:t>
            </w:r>
          </w:p>
        </w:tc>
        <w:tc>
          <w:tcPr>
            <w:tcW w:w="0" w:type="auto"/>
            <w:vAlign w:val="center"/>
            <w:hideMark/>
          </w:tcPr>
          <w:p w14:paraId="12E12D49" w14:textId="77777777" w:rsidR="00034B47" w:rsidRPr="00034B47" w:rsidRDefault="00034B47" w:rsidP="00034B47">
            <w:pPr>
              <w:rPr>
                <w:b/>
                <w:bCs/>
              </w:rPr>
            </w:pPr>
            <w:r w:rsidRPr="00034B47">
              <w:rPr>
                <w:b/>
                <w:bCs/>
              </w:rPr>
              <w:t>Berry (2024E)</w:t>
            </w:r>
          </w:p>
        </w:tc>
        <w:tc>
          <w:tcPr>
            <w:tcW w:w="0" w:type="auto"/>
            <w:vAlign w:val="center"/>
            <w:hideMark/>
          </w:tcPr>
          <w:p w14:paraId="63931472" w14:textId="77777777" w:rsidR="00034B47" w:rsidRPr="00034B47" w:rsidRDefault="00034B47" w:rsidP="00034B47">
            <w:pPr>
              <w:rPr>
                <w:b/>
                <w:bCs/>
              </w:rPr>
            </w:pPr>
            <w:r w:rsidRPr="00034B47">
              <w:rPr>
                <w:b/>
                <w:bCs/>
              </w:rPr>
              <w:t>Peer Avg</w:t>
            </w:r>
          </w:p>
        </w:tc>
      </w:tr>
      <w:tr w:rsidR="00034B47" w:rsidRPr="00034B47" w14:paraId="37953ECC" w14:textId="77777777" w:rsidTr="00034B47">
        <w:trPr>
          <w:tblCellSpacing w:w="15" w:type="dxa"/>
        </w:trPr>
        <w:tc>
          <w:tcPr>
            <w:tcW w:w="0" w:type="auto"/>
            <w:vAlign w:val="center"/>
            <w:hideMark/>
          </w:tcPr>
          <w:p w14:paraId="1A5DEBDE" w14:textId="77777777" w:rsidR="00034B47" w:rsidRPr="00034B47" w:rsidRDefault="00034B47" w:rsidP="00034B47">
            <w:r w:rsidRPr="00034B47">
              <w:t>P/E Ratio</w:t>
            </w:r>
          </w:p>
        </w:tc>
        <w:tc>
          <w:tcPr>
            <w:tcW w:w="0" w:type="auto"/>
            <w:vAlign w:val="center"/>
            <w:hideMark/>
          </w:tcPr>
          <w:p w14:paraId="202E740C" w14:textId="77777777" w:rsidR="00034B47" w:rsidRPr="00034B47" w:rsidRDefault="00034B47" w:rsidP="00034B47">
            <w:r w:rsidRPr="00034B47">
              <w:t>~9.5x</w:t>
            </w:r>
          </w:p>
        </w:tc>
        <w:tc>
          <w:tcPr>
            <w:tcW w:w="0" w:type="auto"/>
            <w:vAlign w:val="center"/>
            <w:hideMark/>
          </w:tcPr>
          <w:p w14:paraId="3126C661" w14:textId="77777777" w:rsidR="00034B47" w:rsidRPr="00034B47" w:rsidRDefault="00034B47" w:rsidP="00034B47">
            <w:r w:rsidRPr="00034B47">
              <w:t>~13.5x</w:t>
            </w:r>
          </w:p>
        </w:tc>
      </w:tr>
      <w:tr w:rsidR="00034B47" w:rsidRPr="00034B47" w14:paraId="501025F0" w14:textId="77777777" w:rsidTr="00034B47">
        <w:trPr>
          <w:tblCellSpacing w:w="15" w:type="dxa"/>
        </w:trPr>
        <w:tc>
          <w:tcPr>
            <w:tcW w:w="0" w:type="auto"/>
            <w:vAlign w:val="center"/>
            <w:hideMark/>
          </w:tcPr>
          <w:p w14:paraId="7396DD7D" w14:textId="77777777" w:rsidR="00034B47" w:rsidRPr="00034B47" w:rsidRDefault="00034B47" w:rsidP="00034B47">
            <w:r w:rsidRPr="00034B47">
              <w:t>EV/EBITDA</w:t>
            </w:r>
          </w:p>
        </w:tc>
        <w:tc>
          <w:tcPr>
            <w:tcW w:w="0" w:type="auto"/>
            <w:vAlign w:val="center"/>
            <w:hideMark/>
          </w:tcPr>
          <w:p w14:paraId="7DBC0C40" w14:textId="77777777" w:rsidR="00034B47" w:rsidRPr="00034B47" w:rsidRDefault="00034B47" w:rsidP="00034B47">
            <w:r w:rsidRPr="00034B47">
              <w:t>~7.8x</w:t>
            </w:r>
          </w:p>
        </w:tc>
        <w:tc>
          <w:tcPr>
            <w:tcW w:w="0" w:type="auto"/>
            <w:vAlign w:val="center"/>
            <w:hideMark/>
          </w:tcPr>
          <w:p w14:paraId="322EFF98" w14:textId="77777777" w:rsidR="00034B47" w:rsidRPr="00034B47" w:rsidRDefault="00034B47" w:rsidP="00034B47">
            <w:r w:rsidRPr="00034B47">
              <w:t>~10.2x</w:t>
            </w:r>
          </w:p>
        </w:tc>
      </w:tr>
    </w:tbl>
    <w:p w14:paraId="168C391D" w14:textId="77777777" w:rsidR="00034B47" w:rsidRPr="00034B47" w:rsidRDefault="00034B47" w:rsidP="00034B47">
      <w:r w:rsidRPr="00034B47">
        <w:t xml:space="preserve">Despite growing EPS at </w:t>
      </w:r>
      <w:r w:rsidRPr="00034B47">
        <w:rPr>
          <w:b/>
          <w:bCs/>
        </w:rPr>
        <w:t>~7.5% CAGR</w:t>
      </w:r>
      <w:r w:rsidRPr="00034B47">
        <w:t xml:space="preserve"> and maintaining stable margins, the stock remains </w:t>
      </w:r>
      <w:r w:rsidRPr="00034B47">
        <w:rPr>
          <w:b/>
          <w:bCs/>
        </w:rPr>
        <w:t>undervalued</w:t>
      </w:r>
      <w:r w:rsidRPr="00034B47">
        <w:t xml:space="preserve">, offering </w:t>
      </w:r>
      <w:r w:rsidRPr="00034B47">
        <w:rPr>
          <w:b/>
          <w:bCs/>
        </w:rPr>
        <w:t>~30–40% potential upside</w:t>
      </w:r>
      <w:r w:rsidRPr="00034B47">
        <w:t xml:space="preserve"> to fair value, especially as synergy benefits from the Amcor merger are realized.</w:t>
      </w:r>
    </w:p>
    <w:p w14:paraId="65E59D8F" w14:textId="77777777" w:rsidR="00034B47" w:rsidRPr="00034B47" w:rsidRDefault="00034B47" w:rsidP="00034B47">
      <w:pPr>
        <w:rPr>
          <w:b/>
          <w:bCs/>
        </w:rPr>
      </w:pPr>
      <w:r w:rsidRPr="00034B47">
        <w:rPr>
          <w:b/>
          <w:bCs/>
        </w:rPr>
        <w:t>3. Strategic Alignment with Sustainability Trends</w:t>
      </w:r>
    </w:p>
    <w:p w14:paraId="34DA58F5" w14:textId="77777777" w:rsidR="00034B47" w:rsidRPr="00034B47" w:rsidRDefault="00034B47" w:rsidP="00034B47">
      <w:r w:rsidRPr="00034B47">
        <w:t>Berry has been proactive in aligning its core business with ESG megatrends:</w:t>
      </w:r>
    </w:p>
    <w:p w14:paraId="379378F5" w14:textId="77777777" w:rsidR="00034B47" w:rsidRPr="00034B47" w:rsidRDefault="00034B47" w:rsidP="00034B47">
      <w:pPr>
        <w:numPr>
          <w:ilvl w:val="0"/>
          <w:numId w:val="39"/>
        </w:numPr>
      </w:pPr>
      <w:r w:rsidRPr="00034B47">
        <w:t xml:space="preserve">Targeting </w:t>
      </w:r>
      <w:r w:rsidRPr="00034B47">
        <w:rPr>
          <w:b/>
          <w:bCs/>
        </w:rPr>
        <w:t>30% PCR (post-consumer recycled) content</w:t>
      </w:r>
      <w:r w:rsidRPr="00034B47">
        <w:t xml:space="preserve"> and </w:t>
      </w:r>
      <w:r w:rsidRPr="00034B47">
        <w:rPr>
          <w:b/>
          <w:bCs/>
        </w:rPr>
        <w:t xml:space="preserve">100% recyclability or </w:t>
      </w:r>
      <w:proofErr w:type="spellStart"/>
      <w:r w:rsidRPr="00034B47">
        <w:rPr>
          <w:b/>
          <w:bCs/>
        </w:rPr>
        <w:t>compostability</w:t>
      </w:r>
      <w:proofErr w:type="spellEnd"/>
      <w:r w:rsidRPr="00034B47">
        <w:rPr>
          <w:b/>
          <w:bCs/>
        </w:rPr>
        <w:t xml:space="preserve"> by 2030</w:t>
      </w:r>
    </w:p>
    <w:p w14:paraId="2F94338F" w14:textId="77777777" w:rsidR="00034B47" w:rsidRPr="00034B47" w:rsidRDefault="00034B47" w:rsidP="00034B47">
      <w:pPr>
        <w:numPr>
          <w:ilvl w:val="0"/>
          <w:numId w:val="39"/>
        </w:numPr>
      </w:pPr>
      <w:r w:rsidRPr="00034B47">
        <w:t xml:space="preserve">Flagship brands like </w:t>
      </w:r>
      <w:r w:rsidRPr="00034B47">
        <w:rPr>
          <w:b/>
          <w:bCs/>
        </w:rPr>
        <w:t>Verdant™</w:t>
      </w:r>
      <w:r w:rsidRPr="00034B47">
        <w:t xml:space="preserve"> and </w:t>
      </w:r>
      <w:proofErr w:type="spellStart"/>
      <w:r w:rsidRPr="00034B47">
        <w:rPr>
          <w:b/>
          <w:bCs/>
        </w:rPr>
        <w:t>Versalite</w:t>
      </w:r>
      <w:proofErr w:type="spellEnd"/>
      <w:r w:rsidRPr="00034B47">
        <w:rPr>
          <w:b/>
          <w:bCs/>
        </w:rPr>
        <w:t>®</w:t>
      </w:r>
      <w:r w:rsidRPr="00034B47">
        <w:t xml:space="preserve"> serve demand for plant-based and lightweight packaging</w:t>
      </w:r>
    </w:p>
    <w:p w14:paraId="638AC5A5" w14:textId="77777777" w:rsidR="00034B47" w:rsidRPr="00034B47" w:rsidRDefault="00034B47" w:rsidP="00034B47">
      <w:pPr>
        <w:numPr>
          <w:ilvl w:val="0"/>
          <w:numId w:val="39"/>
        </w:numPr>
      </w:pPr>
      <w:r w:rsidRPr="00034B47">
        <w:t xml:space="preserve">Sustainability pipeline now accounts for </w:t>
      </w:r>
      <w:r w:rsidRPr="00034B47">
        <w:rPr>
          <w:b/>
          <w:bCs/>
        </w:rPr>
        <w:t>&gt;60% of new product development</w:t>
      </w:r>
    </w:p>
    <w:p w14:paraId="5DCD3CD5" w14:textId="77777777" w:rsidR="00034B47" w:rsidRPr="00034B47" w:rsidRDefault="00034B47" w:rsidP="00034B47">
      <w:r w:rsidRPr="00034B47">
        <w:t xml:space="preserve">As global regulations tighten and CPG companies push for circular packaging, Berry is </w:t>
      </w:r>
      <w:r w:rsidRPr="00034B47">
        <w:rPr>
          <w:b/>
          <w:bCs/>
        </w:rPr>
        <w:t>positioned to lead</w:t>
      </w:r>
      <w:r w:rsidRPr="00034B47">
        <w:t>, not lag, in this transformation.</w:t>
      </w:r>
    </w:p>
    <w:p w14:paraId="5470CF6D" w14:textId="77777777" w:rsidR="00034B47" w:rsidRPr="00034B47" w:rsidRDefault="00034B47" w:rsidP="00034B47">
      <w:pPr>
        <w:rPr>
          <w:b/>
          <w:bCs/>
        </w:rPr>
      </w:pPr>
      <w:r w:rsidRPr="00034B47">
        <w:rPr>
          <w:b/>
          <w:bCs/>
        </w:rPr>
        <w:t>4. M&amp;A and Synergy Execution Expertise</w:t>
      </w:r>
    </w:p>
    <w:p w14:paraId="06D27E50" w14:textId="77777777" w:rsidR="00034B47" w:rsidRPr="00034B47" w:rsidRDefault="00034B47" w:rsidP="00034B47">
      <w:r w:rsidRPr="00034B47">
        <w:t xml:space="preserve">Berry has a proven track record of integrating over </w:t>
      </w:r>
      <w:r w:rsidRPr="00034B47">
        <w:rPr>
          <w:b/>
          <w:bCs/>
        </w:rPr>
        <w:t>40 acquisitions</w:t>
      </w:r>
      <w:r w:rsidRPr="00034B47">
        <w:t xml:space="preserve">, including the high-profile </w:t>
      </w:r>
      <w:r w:rsidRPr="00034B47">
        <w:rPr>
          <w:b/>
          <w:bCs/>
        </w:rPr>
        <w:t>RPC deal (2019)</w:t>
      </w:r>
      <w:r w:rsidRPr="00034B47">
        <w:t>, which was successfully executed and delivered material synergies.</w:t>
      </w:r>
    </w:p>
    <w:p w14:paraId="54448440" w14:textId="77777777" w:rsidR="00034B47" w:rsidRPr="00034B47" w:rsidRDefault="00034B47" w:rsidP="00034B47">
      <w:r w:rsidRPr="00034B47">
        <w:t xml:space="preserve">With the upcoming </w:t>
      </w:r>
      <w:r w:rsidRPr="00034B47">
        <w:rPr>
          <w:b/>
          <w:bCs/>
        </w:rPr>
        <w:t>$8.4B merger with Amcor</w:t>
      </w:r>
      <w:r w:rsidRPr="00034B47">
        <w:t>, Berry is set to unlock:</w:t>
      </w:r>
    </w:p>
    <w:p w14:paraId="63926623" w14:textId="77777777" w:rsidR="00034B47" w:rsidRPr="00034B47" w:rsidRDefault="00034B47" w:rsidP="00034B47">
      <w:pPr>
        <w:numPr>
          <w:ilvl w:val="0"/>
          <w:numId w:val="40"/>
        </w:numPr>
      </w:pPr>
      <w:r w:rsidRPr="00034B47">
        <w:rPr>
          <w:b/>
          <w:bCs/>
        </w:rPr>
        <w:t>$650 million in cost synergies</w:t>
      </w:r>
    </w:p>
    <w:p w14:paraId="02653339" w14:textId="77777777" w:rsidR="00034B47" w:rsidRPr="00034B47" w:rsidRDefault="00034B47" w:rsidP="00034B47">
      <w:pPr>
        <w:numPr>
          <w:ilvl w:val="0"/>
          <w:numId w:val="40"/>
        </w:numPr>
      </w:pPr>
      <w:r w:rsidRPr="00034B47">
        <w:t>Expanded footprint in APAC and Oceania</w:t>
      </w:r>
    </w:p>
    <w:p w14:paraId="7F6AB166" w14:textId="77777777" w:rsidR="00034B47" w:rsidRPr="00034B47" w:rsidRDefault="00034B47" w:rsidP="00034B47">
      <w:pPr>
        <w:numPr>
          <w:ilvl w:val="0"/>
          <w:numId w:val="40"/>
        </w:numPr>
      </w:pPr>
      <w:r w:rsidRPr="00034B47">
        <w:t>Cross-selling and supply chain optimization opportunities</w:t>
      </w:r>
    </w:p>
    <w:p w14:paraId="3B248FE4" w14:textId="77777777" w:rsidR="00034B47" w:rsidRPr="00034B47" w:rsidRDefault="00034B47" w:rsidP="00034B47">
      <w:r w:rsidRPr="00034B47">
        <w:t>This transformational deal strengthens Berry’s global leadership and sets the stage for margin expansion and valuation re-rating.</w:t>
      </w:r>
    </w:p>
    <w:p w14:paraId="06EF3E56" w14:textId="5EE42F23" w:rsidR="00034B47" w:rsidRPr="00034B47" w:rsidRDefault="00034B47" w:rsidP="00034B47">
      <w:pPr>
        <w:rPr>
          <w:b/>
          <w:bCs/>
        </w:rPr>
      </w:pPr>
      <w:r w:rsidRPr="00034B47">
        <w:rPr>
          <w:b/>
          <w:bCs/>
        </w:rPr>
        <w:lastRenderedPageBreak/>
        <w:t xml:space="preserve">Cautions and Considerations – </w:t>
      </w:r>
    </w:p>
    <w:p w14:paraId="183F92F4" w14:textId="77777777" w:rsidR="00034B47" w:rsidRPr="00034B47" w:rsidRDefault="00034B47" w:rsidP="00034B47">
      <w:pPr>
        <w:rPr>
          <w:b/>
          <w:bCs/>
        </w:rPr>
      </w:pPr>
      <w:r w:rsidRPr="00034B47">
        <w:rPr>
          <w:b/>
          <w:bCs/>
        </w:rPr>
        <w:t xml:space="preserve">1. Regulatory Risk </w:t>
      </w:r>
      <w:proofErr w:type="gramStart"/>
      <w:r w:rsidRPr="00034B47">
        <w:rPr>
          <w:b/>
          <w:bCs/>
        </w:rPr>
        <w:t>on</w:t>
      </w:r>
      <w:proofErr w:type="gramEnd"/>
      <w:r w:rsidRPr="00034B47">
        <w:rPr>
          <w:b/>
          <w:bCs/>
        </w:rPr>
        <w:t xml:space="preserve"> Plastic Use</w:t>
      </w:r>
    </w:p>
    <w:p w14:paraId="59F569B0" w14:textId="77777777" w:rsidR="00034B47" w:rsidRPr="00034B47" w:rsidRDefault="00034B47" w:rsidP="00034B47">
      <w:r w:rsidRPr="00034B47">
        <w:t xml:space="preserve">Berry’s legacy business remains heavily exposed to petrochemical-based plastics. While its </w:t>
      </w:r>
      <w:proofErr w:type="gramStart"/>
      <w:r w:rsidRPr="00034B47">
        <w:t>innovation</w:t>
      </w:r>
      <w:proofErr w:type="gramEnd"/>
      <w:r w:rsidRPr="00034B47">
        <w:t xml:space="preserve"> strategy is addressing this, regulatory actions (e.g., plastic </w:t>
      </w:r>
      <w:proofErr w:type="spellStart"/>
      <w:r w:rsidRPr="00034B47">
        <w:t>bans</w:t>
      </w:r>
      <w:proofErr w:type="spellEnd"/>
      <w:r w:rsidRPr="00034B47">
        <w:t>, EPR frameworks) could increase compliance costs or restrict sales in certain jurisdictions.</w:t>
      </w:r>
    </w:p>
    <w:p w14:paraId="36E476FB" w14:textId="77777777" w:rsidR="00034B47" w:rsidRPr="00034B47" w:rsidRDefault="00034B47" w:rsidP="00034B47">
      <w:r w:rsidRPr="00034B47">
        <w:rPr>
          <w:b/>
          <w:bCs/>
        </w:rPr>
        <w:t>Mitigation</w:t>
      </w:r>
      <w:r w:rsidRPr="00034B47">
        <w:t>: Continued R&amp;D investment, product portfolio transformation, and ESG leadership are counterbalancing factors.</w:t>
      </w:r>
    </w:p>
    <w:p w14:paraId="75B54031" w14:textId="6FF35AC6" w:rsidR="00034B47" w:rsidRPr="00034B47" w:rsidRDefault="00034B47" w:rsidP="00034B47"/>
    <w:p w14:paraId="456C7CCE" w14:textId="77777777" w:rsidR="00034B47" w:rsidRPr="00034B47" w:rsidRDefault="00034B47" w:rsidP="00034B47">
      <w:pPr>
        <w:rPr>
          <w:b/>
          <w:bCs/>
        </w:rPr>
      </w:pPr>
      <w:r w:rsidRPr="00034B47">
        <w:rPr>
          <w:b/>
          <w:bCs/>
        </w:rPr>
        <w:t>2. Execution Risk Post-Amcor Merger</w:t>
      </w:r>
    </w:p>
    <w:p w14:paraId="6DFCBEFA" w14:textId="77777777" w:rsidR="00034B47" w:rsidRPr="00034B47" w:rsidRDefault="00034B47" w:rsidP="00034B47">
      <w:r w:rsidRPr="00034B47">
        <w:t xml:space="preserve">While Berry has managed past M&amp;As well, the </w:t>
      </w:r>
      <w:r w:rsidRPr="00034B47">
        <w:rPr>
          <w:b/>
          <w:bCs/>
        </w:rPr>
        <w:t>scale and complexity</w:t>
      </w:r>
      <w:r w:rsidRPr="00034B47">
        <w:t xml:space="preserve"> of integrating Amcor (across supply chains, systems, and geographies) introduces short-term risk.</w:t>
      </w:r>
    </w:p>
    <w:p w14:paraId="14377C5A" w14:textId="77777777" w:rsidR="00034B47" w:rsidRPr="00034B47" w:rsidRDefault="00034B47" w:rsidP="00034B47">
      <w:r w:rsidRPr="00034B47">
        <w:t>Potential issues include:</w:t>
      </w:r>
    </w:p>
    <w:p w14:paraId="2FAA422B" w14:textId="77777777" w:rsidR="00034B47" w:rsidRPr="00034B47" w:rsidRDefault="00034B47" w:rsidP="00034B47">
      <w:pPr>
        <w:numPr>
          <w:ilvl w:val="0"/>
          <w:numId w:val="41"/>
        </w:numPr>
      </w:pPr>
      <w:r w:rsidRPr="00034B47">
        <w:t>Synergy capture delays</w:t>
      </w:r>
    </w:p>
    <w:p w14:paraId="31B92B50" w14:textId="77777777" w:rsidR="00034B47" w:rsidRPr="00034B47" w:rsidRDefault="00034B47" w:rsidP="00034B47">
      <w:pPr>
        <w:numPr>
          <w:ilvl w:val="0"/>
          <w:numId w:val="41"/>
        </w:numPr>
      </w:pPr>
      <w:r w:rsidRPr="00034B47">
        <w:t>Culture misalignment</w:t>
      </w:r>
    </w:p>
    <w:p w14:paraId="27BF5EAD" w14:textId="77777777" w:rsidR="00034B47" w:rsidRPr="00034B47" w:rsidRDefault="00034B47" w:rsidP="00034B47">
      <w:pPr>
        <w:numPr>
          <w:ilvl w:val="0"/>
          <w:numId w:val="41"/>
        </w:numPr>
      </w:pPr>
      <w:r w:rsidRPr="00034B47">
        <w:t>Working capital disruptions</w:t>
      </w:r>
    </w:p>
    <w:p w14:paraId="739FD8AE" w14:textId="77777777" w:rsidR="00034B47" w:rsidRPr="00034B47" w:rsidRDefault="00034B47" w:rsidP="00034B47">
      <w:r w:rsidRPr="00034B47">
        <w:rPr>
          <w:b/>
          <w:bCs/>
        </w:rPr>
        <w:t>Mitigation</w:t>
      </w:r>
      <w:r w:rsidRPr="00034B47">
        <w:t>: Berry’s integration history and pre-merger planning bode well for long-term success, but short-term volatility is possible.</w:t>
      </w:r>
    </w:p>
    <w:p w14:paraId="7CFC4D9A" w14:textId="77777777" w:rsidR="008A38A8" w:rsidRDefault="00521C80">
      <w:pPr>
        <w:pStyle w:val="Heading1"/>
      </w:pPr>
      <w:r>
        <w:t>11. Appendix</w:t>
      </w:r>
    </w:p>
    <w:p w14:paraId="3B95CA0A" w14:textId="77777777" w:rsidR="00030A78" w:rsidRPr="00030A78" w:rsidRDefault="00030A78" w:rsidP="00030A78"/>
    <w:sectPr w:rsidR="00030A78" w:rsidRPr="00030A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124CC"/>
    <w:multiLevelType w:val="multilevel"/>
    <w:tmpl w:val="DB4C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E4F7A"/>
    <w:multiLevelType w:val="multilevel"/>
    <w:tmpl w:val="9D9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B2B08"/>
    <w:multiLevelType w:val="multilevel"/>
    <w:tmpl w:val="0B8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56B8D"/>
    <w:multiLevelType w:val="multilevel"/>
    <w:tmpl w:val="999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F6DC7"/>
    <w:multiLevelType w:val="multilevel"/>
    <w:tmpl w:val="87D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E117E"/>
    <w:multiLevelType w:val="multilevel"/>
    <w:tmpl w:val="7E0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64D99"/>
    <w:multiLevelType w:val="multilevel"/>
    <w:tmpl w:val="3658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16A14"/>
    <w:multiLevelType w:val="multilevel"/>
    <w:tmpl w:val="A68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45AC6"/>
    <w:multiLevelType w:val="multilevel"/>
    <w:tmpl w:val="642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2511F"/>
    <w:multiLevelType w:val="multilevel"/>
    <w:tmpl w:val="ADB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D52F3"/>
    <w:multiLevelType w:val="multilevel"/>
    <w:tmpl w:val="EB9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81571"/>
    <w:multiLevelType w:val="hybridMultilevel"/>
    <w:tmpl w:val="7BBA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76117"/>
    <w:multiLevelType w:val="multilevel"/>
    <w:tmpl w:val="DFE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F64C9"/>
    <w:multiLevelType w:val="multilevel"/>
    <w:tmpl w:val="610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21397"/>
    <w:multiLevelType w:val="multilevel"/>
    <w:tmpl w:val="93F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B157A"/>
    <w:multiLevelType w:val="multilevel"/>
    <w:tmpl w:val="1F3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642B8"/>
    <w:multiLevelType w:val="multilevel"/>
    <w:tmpl w:val="BEA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5229B"/>
    <w:multiLevelType w:val="hybridMultilevel"/>
    <w:tmpl w:val="BD36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7322E7"/>
    <w:multiLevelType w:val="multilevel"/>
    <w:tmpl w:val="837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861A7"/>
    <w:multiLevelType w:val="multilevel"/>
    <w:tmpl w:val="1AB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2486F"/>
    <w:multiLevelType w:val="multilevel"/>
    <w:tmpl w:val="F7A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862DF"/>
    <w:multiLevelType w:val="multilevel"/>
    <w:tmpl w:val="AF68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44A08"/>
    <w:multiLevelType w:val="multilevel"/>
    <w:tmpl w:val="C84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636E7"/>
    <w:multiLevelType w:val="multilevel"/>
    <w:tmpl w:val="E39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E5CBB"/>
    <w:multiLevelType w:val="multilevel"/>
    <w:tmpl w:val="6E3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331DA"/>
    <w:multiLevelType w:val="multilevel"/>
    <w:tmpl w:val="6FA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F4BAD"/>
    <w:multiLevelType w:val="multilevel"/>
    <w:tmpl w:val="E27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37086"/>
    <w:multiLevelType w:val="multilevel"/>
    <w:tmpl w:val="414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C35E8"/>
    <w:multiLevelType w:val="multilevel"/>
    <w:tmpl w:val="894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3281E"/>
    <w:multiLevelType w:val="multilevel"/>
    <w:tmpl w:val="8BC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66A59"/>
    <w:multiLevelType w:val="multilevel"/>
    <w:tmpl w:val="538E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81B5A"/>
    <w:multiLevelType w:val="multilevel"/>
    <w:tmpl w:val="E63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254237">
    <w:abstractNumId w:val="8"/>
  </w:num>
  <w:num w:numId="2" w16cid:durableId="681517291">
    <w:abstractNumId w:val="6"/>
  </w:num>
  <w:num w:numId="3" w16cid:durableId="1452240638">
    <w:abstractNumId w:val="5"/>
  </w:num>
  <w:num w:numId="4" w16cid:durableId="1188374743">
    <w:abstractNumId w:val="4"/>
  </w:num>
  <w:num w:numId="5" w16cid:durableId="337970158">
    <w:abstractNumId w:val="7"/>
  </w:num>
  <w:num w:numId="6" w16cid:durableId="687678606">
    <w:abstractNumId w:val="3"/>
  </w:num>
  <w:num w:numId="7" w16cid:durableId="1572544213">
    <w:abstractNumId w:val="2"/>
  </w:num>
  <w:num w:numId="8" w16cid:durableId="1254782011">
    <w:abstractNumId w:val="1"/>
  </w:num>
  <w:num w:numId="9" w16cid:durableId="80879056">
    <w:abstractNumId w:val="0"/>
  </w:num>
  <w:num w:numId="10" w16cid:durableId="1625119824">
    <w:abstractNumId w:val="20"/>
  </w:num>
  <w:num w:numId="11" w16cid:durableId="1640725290">
    <w:abstractNumId w:val="11"/>
  </w:num>
  <w:num w:numId="12" w16cid:durableId="1261375859">
    <w:abstractNumId w:val="28"/>
  </w:num>
  <w:num w:numId="13" w16cid:durableId="1940480851">
    <w:abstractNumId w:val="24"/>
  </w:num>
  <w:num w:numId="14" w16cid:durableId="1356690090">
    <w:abstractNumId w:val="35"/>
  </w:num>
  <w:num w:numId="15" w16cid:durableId="2039818294">
    <w:abstractNumId w:val="34"/>
  </w:num>
  <w:num w:numId="16" w16cid:durableId="1968705909">
    <w:abstractNumId w:val="27"/>
  </w:num>
  <w:num w:numId="17" w16cid:durableId="1093015039">
    <w:abstractNumId w:val="30"/>
  </w:num>
  <w:num w:numId="18" w16cid:durableId="1248539272">
    <w:abstractNumId w:val="40"/>
  </w:num>
  <w:num w:numId="19" w16cid:durableId="596329947">
    <w:abstractNumId w:val="23"/>
  </w:num>
  <w:num w:numId="20" w16cid:durableId="1176503183">
    <w:abstractNumId w:val="33"/>
  </w:num>
  <w:num w:numId="21" w16cid:durableId="1259555627">
    <w:abstractNumId w:val="25"/>
  </w:num>
  <w:num w:numId="22" w16cid:durableId="1182208022">
    <w:abstractNumId w:val="10"/>
  </w:num>
  <w:num w:numId="23" w16cid:durableId="1397312665">
    <w:abstractNumId w:val="26"/>
  </w:num>
  <w:num w:numId="24" w16cid:durableId="1977294130">
    <w:abstractNumId w:val="18"/>
  </w:num>
  <w:num w:numId="25" w16cid:durableId="240719450">
    <w:abstractNumId w:val="17"/>
  </w:num>
  <w:num w:numId="26" w16cid:durableId="1278561986">
    <w:abstractNumId w:val="19"/>
  </w:num>
  <w:num w:numId="27" w16cid:durableId="828329867">
    <w:abstractNumId w:val="22"/>
  </w:num>
  <w:num w:numId="28" w16cid:durableId="1958635347">
    <w:abstractNumId w:val="37"/>
  </w:num>
  <w:num w:numId="29" w16cid:durableId="131873117">
    <w:abstractNumId w:val="15"/>
  </w:num>
  <w:num w:numId="30" w16cid:durableId="636684361">
    <w:abstractNumId w:val="32"/>
  </w:num>
  <w:num w:numId="31" w16cid:durableId="1065178108">
    <w:abstractNumId w:val="14"/>
  </w:num>
  <w:num w:numId="32" w16cid:durableId="959532511">
    <w:abstractNumId w:val="39"/>
  </w:num>
  <w:num w:numId="33" w16cid:durableId="1322931304">
    <w:abstractNumId w:val="12"/>
  </w:num>
  <w:num w:numId="34" w16cid:durableId="424349682">
    <w:abstractNumId w:val="13"/>
  </w:num>
  <w:num w:numId="35" w16cid:durableId="1673221468">
    <w:abstractNumId w:val="29"/>
  </w:num>
  <w:num w:numId="36" w16cid:durableId="402800123">
    <w:abstractNumId w:val="38"/>
  </w:num>
  <w:num w:numId="37" w16cid:durableId="466439385">
    <w:abstractNumId w:val="36"/>
  </w:num>
  <w:num w:numId="38" w16cid:durableId="40717655">
    <w:abstractNumId w:val="21"/>
  </w:num>
  <w:num w:numId="39" w16cid:durableId="1906646079">
    <w:abstractNumId w:val="9"/>
  </w:num>
  <w:num w:numId="40" w16cid:durableId="1580015753">
    <w:abstractNumId w:val="16"/>
  </w:num>
  <w:num w:numId="41" w16cid:durableId="13423901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78"/>
    <w:rsid w:val="00034616"/>
    <w:rsid w:val="00034B47"/>
    <w:rsid w:val="0006063C"/>
    <w:rsid w:val="000F55ED"/>
    <w:rsid w:val="0015074B"/>
    <w:rsid w:val="0029639D"/>
    <w:rsid w:val="00326F90"/>
    <w:rsid w:val="004D51BF"/>
    <w:rsid w:val="00506655"/>
    <w:rsid w:val="00521C80"/>
    <w:rsid w:val="008372D0"/>
    <w:rsid w:val="008A38A8"/>
    <w:rsid w:val="009E768E"/>
    <w:rsid w:val="00AA1D8D"/>
    <w:rsid w:val="00B22702"/>
    <w:rsid w:val="00B47730"/>
    <w:rsid w:val="00B6202C"/>
    <w:rsid w:val="00CB0664"/>
    <w:rsid w:val="00E07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790B7"/>
  <w14:defaultImageDpi w14:val="300"/>
  <w15:docId w15:val="{42B83311-0168-4EC5-8B86-1E812D70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772">
      <w:bodyDiv w:val="1"/>
      <w:marLeft w:val="0"/>
      <w:marRight w:val="0"/>
      <w:marTop w:val="0"/>
      <w:marBottom w:val="0"/>
      <w:divBdr>
        <w:top w:val="none" w:sz="0" w:space="0" w:color="auto"/>
        <w:left w:val="none" w:sz="0" w:space="0" w:color="auto"/>
        <w:bottom w:val="none" w:sz="0" w:space="0" w:color="auto"/>
        <w:right w:val="none" w:sz="0" w:space="0" w:color="auto"/>
      </w:divBdr>
    </w:div>
    <w:div w:id="88160708">
      <w:bodyDiv w:val="1"/>
      <w:marLeft w:val="0"/>
      <w:marRight w:val="0"/>
      <w:marTop w:val="0"/>
      <w:marBottom w:val="0"/>
      <w:divBdr>
        <w:top w:val="none" w:sz="0" w:space="0" w:color="auto"/>
        <w:left w:val="none" w:sz="0" w:space="0" w:color="auto"/>
        <w:bottom w:val="none" w:sz="0" w:space="0" w:color="auto"/>
        <w:right w:val="none" w:sz="0" w:space="0" w:color="auto"/>
      </w:divBdr>
    </w:div>
    <w:div w:id="177624998">
      <w:bodyDiv w:val="1"/>
      <w:marLeft w:val="0"/>
      <w:marRight w:val="0"/>
      <w:marTop w:val="0"/>
      <w:marBottom w:val="0"/>
      <w:divBdr>
        <w:top w:val="none" w:sz="0" w:space="0" w:color="auto"/>
        <w:left w:val="none" w:sz="0" w:space="0" w:color="auto"/>
        <w:bottom w:val="none" w:sz="0" w:space="0" w:color="auto"/>
        <w:right w:val="none" w:sz="0" w:space="0" w:color="auto"/>
      </w:divBdr>
    </w:div>
    <w:div w:id="233440095">
      <w:bodyDiv w:val="1"/>
      <w:marLeft w:val="0"/>
      <w:marRight w:val="0"/>
      <w:marTop w:val="0"/>
      <w:marBottom w:val="0"/>
      <w:divBdr>
        <w:top w:val="none" w:sz="0" w:space="0" w:color="auto"/>
        <w:left w:val="none" w:sz="0" w:space="0" w:color="auto"/>
        <w:bottom w:val="none" w:sz="0" w:space="0" w:color="auto"/>
        <w:right w:val="none" w:sz="0" w:space="0" w:color="auto"/>
      </w:divBdr>
    </w:div>
    <w:div w:id="300616892">
      <w:bodyDiv w:val="1"/>
      <w:marLeft w:val="0"/>
      <w:marRight w:val="0"/>
      <w:marTop w:val="0"/>
      <w:marBottom w:val="0"/>
      <w:divBdr>
        <w:top w:val="none" w:sz="0" w:space="0" w:color="auto"/>
        <w:left w:val="none" w:sz="0" w:space="0" w:color="auto"/>
        <w:bottom w:val="none" w:sz="0" w:space="0" w:color="auto"/>
        <w:right w:val="none" w:sz="0" w:space="0" w:color="auto"/>
      </w:divBdr>
    </w:div>
    <w:div w:id="439104122">
      <w:bodyDiv w:val="1"/>
      <w:marLeft w:val="0"/>
      <w:marRight w:val="0"/>
      <w:marTop w:val="0"/>
      <w:marBottom w:val="0"/>
      <w:divBdr>
        <w:top w:val="none" w:sz="0" w:space="0" w:color="auto"/>
        <w:left w:val="none" w:sz="0" w:space="0" w:color="auto"/>
        <w:bottom w:val="none" w:sz="0" w:space="0" w:color="auto"/>
        <w:right w:val="none" w:sz="0" w:space="0" w:color="auto"/>
      </w:divBdr>
    </w:div>
    <w:div w:id="450826974">
      <w:bodyDiv w:val="1"/>
      <w:marLeft w:val="0"/>
      <w:marRight w:val="0"/>
      <w:marTop w:val="0"/>
      <w:marBottom w:val="0"/>
      <w:divBdr>
        <w:top w:val="none" w:sz="0" w:space="0" w:color="auto"/>
        <w:left w:val="none" w:sz="0" w:space="0" w:color="auto"/>
        <w:bottom w:val="none" w:sz="0" w:space="0" w:color="auto"/>
        <w:right w:val="none" w:sz="0" w:space="0" w:color="auto"/>
      </w:divBdr>
    </w:div>
    <w:div w:id="466245998">
      <w:bodyDiv w:val="1"/>
      <w:marLeft w:val="0"/>
      <w:marRight w:val="0"/>
      <w:marTop w:val="0"/>
      <w:marBottom w:val="0"/>
      <w:divBdr>
        <w:top w:val="none" w:sz="0" w:space="0" w:color="auto"/>
        <w:left w:val="none" w:sz="0" w:space="0" w:color="auto"/>
        <w:bottom w:val="none" w:sz="0" w:space="0" w:color="auto"/>
        <w:right w:val="none" w:sz="0" w:space="0" w:color="auto"/>
      </w:divBdr>
    </w:div>
    <w:div w:id="471947329">
      <w:bodyDiv w:val="1"/>
      <w:marLeft w:val="0"/>
      <w:marRight w:val="0"/>
      <w:marTop w:val="0"/>
      <w:marBottom w:val="0"/>
      <w:divBdr>
        <w:top w:val="none" w:sz="0" w:space="0" w:color="auto"/>
        <w:left w:val="none" w:sz="0" w:space="0" w:color="auto"/>
        <w:bottom w:val="none" w:sz="0" w:space="0" w:color="auto"/>
        <w:right w:val="none" w:sz="0" w:space="0" w:color="auto"/>
      </w:divBdr>
      <w:divsChild>
        <w:div w:id="293021499">
          <w:marLeft w:val="0"/>
          <w:marRight w:val="0"/>
          <w:marTop w:val="0"/>
          <w:marBottom w:val="0"/>
          <w:divBdr>
            <w:top w:val="none" w:sz="0" w:space="0" w:color="auto"/>
            <w:left w:val="none" w:sz="0" w:space="0" w:color="auto"/>
            <w:bottom w:val="none" w:sz="0" w:space="0" w:color="auto"/>
            <w:right w:val="none" w:sz="0" w:space="0" w:color="auto"/>
          </w:divBdr>
          <w:divsChild>
            <w:div w:id="14823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4464">
      <w:bodyDiv w:val="1"/>
      <w:marLeft w:val="0"/>
      <w:marRight w:val="0"/>
      <w:marTop w:val="0"/>
      <w:marBottom w:val="0"/>
      <w:divBdr>
        <w:top w:val="none" w:sz="0" w:space="0" w:color="auto"/>
        <w:left w:val="none" w:sz="0" w:space="0" w:color="auto"/>
        <w:bottom w:val="none" w:sz="0" w:space="0" w:color="auto"/>
        <w:right w:val="none" w:sz="0" w:space="0" w:color="auto"/>
      </w:divBdr>
      <w:divsChild>
        <w:div w:id="1510677759">
          <w:marLeft w:val="0"/>
          <w:marRight w:val="0"/>
          <w:marTop w:val="0"/>
          <w:marBottom w:val="0"/>
          <w:divBdr>
            <w:top w:val="none" w:sz="0" w:space="0" w:color="auto"/>
            <w:left w:val="none" w:sz="0" w:space="0" w:color="auto"/>
            <w:bottom w:val="none" w:sz="0" w:space="0" w:color="auto"/>
            <w:right w:val="none" w:sz="0" w:space="0" w:color="auto"/>
          </w:divBdr>
          <w:divsChild>
            <w:div w:id="5161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79503">
      <w:bodyDiv w:val="1"/>
      <w:marLeft w:val="0"/>
      <w:marRight w:val="0"/>
      <w:marTop w:val="0"/>
      <w:marBottom w:val="0"/>
      <w:divBdr>
        <w:top w:val="none" w:sz="0" w:space="0" w:color="auto"/>
        <w:left w:val="none" w:sz="0" w:space="0" w:color="auto"/>
        <w:bottom w:val="none" w:sz="0" w:space="0" w:color="auto"/>
        <w:right w:val="none" w:sz="0" w:space="0" w:color="auto"/>
      </w:divBdr>
    </w:div>
    <w:div w:id="632908114">
      <w:bodyDiv w:val="1"/>
      <w:marLeft w:val="0"/>
      <w:marRight w:val="0"/>
      <w:marTop w:val="0"/>
      <w:marBottom w:val="0"/>
      <w:divBdr>
        <w:top w:val="none" w:sz="0" w:space="0" w:color="auto"/>
        <w:left w:val="none" w:sz="0" w:space="0" w:color="auto"/>
        <w:bottom w:val="none" w:sz="0" w:space="0" w:color="auto"/>
        <w:right w:val="none" w:sz="0" w:space="0" w:color="auto"/>
      </w:divBdr>
    </w:div>
    <w:div w:id="684014954">
      <w:bodyDiv w:val="1"/>
      <w:marLeft w:val="0"/>
      <w:marRight w:val="0"/>
      <w:marTop w:val="0"/>
      <w:marBottom w:val="0"/>
      <w:divBdr>
        <w:top w:val="none" w:sz="0" w:space="0" w:color="auto"/>
        <w:left w:val="none" w:sz="0" w:space="0" w:color="auto"/>
        <w:bottom w:val="none" w:sz="0" w:space="0" w:color="auto"/>
        <w:right w:val="none" w:sz="0" w:space="0" w:color="auto"/>
      </w:divBdr>
    </w:div>
    <w:div w:id="746271981">
      <w:bodyDiv w:val="1"/>
      <w:marLeft w:val="0"/>
      <w:marRight w:val="0"/>
      <w:marTop w:val="0"/>
      <w:marBottom w:val="0"/>
      <w:divBdr>
        <w:top w:val="none" w:sz="0" w:space="0" w:color="auto"/>
        <w:left w:val="none" w:sz="0" w:space="0" w:color="auto"/>
        <w:bottom w:val="none" w:sz="0" w:space="0" w:color="auto"/>
        <w:right w:val="none" w:sz="0" w:space="0" w:color="auto"/>
      </w:divBdr>
    </w:div>
    <w:div w:id="773671528">
      <w:bodyDiv w:val="1"/>
      <w:marLeft w:val="0"/>
      <w:marRight w:val="0"/>
      <w:marTop w:val="0"/>
      <w:marBottom w:val="0"/>
      <w:divBdr>
        <w:top w:val="none" w:sz="0" w:space="0" w:color="auto"/>
        <w:left w:val="none" w:sz="0" w:space="0" w:color="auto"/>
        <w:bottom w:val="none" w:sz="0" w:space="0" w:color="auto"/>
        <w:right w:val="none" w:sz="0" w:space="0" w:color="auto"/>
      </w:divBdr>
    </w:div>
    <w:div w:id="822888313">
      <w:bodyDiv w:val="1"/>
      <w:marLeft w:val="0"/>
      <w:marRight w:val="0"/>
      <w:marTop w:val="0"/>
      <w:marBottom w:val="0"/>
      <w:divBdr>
        <w:top w:val="none" w:sz="0" w:space="0" w:color="auto"/>
        <w:left w:val="none" w:sz="0" w:space="0" w:color="auto"/>
        <w:bottom w:val="none" w:sz="0" w:space="0" w:color="auto"/>
        <w:right w:val="none" w:sz="0" w:space="0" w:color="auto"/>
      </w:divBdr>
    </w:div>
    <w:div w:id="828448971">
      <w:bodyDiv w:val="1"/>
      <w:marLeft w:val="0"/>
      <w:marRight w:val="0"/>
      <w:marTop w:val="0"/>
      <w:marBottom w:val="0"/>
      <w:divBdr>
        <w:top w:val="none" w:sz="0" w:space="0" w:color="auto"/>
        <w:left w:val="none" w:sz="0" w:space="0" w:color="auto"/>
        <w:bottom w:val="none" w:sz="0" w:space="0" w:color="auto"/>
        <w:right w:val="none" w:sz="0" w:space="0" w:color="auto"/>
      </w:divBdr>
    </w:div>
    <w:div w:id="842744528">
      <w:bodyDiv w:val="1"/>
      <w:marLeft w:val="0"/>
      <w:marRight w:val="0"/>
      <w:marTop w:val="0"/>
      <w:marBottom w:val="0"/>
      <w:divBdr>
        <w:top w:val="none" w:sz="0" w:space="0" w:color="auto"/>
        <w:left w:val="none" w:sz="0" w:space="0" w:color="auto"/>
        <w:bottom w:val="none" w:sz="0" w:space="0" w:color="auto"/>
        <w:right w:val="none" w:sz="0" w:space="0" w:color="auto"/>
      </w:divBdr>
    </w:div>
    <w:div w:id="879709897">
      <w:bodyDiv w:val="1"/>
      <w:marLeft w:val="0"/>
      <w:marRight w:val="0"/>
      <w:marTop w:val="0"/>
      <w:marBottom w:val="0"/>
      <w:divBdr>
        <w:top w:val="none" w:sz="0" w:space="0" w:color="auto"/>
        <w:left w:val="none" w:sz="0" w:space="0" w:color="auto"/>
        <w:bottom w:val="none" w:sz="0" w:space="0" w:color="auto"/>
        <w:right w:val="none" w:sz="0" w:space="0" w:color="auto"/>
      </w:divBdr>
      <w:divsChild>
        <w:div w:id="1489244767">
          <w:marLeft w:val="0"/>
          <w:marRight w:val="0"/>
          <w:marTop w:val="0"/>
          <w:marBottom w:val="0"/>
          <w:divBdr>
            <w:top w:val="none" w:sz="0" w:space="0" w:color="auto"/>
            <w:left w:val="none" w:sz="0" w:space="0" w:color="auto"/>
            <w:bottom w:val="none" w:sz="0" w:space="0" w:color="auto"/>
            <w:right w:val="none" w:sz="0" w:space="0" w:color="auto"/>
          </w:divBdr>
          <w:divsChild>
            <w:div w:id="18541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5882">
      <w:bodyDiv w:val="1"/>
      <w:marLeft w:val="0"/>
      <w:marRight w:val="0"/>
      <w:marTop w:val="0"/>
      <w:marBottom w:val="0"/>
      <w:divBdr>
        <w:top w:val="none" w:sz="0" w:space="0" w:color="auto"/>
        <w:left w:val="none" w:sz="0" w:space="0" w:color="auto"/>
        <w:bottom w:val="none" w:sz="0" w:space="0" w:color="auto"/>
        <w:right w:val="none" w:sz="0" w:space="0" w:color="auto"/>
      </w:divBdr>
    </w:div>
    <w:div w:id="960767177">
      <w:bodyDiv w:val="1"/>
      <w:marLeft w:val="0"/>
      <w:marRight w:val="0"/>
      <w:marTop w:val="0"/>
      <w:marBottom w:val="0"/>
      <w:divBdr>
        <w:top w:val="none" w:sz="0" w:space="0" w:color="auto"/>
        <w:left w:val="none" w:sz="0" w:space="0" w:color="auto"/>
        <w:bottom w:val="none" w:sz="0" w:space="0" w:color="auto"/>
        <w:right w:val="none" w:sz="0" w:space="0" w:color="auto"/>
      </w:divBdr>
    </w:div>
    <w:div w:id="984311010">
      <w:bodyDiv w:val="1"/>
      <w:marLeft w:val="0"/>
      <w:marRight w:val="0"/>
      <w:marTop w:val="0"/>
      <w:marBottom w:val="0"/>
      <w:divBdr>
        <w:top w:val="none" w:sz="0" w:space="0" w:color="auto"/>
        <w:left w:val="none" w:sz="0" w:space="0" w:color="auto"/>
        <w:bottom w:val="none" w:sz="0" w:space="0" w:color="auto"/>
        <w:right w:val="none" w:sz="0" w:space="0" w:color="auto"/>
      </w:divBdr>
    </w:div>
    <w:div w:id="1006981979">
      <w:bodyDiv w:val="1"/>
      <w:marLeft w:val="0"/>
      <w:marRight w:val="0"/>
      <w:marTop w:val="0"/>
      <w:marBottom w:val="0"/>
      <w:divBdr>
        <w:top w:val="none" w:sz="0" w:space="0" w:color="auto"/>
        <w:left w:val="none" w:sz="0" w:space="0" w:color="auto"/>
        <w:bottom w:val="none" w:sz="0" w:space="0" w:color="auto"/>
        <w:right w:val="none" w:sz="0" w:space="0" w:color="auto"/>
      </w:divBdr>
    </w:div>
    <w:div w:id="1009480667">
      <w:bodyDiv w:val="1"/>
      <w:marLeft w:val="0"/>
      <w:marRight w:val="0"/>
      <w:marTop w:val="0"/>
      <w:marBottom w:val="0"/>
      <w:divBdr>
        <w:top w:val="none" w:sz="0" w:space="0" w:color="auto"/>
        <w:left w:val="none" w:sz="0" w:space="0" w:color="auto"/>
        <w:bottom w:val="none" w:sz="0" w:space="0" w:color="auto"/>
        <w:right w:val="none" w:sz="0" w:space="0" w:color="auto"/>
      </w:divBdr>
    </w:div>
    <w:div w:id="1058437520">
      <w:bodyDiv w:val="1"/>
      <w:marLeft w:val="0"/>
      <w:marRight w:val="0"/>
      <w:marTop w:val="0"/>
      <w:marBottom w:val="0"/>
      <w:divBdr>
        <w:top w:val="none" w:sz="0" w:space="0" w:color="auto"/>
        <w:left w:val="none" w:sz="0" w:space="0" w:color="auto"/>
        <w:bottom w:val="none" w:sz="0" w:space="0" w:color="auto"/>
        <w:right w:val="none" w:sz="0" w:space="0" w:color="auto"/>
      </w:divBdr>
    </w:div>
    <w:div w:id="1061709761">
      <w:bodyDiv w:val="1"/>
      <w:marLeft w:val="0"/>
      <w:marRight w:val="0"/>
      <w:marTop w:val="0"/>
      <w:marBottom w:val="0"/>
      <w:divBdr>
        <w:top w:val="none" w:sz="0" w:space="0" w:color="auto"/>
        <w:left w:val="none" w:sz="0" w:space="0" w:color="auto"/>
        <w:bottom w:val="none" w:sz="0" w:space="0" w:color="auto"/>
        <w:right w:val="none" w:sz="0" w:space="0" w:color="auto"/>
      </w:divBdr>
    </w:div>
    <w:div w:id="1067725797">
      <w:bodyDiv w:val="1"/>
      <w:marLeft w:val="0"/>
      <w:marRight w:val="0"/>
      <w:marTop w:val="0"/>
      <w:marBottom w:val="0"/>
      <w:divBdr>
        <w:top w:val="none" w:sz="0" w:space="0" w:color="auto"/>
        <w:left w:val="none" w:sz="0" w:space="0" w:color="auto"/>
        <w:bottom w:val="none" w:sz="0" w:space="0" w:color="auto"/>
        <w:right w:val="none" w:sz="0" w:space="0" w:color="auto"/>
      </w:divBdr>
    </w:div>
    <w:div w:id="1086803664">
      <w:bodyDiv w:val="1"/>
      <w:marLeft w:val="0"/>
      <w:marRight w:val="0"/>
      <w:marTop w:val="0"/>
      <w:marBottom w:val="0"/>
      <w:divBdr>
        <w:top w:val="none" w:sz="0" w:space="0" w:color="auto"/>
        <w:left w:val="none" w:sz="0" w:space="0" w:color="auto"/>
        <w:bottom w:val="none" w:sz="0" w:space="0" w:color="auto"/>
        <w:right w:val="none" w:sz="0" w:space="0" w:color="auto"/>
      </w:divBdr>
    </w:div>
    <w:div w:id="1098720847">
      <w:bodyDiv w:val="1"/>
      <w:marLeft w:val="0"/>
      <w:marRight w:val="0"/>
      <w:marTop w:val="0"/>
      <w:marBottom w:val="0"/>
      <w:divBdr>
        <w:top w:val="none" w:sz="0" w:space="0" w:color="auto"/>
        <w:left w:val="none" w:sz="0" w:space="0" w:color="auto"/>
        <w:bottom w:val="none" w:sz="0" w:space="0" w:color="auto"/>
        <w:right w:val="none" w:sz="0" w:space="0" w:color="auto"/>
      </w:divBdr>
      <w:divsChild>
        <w:div w:id="820581449">
          <w:marLeft w:val="0"/>
          <w:marRight w:val="0"/>
          <w:marTop w:val="0"/>
          <w:marBottom w:val="0"/>
          <w:divBdr>
            <w:top w:val="none" w:sz="0" w:space="0" w:color="auto"/>
            <w:left w:val="none" w:sz="0" w:space="0" w:color="auto"/>
            <w:bottom w:val="none" w:sz="0" w:space="0" w:color="auto"/>
            <w:right w:val="none" w:sz="0" w:space="0" w:color="auto"/>
          </w:divBdr>
          <w:divsChild>
            <w:div w:id="1926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3949">
      <w:bodyDiv w:val="1"/>
      <w:marLeft w:val="0"/>
      <w:marRight w:val="0"/>
      <w:marTop w:val="0"/>
      <w:marBottom w:val="0"/>
      <w:divBdr>
        <w:top w:val="none" w:sz="0" w:space="0" w:color="auto"/>
        <w:left w:val="none" w:sz="0" w:space="0" w:color="auto"/>
        <w:bottom w:val="none" w:sz="0" w:space="0" w:color="auto"/>
        <w:right w:val="none" w:sz="0" w:space="0" w:color="auto"/>
      </w:divBdr>
      <w:divsChild>
        <w:div w:id="1382557527">
          <w:marLeft w:val="0"/>
          <w:marRight w:val="0"/>
          <w:marTop w:val="0"/>
          <w:marBottom w:val="0"/>
          <w:divBdr>
            <w:top w:val="none" w:sz="0" w:space="0" w:color="auto"/>
            <w:left w:val="none" w:sz="0" w:space="0" w:color="auto"/>
            <w:bottom w:val="none" w:sz="0" w:space="0" w:color="auto"/>
            <w:right w:val="none" w:sz="0" w:space="0" w:color="auto"/>
          </w:divBdr>
          <w:divsChild>
            <w:div w:id="13894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29637">
      <w:bodyDiv w:val="1"/>
      <w:marLeft w:val="0"/>
      <w:marRight w:val="0"/>
      <w:marTop w:val="0"/>
      <w:marBottom w:val="0"/>
      <w:divBdr>
        <w:top w:val="none" w:sz="0" w:space="0" w:color="auto"/>
        <w:left w:val="none" w:sz="0" w:space="0" w:color="auto"/>
        <w:bottom w:val="none" w:sz="0" w:space="0" w:color="auto"/>
        <w:right w:val="none" w:sz="0" w:space="0" w:color="auto"/>
      </w:divBdr>
    </w:div>
    <w:div w:id="1129935694">
      <w:bodyDiv w:val="1"/>
      <w:marLeft w:val="0"/>
      <w:marRight w:val="0"/>
      <w:marTop w:val="0"/>
      <w:marBottom w:val="0"/>
      <w:divBdr>
        <w:top w:val="none" w:sz="0" w:space="0" w:color="auto"/>
        <w:left w:val="none" w:sz="0" w:space="0" w:color="auto"/>
        <w:bottom w:val="none" w:sz="0" w:space="0" w:color="auto"/>
        <w:right w:val="none" w:sz="0" w:space="0" w:color="auto"/>
      </w:divBdr>
      <w:divsChild>
        <w:div w:id="628705495">
          <w:marLeft w:val="0"/>
          <w:marRight w:val="0"/>
          <w:marTop w:val="0"/>
          <w:marBottom w:val="0"/>
          <w:divBdr>
            <w:top w:val="none" w:sz="0" w:space="0" w:color="auto"/>
            <w:left w:val="none" w:sz="0" w:space="0" w:color="auto"/>
            <w:bottom w:val="none" w:sz="0" w:space="0" w:color="auto"/>
            <w:right w:val="none" w:sz="0" w:space="0" w:color="auto"/>
          </w:divBdr>
          <w:divsChild>
            <w:div w:id="7264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5661">
      <w:bodyDiv w:val="1"/>
      <w:marLeft w:val="0"/>
      <w:marRight w:val="0"/>
      <w:marTop w:val="0"/>
      <w:marBottom w:val="0"/>
      <w:divBdr>
        <w:top w:val="none" w:sz="0" w:space="0" w:color="auto"/>
        <w:left w:val="none" w:sz="0" w:space="0" w:color="auto"/>
        <w:bottom w:val="none" w:sz="0" w:space="0" w:color="auto"/>
        <w:right w:val="none" w:sz="0" w:space="0" w:color="auto"/>
      </w:divBdr>
    </w:div>
    <w:div w:id="1293093645">
      <w:bodyDiv w:val="1"/>
      <w:marLeft w:val="0"/>
      <w:marRight w:val="0"/>
      <w:marTop w:val="0"/>
      <w:marBottom w:val="0"/>
      <w:divBdr>
        <w:top w:val="none" w:sz="0" w:space="0" w:color="auto"/>
        <w:left w:val="none" w:sz="0" w:space="0" w:color="auto"/>
        <w:bottom w:val="none" w:sz="0" w:space="0" w:color="auto"/>
        <w:right w:val="none" w:sz="0" w:space="0" w:color="auto"/>
      </w:divBdr>
    </w:div>
    <w:div w:id="1332949334">
      <w:bodyDiv w:val="1"/>
      <w:marLeft w:val="0"/>
      <w:marRight w:val="0"/>
      <w:marTop w:val="0"/>
      <w:marBottom w:val="0"/>
      <w:divBdr>
        <w:top w:val="none" w:sz="0" w:space="0" w:color="auto"/>
        <w:left w:val="none" w:sz="0" w:space="0" w:color="auto"/>
        <w:bottom w:val="none" w:sz="0" w:space="0" w:color="auto"/>
        <w:right w:val="none" w:sz="0" w:space="0" w:color="auto"/>
      </w:divBdr>
      <w:divsChild>
        <w:div w:id="233203277">
          <w:marLeft w:val="0"/>
          <w:marRight w:val="0"/>
          <w:marTop w:val="0"/>
          <w:marBottom w:val="0"/>
          <w:divBdr>
            <w:top w:val="none" w:sz="0" w:space="0" w:color="auto"/>
            <w:left w:val="none" w:sz="0" w:space="0" w:color="auto"/>
            <w:bottom w:val="none" w:sz="0" w:space="0" w:color="auto"/>
            <w:right w:val="none" w:sz="0" w:space="0" w:color="auto"/>
          </w:divBdr>
          <w:divsChild>
            <w:div w:id="17407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7529">
      <w:bodyDiv w:val="1"/>
      <w:marLeft w:val="0"/>
      <w:marRight w:val="0"/>
      <w:marTop w:val="0"/>
      <w:marBottom w:val="0"/>
      <w:divBdr>
        <w:top w:val="none" w:sz="0" w:space="0" w:color="auto"/>
        <w:left w:val="none" w:sz="0" w:space="0" w:color="auto"/>
        <w:bottom w:val="none" w:sz="0" w:space="0" w:color="auto"/>
        <w:right w:val="none" w:sz="0" w:space="0" w:color="auto"/>
      </w:divBdr>
    </w:div>
    <w:div w:id="1474299450">
      <w:bodyDiv w:val="1"/>
      <w:marLeft w:val="0"/>
      <w:marRight w:val="0"/>
      <w:marTop w:val="0"/>
      <w:marBottom w:val="0"/>
      <w:divBdr>
        <w:top w:val="none" w:sz="0" w:space="0" w:color="auto"/>
        <w:left w:val="none" w:sz="0" w:space="0" w:color="auto"/>
        <w:bottom w:val="none" w:sz="0" w:space="0" w:color="auto"/>
        <w:right w:val="none" w:sz="0" w:space="0" w:color="auto"/>
      </w:divBdr>
    </w:div>
    <w:div w:id="1523323488">
      <w:bodyDiv w:val="1"/>
      <w:marLeft w:val="0"/>
      <w:marRight w:val="0"/>
      <w:marTop w:val="0"/>
      <w:marBottom w:val="0"/>
      <w:divBdr>
        <w:top w:val="none" w:sz="0" w:space="0" w:color="auto"/>
        <w:left w:val="none" w:sz="0" w:space="0" w:color="auto"/>
        <w:bottom w:val="none" w:sz="0" w:space="0" w:color="auto"/>
        <w:right w:val="none" w:sz="0" w:space="0" w:color="auto"/>
      </w:divBdr>
    </w:div>
    <w:div w:id="1534027996">
      <w:bodyDiv w:val="1"/>
      <w:marLeft w:val="0"/>
      <w:marRight w:val="0"/>
      <w:marTop w:val="0"/>
      <w:marBottom w:val="0"/>
      <w:divBdr>
        <w:top w:val="none" w:sz="0" w:space="0" w:color="auto"/>
        <w:left w:val="none" w:sz="0" w:space="0" w:color="auto"/>
        <w:bottom w:val="none" w:sz="0" w:space="0" w:color="auto"/>
        <w:right w:val="none" w:sz="0" w:space="0" w:color="auto"/>
      </w:divBdr>
    </w:div>
    <w:div w:id="1565606302">
      <w:bodyDiv w:val="1"/>
      <w:marLeft w:val="0"/>
      <w:marRight w:val="0"/>
      <w:marTop w:val="0"/>
      <w:marBottom w:val="0"/>
      <w:divBdr>
        <w:top w:val="none" w:sz="0" w:space="0" w:color="auto"/>
        <w:left w:val="none" w:sz="0" w:space="0" w:color="auto"/>
        <w:bottom w:val="none" w:sz="0" w:space="0" w:color="auto"/>
        <w:right w:val="none" w:sz="0" w:space="0" w:color="auto"/>
      </w:divBdr>
      <w:divsChild>
        <w:div w:id="20669049">
          <w:marLeft w:val="0"/>
          <w:marRight w:val="0"/>
          <w:marTop w:val="0"/>
          <w:marBottom w:val="0"/>
          <w:divBdr>
            <w:top w:val="none" w:sz="0" w:space="0" w:color="auto"/>
            <w:left w:val="none" w:sz="0" w:space="0" w:color="auto"/>
            <w:bottom w:val="none" w:sz="0" w:space="0" w:color="auto"/>
            <w:right w:val="none" w:sz="0" w:space="0" w:color="auto"/>
          </w:divBdr>
          <w:divsChild>
            <w:div w:id="12496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11790">
      <w:bodyDiv w:val="1"/>
      <w:marLeft w:val="0"/>
      <w:marRight w:val="0"/>
      <w:marTop w:val="0"/>
      <w:marBottom w:val="0"/>
      <w:divBdr>
        <w:top w:val="none" w:sz="0" w:space="0" w:color="auto"/>
        <w:left w:val="none" w:sz="0" w:space="0" w:color="auto"/>
        <w:bottom w:val="none" w:sz="0" w:space="0" w:color="auto"/>
        <w:right w:val="none" w:sz="0" w:space="0" w:color="auto"/>
      </w:divBdr>
    </w:div>
    <w:div w:id="1596747219">
      <w:bodyDiv w:val="1"/>
      <w:marLeft w:val="0"/>
      <w:marRight w:val="0"/>
      <w:marTop w:val="0"/>
      <w:marBottom w:val="0"/>
      <w:divBdr>
        <w:top w:val="none" w:sz="0" w:space="0" w:color="auto"/>
        <w:left w:val="none" w:sz="0" w:space="0" w:color="auto"/>
        <w:bottom w:val="none" w:sz="0" w:space="0" w:color="auto"/>
        <w:right w:val="none" w:sz="0" w:space="0" w:color="auto"/>
      </w:divBdr>
    </w:div>
    <w:div w:id="1605113857">
      <w:bodyDiv w:val="1"/>
      <w:marLeft w:val="0"/>
      <w:marRight w:val="0"/>
      <w:marTop w:val="0"/>
      <w:marBottom w:val="0"/>
      <w:divBdr>
        <w:top w:val="none" w:sz="0" w:space="0" w:color="auto"/>
        <w:left w:val="none" w:sz="0" w:space="0" w:color="auto"/>
        <w:bottom w:val="none" w:sz="0" w:space="0" w:color="auto"/>
        <w:right w:val="none" w:sz="0" w:space="0" w:color="auto"/>
      </w:divBdr>
    </w:div>
    <w:div w:id="1627350755">
      <w:bodyDiv w:val="1"/>
      <w:marLeft w:val="0"/>
      <w:marRight w:val="0"/>
      <w:marTop w:val="0"/>
      <w:marBottom w:val="0"/>
      <w:divBdr>
        <w:top w:val="none" w:sz="0" w:space="0" w:color="auto"/>
        <w:left w:val="none" w:sz="0" w:space="0" w:color="auto"/>
        <w:bottom w:val="none" w:sz="0" w:space="0" w:color="auto"/>
        <w:right w:val="none" w:sz="0" w:space="0" w:color="auto"/>
      </w:divBdr>
    </w:div>
    <w:div w:id="1640265853">
      <w:bodyDiv w:val="1"/>
      <w:marLeft w:val="0"/>
      <w:marRight w:val="0"/>
      <w:marTop w:val="0"/>
      <w:marBottom w:val="0"/>
      <w:divBdr>
        <w:top w:val="none" w:sz="0" w:space="0" w:color="auto"/>
        <w:left w:val="none" w:sz="0" w:space="0" w:color="auto"/>
        <w:bottom w:val="none" w:sz="0" w:space="0" w:color="auto"/>
        <w:right w:val="none" w:sz="0" w:space="0" w:color="auto"/>
      </w:divBdr>
    </w:div>
    <w:div w:id="1738631720">
      <w:bodyDiv w:val="1"/>
      <w:marLeft w:val="0"/>
      <w:marRight w:val="0"/>
      <w:marTop w:val="0"/>
      <w:marBottom w:val="0"/>
      <w:divBdr>
        <w:top w:val="none" w:sz="0" w:space="0" w:color="auto"/>
        <w:left w:val="none" w:sz="0" w:space="0" w:color="auto"/>
        <w:bottom w:val="none" w:sz="0" w:space="0" w:color="auto"/>
        <w:right w:val="none" w:sz="0" w:space="0" w:color="auto"/>
      </w:divBdr>
    </w:div>
    <w:div w:id="1788888299">
      <w:bodyDiv w:val="1"/>
      <w:marLeft w:val="0"/>
      <w:marRight w:val="0"/>
      <w:marTop w:val="0"/>
      <w:marBottom w:val="0"/>
      <w:divBdr>
        <w:top w:val="none" w:sz="0" w:space="0" w:color="auto"/>
        <w:left w:val="none" w:sz="0" w:space="0" w:color="auto"/>
        <w:bottom w:val="none" w:sz="0" w:space="0" w:color="auto"/>
        <w:right w:val="none" w:sz="0" w:space="0" w:color="auto"/>
      </w:divBdr>
      <w:divsChild>
        <w:div w:id="1991707686">
          <w:marLeft w:val="0"/>
          <w:marRight w:val="0"/>
          <w:marTop w:val="0"/>
          <w:marBottom w:val="0"/>
          <w:divBdr>
            <w:top w:val="none" w:sz="0" w:space="0" w:color="auto"/>
            <w:left w:val="none" w:sz="0" w:space="0" w:color="auto"/>
            <w:bottom w:val="none" w:sz="0" w:space="0" w:color="auto"/>
            <w:right w:val="none" w:sz="0" w:space="0" w:color="auto"/>
          </w:divBdr>
          <w:divsChild>
            <w:div w:id="2246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9778">
      <w:bodyDiv w:val="1"/>
      <w:marLeft w:val="0"/>
      <w:marRight w:val="0"/>
      <w:marTop w:val="0"/>
      <w:marBottom w:val="0"/>
      <w:divBdr>
        <w:top w:val="none" w:sz="0" w:space="0" w:color="auto"/>
        <w:left w:val="none" w:sz="0" w:space="0" w:color="auto"/>
        <w:bottom w:val="none" w:sz="0" w:space="0" w:color="auto"/>
        <w:right w:val="none" w:sz="0" w:space="0" w:color="auto"/>
      </w:divBdr>
    </w:div>
    <w:div w:id="1844008556">
      <w:bodyDiv w:val="1"/>
      <w:marLeft w:val="0"/>
      <w:marRight w:val="0"/>
      <w:marTop w:val="0"/>
      <w:marBottom w:val="0"/>
      <w:divBdr>
        <w:top w:val="none" w:sz="0" w:space="0" w:color="auto"/>
        <w:left w:val="none" w:sz="0" w:space="0" w:color="auto"/>
        <w:bottom w:val="none" w:sz="0" w:space="0" w:color="auto"/>
        <w:right w:val="none" w:sz="0" w:space="0" w:color="auto"/>
      </w:divBdr>
    </w:div>
    <w:div w:id="1883786682">
      <w:bodyDiv w:val="1"/>
      <w:marLeft w:val="0"/>
      <w:marRight w:val="0"/>
      <w:marTop w:val="0"/>
      <w:marBottom w:val="0"/>
      <w:divBdr>
        <w:top w:val="none" w:sz="0" w:space="0" w:color="auto"/>
        <w:left w:val="none" w:sz="0" w:space="0" w:color="auto"/>
        <w:bottom w:val="none" w:sz="0" w:space="0" w:color="auto"/>
        <w:right w:val="none" w:sz="0" w:space="0" w:color="auto"/>
      </w:divBdr>
    </w:div>
    <w:div w:id="1901208076">
      <w:bodyDiv w:val="1"/>
      <w:marLeft w:val="0"/>
      <w:marRight w:val="0"/>
      <w:marTop w:val="0"/>
      <w:marBottom w:val="0"/>
      <w:divBdr>
        <w:top w:val="none" w:sz="0" w:space="0" w:color="auto"/>
        <w:left w:val="none" w:sz="0" w:space="0" w:color="auto"/>
        <w:bottom w:val="none" w:sz="0" w:space="0" w:color="auto"/>
        <w:right w:val="none" w:sz="0" w:space="0" w:color="auto"/>
      </w:divBdr>
    </w:div>
    <w:div w:id="1917470839">
      <w:bodyDiv w:val="1"/>
      <w:marLeft w:val="0"/>
      <w:marRight w:val="0"/>
      <w:marTop w:val="0"/>
      <w:marBottom w:val="0"/>
      <w:divBdr>
        <w:top w:val="none" w:sz="0" w:space="0" w:color="auto"/>
        <w:left w:val="none" w:sz="0" w:space="0" w:color="auto"/>
        <w:bottom w:val="none" w:sz="0" w:space="0" w:color="auto"/>
        <w:right w:val="none" w:sz="0" w:space="0" w:color="auto"/>
      </w:divBdr>
    </w:div>
    <w:div w:id="2041858941">
      <w:bodyDiv w:val="1"/>
      <w:marLeft w:val="0"/>
      <w:marRight w:val="0"/>
      <w:marTop w:val="0"/>
      <w:marBottom w:val="0"/>
      <w:divBdr>
        <w:top w:val="none" w:sz="0" w:space="0" w:color="auto"/>
        <w:left w:val="none" w:sz="0" w:space="0" w:color="auto"/>
        <w:bottom w:val="none" w:sz="0" w:space="0" w:color="auto"/>
        <w:right w:val="none" w:sz="0" w:space="0" w:color="auto"/>
      </w:divBdr>
      <w:divsChild>
        <w:div w:id="1725911321">
          <w:marLeft w:val="0"/>
          <w:marRight w:val="0"/>
          <w:marTop w:val="0"/>
          <w:marBottom w:val="0"/>
          <w:divBdr>
            <w:top w:val="none" w:sz="0" w:space="0" w:color="auto"/>
            <w:left w:val="none" w:sz="0" w:space="0" w:color="auto"/>
            <w:bottom w:val="none" w:sz="0" w:space="0" w:color="auto"/>
            <w:right w:val="none" w:sz="0" w:space="0" w:color="auto"/>
          </w:divBdr>
          <w:divsChild>
            <w:div w:id="21119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17</Pages>
  <Words>4150</Words>
  <Characters>23661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Niket Shah</cp:lastModifiedBy>
  <cp:revision>3</cp:revision>
  <dcterms:created xsi:type="dcterms:W3CDTF">2025-04-21T19:29:00Z</dcterms:created>
  <dcterms:modified xsi:type="dcterms:W3CDTF">2025-05-02T23:33:00Z</dcterms:modified>
  <cp:category/>
</cp:coreProperties>
</file>