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B161AC" w14:textId="77777777" w:rsidR="00F263A3" w:rsidRDefault="00FE72B3">
      <w:pPr>
        <w:jc w:val="center"/>
        <w:rPr>
          <w:sz w:val="48"/>
          <w:szCs w:val="48"/>
        </w:rPr>
      </w:pPr>
      <w:r>
        <w:rPr>
          <w:i/>
          <w:sz w:val="49"/>
          <w:szCs w:val="49"/>
        </w:rPr>
        <w:t>COCA-COLA</w:t>
      </w:r>
    </w:p>
    <w:p w14:paraId="710270D7" w14:textId="2F07BA99" w:rsidR="002F107A" w:rsidRPr="002F107A" w:rsidRDefault="002F107A">
      <w:pPr>
        <w:rPr>
          <w:sz w:val="26"/>
          <w:szCs w:val="26"/>
        </w:rPr>
      </w:pPr>
      <w:r w:rsidRPr="002F107A">
        <w:rPr>
          <w:sz w:val="26"/>
          <w:szCs w:val="26"/>
        </w:rPr>
        <w:t>Project By,</w:t>
      </w:r>
    </w:p>
    <w:p w14:paraId="42FCD66E" w14:textId="57E1157E" w:rsidR="00F263A3" w:rsidRPr="002F107A" w:rsidRDefault="00FE72B3">
      <w:pPr>
        <w:rPr>
          <w:sz w:val="26"/>
          <w:szCs w:val="26"/>
        </w:rPr>
      </w:pPr>
      <w:r w:rsidRPr="002F107A">
        <w:rPr>
          <w:sz w:val="26"/>
          <w:szCs w:val="26"/>
        </w:rPr>
        <w:t xml:space="preserve">NIKET SHAH </w:t>
      </w:r>
    </w:p>
    <w:p w14:paraId="78BB16B8" w14:textId="77777777" w:rsidR="00F263A3" w:rsidRPr="002F107A" w:rsidRDefault="00FE72B3">
      <w:pPr>
        <w:rPr>
          <w:sz w:val="26"/>
          <w:szCs w:val="26"/>
        </w:rPr>
      </w:pPr>
      <w:r w:rsidRPr="002F107A">
        <w:rPr>
          <w:sz w:val="26"/>
          <w:szCs w:val="26"/>
        </w:rPr>
        <w:t>VYSHNAVI MEDIKONDA</w:t>
      </w:r>
    </w:p>
    <w:p w14:paraId="3C638C1A" w14:textId="77777777" w:rsidR="00F263A3" w:rsidRPr="002F107A" w:rsidRDefault="00FE72B3">
      <w:pPr>
        <w:rPr>
          <w:sz w:val="26"/>
          <w:szCs w:val="26"/>
        </w:rPr>
      </w:pPr>
      <w:r w:rsidRPr="002F107A">
        <w:rPr>
          <w:sz w:val="26"/>
          <w:szCs w:val="26"/>
        </w:rPr>
        <w:t xml:space="preserve">PURVI MEHTA </w:t>
      </w:r>
    </w:p>
    <w:p w14:paraId="520293A4" w14:textId="77777777" w:rsidR="00F263A3" w:rsidRPr="002F107A" w:rsidRDefault="00FE72B3">
      <w:pPr>
        <w:rPr>
          <w:sz w:val="26"/>
          <w:szCs w:val="26"/>
        </w:rPr>
      </w:pPr>
      <w:r w:rsidRPr="002F107A">
        <w:rPr>
          <w:sz w:val="26"/>
          <w:szCs w:val="26"/>
        </w:rPr>
        <w:t xml:space="preserve">SMIT DAYANI </w:t>
      </w:r>
    </w:p>
    <w:p w14:paraId="47E6DE62" w14:textId="77777777" w:rsidR="00F263A3" w:rsidRPr="002F107A" w:rsidRDefault="00F263A3">
      <w:pPr>
        <w:rPr>
          <w:sz w:val="26"/>
          <w:szCs w:val="26"/>
        </w:rPr>
      </w:pPr>
    </w:p>
    <w:p w14:paraId="7EEE2D57" w14:textId="77777777" w:rsidR="00F263A3" w:rsidRPr="002F107A" w:rsidRDefault="00FE72B3">
      <w:pPr>
        <w:rPr>
          <w:sz w:val="26"/>
          <w:szCs w:val="26"/>
        </w:rPr>
      </w:pPr>
      <w:r w:rsidRPr="002F107A">
        <w:rPr>
          <w:sz w:val="26"/>
          <w:szCs w:val="26"/>
        </w:rPr>
        <w:t>PROFESSOR YANRU HAN</w:t>
      </w:r>
    </w:p>
    <w:p w14:paraId="124E5759" w14:textId="77777777" w:rsidR="00F263A3" w:rsidRPr="002F107A" w:rsidRDefault="00FE72B3">
      <w:pPr>
        <w:rPr>
          <w:sz w:val="26"/>
          <w:szCs w:val="26"/>
        </w:rPr>
      </w:pPr>
      <w:r w:rsidRPr="002F107A">
        <w:rPr>
          <w:sz w:val="26"/>
          <w:szCs w:val="26"/>
        </w:rPr>
        <w:t>11/25/2024</w:t>
      </w:r>
    </w:p>
    <w:p w14:paraId="6279A4CE" w14:textId="77777777" w:rsidR="00F263A3" w:rsidRDefault="00F263A3">
      <w:pPr>
        <w:rPr>
          <w:sz w:val="28"/>
          <w:szCs w:val="28"/>
        </w:rPr>
      </w:pPr>
    </w:p>
    <w:p w14:paraId="6FB46ADE" w14:textId="77777777" w:rsidR="00F263A3" w:rsidRDefault="00FE72B3">
      <w:pPr>
        <w:jc w:val="both"/>
        <w:rPr>
          <w:sz w:val="27"/>
          <w:szCs w:val="27"/>
        </w:rPr>
      </w:pPr>
      <w:r>
        <w:rPr>
          <w:sz w:val="27"/>
          <w:szCs w:val="27"/>
        </w:rPr>
        <w:t>The Coca-Cola Company is most recognized for its trademark soft drink, Coca-Cola. John Stith Pemberton established it in Atlanta, Georgia, in 1886, and it has since expanded into a global company with a wide range of products. In addition to the Coca-Cola brand, Coca-Cola also sells beverages under the Sprite, Fanta, Minute Maid, Dasani, and Powerade brands. The business uses a global network of distributors and bottlers to run its operations.</w:t>
      </w:r>
    </w:p>
    <w:p w14:paraId="7774C666" w14:textId="77777777" w:rsidR="00F263A3" w:rsidRDefault="00FE72B3">
      <w:pPr>
        <w:jc w:val="both"/>
        <w:rPr>
          <w:sz w:val="27"/>
          <w:szCs w:val="27"/>
        </w:rPr>
      </w:pPr>
      <w:r>
        <w:rPr>
          <w:sz w:val="27"/>
          <w:szCs w:val="27"/>
        </w:rPr>
        <w:t>Here’s a table summarizing the key information about selected bonds issued by The Coca-Cola Company based on publicly available data:</w:t>
      </w:r>
    </w:p>
    <w:p w14:paraId="55EC2BB8" w14:textId="77777777" w:rsidR="00F263A3" w:rsidRDefault="00F263A3">
      <w:pPr>
        <w:jc w:val="both"/>
      </w:pPr>
    </w:p>
    <w:tbl>
      <w:tblPr>
        <w:tblStyle w:val="a"/>
        <w:tblW w:w="9016"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ayout w:type="fixed"/>
        <w:tblLook w:val="04A0" w:firstRow="1" w:lastRow="0" w:firstColumn="1" w:lastColumn="0" w:noHBand="0" w:noVBand="1"/>
      </w:tblPr>
      <w:tblGrid>
        <w:gridCol w:w="1413"/>
        <w:gridCol w:w="2193"/>
        <w:gridCol w:w="1351"/>
        <w:gridCol w:w="2255"/>
        <w:gridCol w:w="1804"/>
      </w:tblGrid>
      <w:tr w:rsidR="00F263A3" w14:paraId="07FEB8D1" w14:textId="77777777" w:rsidTr="00F263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000000"/>
              <w:left w:val="single" w:sz="4" w:space="0" w:color="000000"/>
              <w:bottom w:val="single" w:sz="4" w:space="0" w:color="000000"/>
            </w:tcBorders>
            <w:shd w:val="clear" w:color="auto" w:fill="FFFFFF"/>
          </w:tcPr>
          <w:p w14:paraId="605604A3" w14:textId="77777777" w:rsidR="00F263A3" w:rsidRDefault="00FE72B3">
            <w:pPr>
              <w:rPr>
                <w:color w:val="000000"/>
                <w:sz w:val="28"/>
                <w:szCs w:val="28"/>
              </w:rPr>
            </w:pPr>
            <w:r>
              <w:rPr>
                <w:color w:val="000000"/>
                <w:sz w:val="28"/>
                <w:szCs w:val="28"/>
              </w:rPr>
              <w:t>COUPON RATE</w:t>
            </w:r>
          </w:p>
        </w:tc>
        <w:tc>
          <w:tcPr>
            <w:tcW w:w="2193" w:type="dxa"/>
            <w:tcBorders>
              <w:top w:val="single" w:sz="4" w:space="0" w:color="000000"/>
              <w:left w:val="single" w:sz="4" w:space="0" w:color="000000"/>
              <w:bottom w:val="single" w:sz="4" w:space="0" w:color="000000"/>
              <w:right w:val="single" w:sz="4" w:space="0" w:color="000000"/>
            </w:tcBorders>
            <w:shd w:val="clear" w:color="auto" w:fill="FFFFFF"/>
          </w:tcPr>
          <w:p w14:paraId="5EFCD667" w14:textId="77777777" w:rsidR="00F263A3" w:rsidRDefault="00FE72B3">
            <w:pPr>
              <w:cnfStyle w:val="100000000000" w:firstRow="1" w:lastRow="0" w:firstColumn="0" w:lastColumn="0" w:oddVBand="0" w:evenVBand="0" w:oddHBand="0" w:evenHBand="0" w:firstRowFirstColumn="0" w:firstRowLastColumn="0" w:lastRowFirstColumn="0" w:lastRowLastColumn="0"/>
              <w:rPr>
                <w:color w:val="000000"/>
                <w:sz w:val="28"/>
                <w:szCs w:val="28"/>
              </w:rPr>
            </w:pPr>
            <w:r>
              <w:rPr>
                <w:color w:val="000000"/>
                <w:sz w:val="28"/>
                <w:szCs w:val="28"/>
              </w:rPr>
              <w:t xml:space="preserve">MATURITY DATE </w:t>
            </w:r>
          </w:p>
        </w:tc>
        <w:tc>
          <w:tcPr>
            <w:tcW w:w="1351" w:type="dxa"/>
            <w:tcBorders>
              <w:top w:val="single" w:sz="4" w:space="0" w:color="000000"/>
              <w:left w:val="single" w:sz="4" w:space="0" w:color="000000"/>
              <w:bottom w:val="single" w:sz="4" w:space="0" w:color="000000"/>
              <w:right w:val="single" w:sz="4" w:space="0" w:color="000000"/>
            </w:tcBorders>
            <w:shd w:val="clear" w:color="auto" w:fill="FFFFFF"/>
          </w:tcPr>
          <w:p w14:paraId="24BA0A8E" w14:textId="77777777" w:rsidR="00F263A3" w:rsidRDefault="00FE72B3">
            <w:pPr>
              <w:cnfStyle w:val="100000000000" w:firstRow="1" w:lastRow="0" w:firstColumn="0" w:lastColumn="0" w:oddVBand="0" w:evenVBand="0" w:oddHBand="0" w:evenHBand="0" w:firstRowFirstColumn="0" w:firstRowLastColumn="0" w:lastRowFirstColumn="0" w:lastRowLastColumn="0"/>
              <w:rPr>
                <w:color w:val="000000"/>
                <w:sz w:val="28"/>
                <w:szCs w:val="28"/>
              </w:rPr>
            </w:pPr>
            <w:r>
              <w:rPr>
                <w:color w:val="000000"/>
                <w:sz w:val="28"/>
                <w:szCs w:val="28"/>
              </w:rPr>
              <w:t xml:space="preserve">COUPON TYPE </w:t>
            </w:r>
          </w:p>
        </w:tc>
        <w:tc>
          <w:tcPr>
            <w:tcW w:w="2255" w:type="dxa"/>
            <w:tcBorders>
              <w:top w:val="single" w:sz="4" w:space="0" w:color="000000"/>
              <w:left w:val="single" w:sz="4" w:space="0" w:color="000000"/>
              <w:bottom w:val="single" w:sz="4" w:space="0" w:color="000000"/>
              <w:right w:val="single" w:sz="4" w:space="0" w:color="000000"/>
            </w:tcBorders>
            <w:shd w:val="clear" w:color="auto" w:fill="FFFFFF"/>
          </w:tcPr>
          <w:p w14:paraId="1033BAF6" w14:textId="77777777" w:rsidR="00F263A3" w:rsidRDefault="00FE72B3">
            <w:pPr>
              <w:cnfStyle w:val="100000000000" w:firstRow="1" w:lastRow="0" w:firstColumn="0" w:lastColumn="0" w:oddVBand="0" w:evenVBand="0" w:oddHBand="0" w:evenHBand="0" w:firstRowFirstColumn="0" w:firstRowLastColumn="0" w:lastRowFirstColumn="0" w:lastRowLastColumn="0"/>
              <w:rPr>
                <w:color w:val="000000"/>
                <w:sz w:val="28"/>
                <w:szCs w:val="28"/>
              </w:rPr>
            </w:pPr>
            <w:r>
              <w:rPr>
                <w:color w:val="000000"/>
                <w:sz w:val="28"/>
                <w:szCs w:val="28"/>
              </w:rPr>
              <w:t>COUPON PAYMENT DATE</w:t>
            </w:r>
          </w:p>
        </w:tc>
        <w:tc>
          <w:tcPr>
            <w:tcW w:w="1804" w:type="dxa"/>
            <w:tcBorders>
              <w:top w:val="single" w:sz="4" w:space="0" w:color="000000"/>
              <w:left w:val="single" w:sz="4" w:space="0" w:color="000000"/>
              <w:bottom w:val="single" w:sz="4" w:space="0" w:color="000000"/>
              <w:right w:val="single" w:sz="4" w:space="0" w:color="000000"/>
            </w:tcBorders>
            <w:shd w:val="clear" w:color="auto" w:fill="FFFFFF"/>
          </w:tcPr>
          <w:p w14:paraId="2B982CE3" w14:textId="77777777" w:rsidR="00F263A3" w:rsidRDefault="00FE72B3">
            <w:pPr>
              <w:cnfStyle w:val="100000000000" w:firstRow="1" w:lastRow="0" w:firstColumn="0" w:lastColumn="0" w:oddVBand="0" w:evenVBand="0" w:oddHBand="0" w:evenHBand="0" w:firstRowFirstColumn="0" w:firstRowLastColumn="0" w:lastRowFirstColumn="0" w:lastRowLastColumn="0"/>
              <w:rPr>
                <w:color w:val="000000"/>
                <w:sz w:val="28"/>
                <w:szCs w:val="28"/>
              </w:rPr>
            </w:pPr>
            <w:r>
              <w:rPr>
                <w:color w:val="000000"/>
                <w:sz w:val="28"/>
                <w:szCs w:val="28"/>
              </w:rPr>
              <w:t>CALLABLE</w:t>
            </w:r>
          </w:p>
        </w:tc>
      </w:tr>
      <w:tr w:rsidR="00F263A3" w14:paraId="2E6034D2" w14:textId="77777777" w:rsidTr="00F26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000000"/>
              <w:left w:val="single" w:sz="4" w:space="0" w:color="000000"/>
              <w:bottom w:val="single" w:sz="4" w:space="0" w:color="000000"/>
              <w:right w:val="single" w:sz="4" w:space="0" w:color="000000"/>
            </w:tcBorders>
            <w:shd w:val="clear" w:color="auto" w:fill="FFFFFF"/>
          </w:tcPr>
          <w:p w14:paraId="5204CDD1" w14:textId="77777777" w:rsidR="00F263A3" w:rsidRDefault="00FE72B3">
            <w:pPr>
              <w:rPr>
                <w:color w:val="000000"/>
                <w:sz w:val="28"/>
                <w:szCs w:val="28"/>
              </w:rPr>
            </w:pPr>
            <w:r>
              <w:rPr>
                <w:color w:val="000000"/>
                <w:sz w:val="28"/>
                <w:szCs w:val="28"/>
              </w:rPr>
              <w:t>5.45%</w:t>
            </w:r>
          </w:p>
        </w:tc>
        <w:tc>
          <w:tcPr>
            <w:tcW w:w="2193" w:type="dxa"/>
            <w:tcBorders>
              <w:top w:val="single" w:sz="4" w:space="0" w:color="000000"/>
              <w:left w:val="single" w:sz="4" w:space="0" w:color="000000"/>
              <w:bottom w:val="single" w:sz="4" w:space="0" w:color="000000"/>
              <w:right w:val="single" w:sz="4" w:space="0" w:color="000000"/>
            </w:tcBorders>
            <w:shd w:val="clear" w:color="auto" w:fill="FFFFFF"/>
          </w:tcPr>
          <w:p w14:paraId="1D58A4FE" w14:textId="77777777" w:rsidR="00F263A3" w:rsidRDefault="00FE72B3">
            <w:pPr>
              <w:cnfStyle w:val="000000100000" w:firstRow="0" w:lastRow="0" w:firstColumn="0" w:lastColumn="0" w:oddVBand="0" w:evenVBand="0" w:oddHBand="1" w:evenHBand="0" w:firstRowFirstColumn="0" w:firstRowLastColumn="0" w:lastRowFirstColumn="0" w:lastRowLastColumn="0"/>
              <w:rPr>
                <w:color w:val="000000"/>
                <w:sz w:val="28"/>
                <w:szCs w:val="28"/>
              </w:rPr>
            </w:pPr>
            <w:r>
              <w:rPr>
                <w:color w:val="000000"/>
                <w:sz w:val="28"/>
                <w:szCs w:val="28"/>
              </w:rPr>
              <w:t>June 1,2034</w:t>
            </w:r>
          </w:p>
        </w:tc>
        <w:tc>
          <w:tcPr>
            <w:tcW w:w="1351" w:type="dxa"/>
            <w:tcBorders>
              <w:top w:val="single" w:sz="4" w:space="0" w:color="000000"/>
              <w:left w:val="single" w:sz="4" w:space="0" w:color="000000"/>
              <w:bottom w:val="single" w:sz="4" w:space="0" w:color="000000"/>
              <w:right w:val="single" w:sz="4" w:space="0" w:color="000000"/>
            </w:tcBorders>
            <w:shd w:val="clear" w:color="auto" w:fill="FFFFFF"/>
          </w:tcPr>
          <w:p w14:paraId="6CBE647C" w14:textId="77777777" w:rsidR="00F263A3" w:rsidRDefault="00FE72B3">
            <w:pPr>
              <w:cnfStyle w:val="000000100000" w:firstRow="0" w:lastRow="0" w:firstColumn="0" w:lastColumn="0" w:oddVBand="0" w:evenVBand="0" w:oddHBand="1" w:evenHBand="0" w:firstRowFirstColumn="0" w:firstRowLastColumn="0" w:lastRowFirstColumn="0" w:lastRowLastColumn="0"/>
              <w:rPr>
                <w:color w:val="000000"/>
                <w:sz w:val="28"/>
                <w:szCs w:val="28"/>
              </w:rPr>
            </w:pPr>
            <w:r>
              <w:rPr>
                <w:color w:val="000000"/>
                <w:sz w:val="28"/>
                <w:szCs w:val="28"/>
              </w:rPr>
              <w:t>FIXED</w:t>
            </w:r>
          </w:p>
        </w:tc>
        <w:tc>
          <w:tcPr>
            <w:tcW w:w="2255" w:type="dxa"/>
            <w:tcBorders>
              <w:top w:val="single" w:sz="4" w:space="0" w:color="000000"/>
              <w:left w:val="single" w:sz="4" w:space="0" w:color="000000"/>
              <w:bottom w:val="single" w:sz="4" w:space="0" w:color="000000"/>
              <w:right w:val="single" w:sz="4" w:space="0" w:color="000000"/>
            </w:tcBorders>
            <w:shd w:val="clear" w:color="auto" w:fill="FFFFFF"/>
          </w:tcPr>
          <w:p w14:paraId="5F21DC6F" w14:textId="77777777" w:rsidR="00F263A3" w:rsidRDefault="00FE72B3">
            <w:pPr>
              <w:cnfStyle w:val="000000100000" w:firstRow="0" w:lastRow="0" w:firstColumn="0" w:lastColumn="0" w:oddVBand="0" w:evenVBand="0" w:oddHBand="1" w:evenHBand="0" w:firstRowFirstColumn="0" w:firstRowLastColumn="0" w:lastRowFirstColumn="0" w:lastRowLastColumn="0"/>
              <w:rPr>
                <w:color w:val="000000"/>
                <w:sz w:val="28"/>
                <w:szCs w:val="28"/>
              </w:rPr>
            </w:pPr>
            <w:r>
              <w:rPr>
                <w:color w:val="000000"/>
                <w:sz w:val="28"/>
                <w:szCs w:val="28"/>
              </w:rPr>
              <w:t>SEMI-ANNUAL (JUNE 01 AND DECEMBER 01)</w:t>
            </w:r>
          </w:p>
        </w:tc>
        <w:tc>
          <w:tcPr>
            <w:tcW w:w="1804" w:type="dxa"/>
            <w:tcBorders>
              <w:top w:val="single" w:sz="4" w:space="0" w:color="000000"/>
              <w:left w:val="single" w:sz="4" w:space="0" w:color="000000"/>
              <w:bottom w:val="single" w:sz="4" w:space="0" w:color="000000"/>
              <w:right w:val="single" w:sz="4" w:space="0" w:color="000000"/>
            </w:tcBorders>
            <w:shd w:val="clear" w:color="auto" w:fill="FFFFFF"/>
          </w:tcPr>
          <w:p w14:paraId="3112840A" w14:textId="77777777" w:rsidR="00F263A3" w:rsidRDefault="00FE72B3">
            <w:pPr>
              <w:cnfStyle w:val="000000100000" w:firstRow="0" w:lastRow="0" w:firstColumn="0" w:lastColumn="0" w:oddVBand="0" w:evenVBand="0" w:oddHBand="1" w:evenHBand="0" w:firstRowFirstColumn="0" w:firstRowLastColumn="0" w:lastRowFirstColumn="0" w:lastRowLastColumn="0"/>
              <w:rPr>
                <w:color w:val="000000"/>
                <w:sz w:val="28"/>
                <w:szCs w:val="28"/>
              </w:rPr>
            </w:pPr>
            <w:r>
              <w:rPr>
                <w:color w:val="000000"/>
                <w:sz w:val="28"/>
                <w:szCs w:val="28"/>
              </w:rPr>
              <w:t>YES</w:t>
            </w:r>
          </w:p>
        </w:tc>
      </w:tr>
      <w:tr w:rsidR="00F263A3" w14:paraId="705EF651" w14:textId="77777777" w:rsidTr="00F263A3">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000000"/>
              <w:left w:val="single" w:sz="4" w:space="0" w:color="000000"/>
              <w:bottom w:val="single" w:sz="4" w:space="0" w:color="000000"/>
              <w:right w:val="single" w:sz="4" w:space="0" w:color="000000"/>
            </w:tcBorders>
            <w:shd w:val="clear" w:color="auto" w:fill="FFFFFF"/>
          </w:tcPr>
          <w:p w14:paraId="3BD7372D" w14:textId="77777777" w:rsidR="00F263A3" w:rsidRDefault="00FE72B3">
            <w:pPr>
              <w:rPr>
                <w:color w:val="000000"/>
                <w:sz w:val="28"/>
                <w:szCs w:val="28"/>
              </w:rPr>
            </w:pPr>
            <w:r>
              <w:rPr>
                <w:color w:val="000000"/>
                <w:sz w:val="28"/>
                <w:szCs w:val="28"/>
              </w:rPr>
              <w:t>5%</w:t>
            </w:r>
          </w:p>
        </w:tc>
        <w:tc>
          <w:tcPr>
            <w:tcW w:w="2193" w:type="dxa"/>
            <w:tcBorders>
              <w:top w:val="single" w:sz="4" w:space="0" w:color="000000"/>
              <w:left w:val="single" w:sz="4" w:space="0" w:color="000000"/>
              <w:bottom w:val="single" w:sz="4" w:space="0" w:color="000000"/>
              <w:right w:val="single" w:sz="4" w:space="0" w:color="000000"/>
            </w:tcBorders>
            <w:shd w:val="clear" w:color="auto" w:fill="FFFFFF"/>
          </w:tcPr>
          <w:p w14:paraId="4A6C9FD9" w14:textId="77777777" w:rsidR="00F263A3" w:rsidRDefault="00FE72B3">
            <w:pPr>
              <w:cnfStyle w:val="000000000000" w:firstRow="0" w:lastRow="0" w:firstColumn="0" w:lastColumn="0" w:oddVBand="0" w:evenVBand="0" w:oddHBand="0" w:evenHBand="0" w:firstRowFirstColumn="0" w:firstRowLastColumn="0" w:lastRowFirstColumn="0" w:lastRowLastColumn="0"/>
              <w:rPr>
                <w:color w:val="000000"/>
                <w:sz w:val="28"/>
                <w:szCs w:val="28"/>
              </w:rPr>
            </w:pPr>
            <w:r>
              <w:rPr>
                <w:color w:val="000000"/>
                <w:sz w:val="28"/>
                <w:szCs w:val="28"/>
              </w:rPr>
              <w:t>May 13, 2034</w:t>
            </w:r>
          </w:p>
        </w:tc>
        <w:tc>
          <w:tcPr>
            <w:tcW w:w="1351" w:type="dxa"/>
            <w:tcBorders>
              <w:top w:val="single" w:sz="4" w:space="0" w:color="000000"/>
              <w:left w:val="single" w:sz="4" w:space="0" w:color="000000"/>
              <w:bottom w:val="single" w:sz="4" w:space="0" w:color="000000"/>
              <w:right w:val="single" w:sz="4" w:space="0" w:color="000000"/>
            </w:tcBorders>
            <w:shd w:val="clear" w:color="auto" w:fill="FFFFFF"/>
          </w:tcPr>
          <w:p w14:paraId="443D3441" w14:textId="77777777" w:rsidR="00F263A3" w:rsidRDefault="00FE72B3">
            <w:pPr>
              <w:cnfStyle w:val="000000000000" w:firstRow="0" w:lastRow="0" w:firstColumn="0" w:lastColumn="0" w:oddVBand="0" w:evenVBand="0" w:oddHBand="0" w:evenHBand="0" w:firstRowFirstColumn="0" w:firstRowLastColumn="0" w:lastRowFirstColumn="0" w:lastRowLastColumn="0"/>
              <w:rPr>
                <w:color w:val="000000"/>
                <w:sz w:val="28"/>
                <w:szCs w:val="28"/>
              </w:rPr>
            </w:pPr>
            <w:r>
              <w:rPr>
                <w:color w:val="000000"/>
                <w:sz w:val="28"/>
                <w:szCs w:val="28"/>
              </w:rPr>
              <w:t>FIXED</w:t>
            </w:r>
          </w:p>
        </w:tc>
        <w:tc>
          <w:tcPr>
            <w:tcW w:w="2255" w:type="dxa"/>
            <w:tcBorders>
              <w:top w:val="single" w:sz="4" w:space="0" w:color="000000"/>
              <w:left w:val="single" w:sz="4" w:space="0" w:color="000000"/>
              <w:bottom w:val="single" w:sz="4" w:space="0" w:color="000000"/>
              <w:right w:val="single" w:sz="4" w:space="0" w:color="000000"/>
            </w:tcBorders>
            <w:shd w:val="clear" w:color="auto" w:fill="FFFFFF"/>
          </w:tcPr>
          <w:p w14:paraId="7B0A7515" w14:textId="77777777" w:rsidR="00F263A3" w:rsidRDefault="00FE72B3">
            <w:pPr>
              <w:cnfStyle w:val="000000000000" w:firstRow="0" w:lastRow="0" w:firstColumn="0" w:lastColumn="0" w:oddVBand="0" w:evenVBand="0" w:oddHBand="0" w:evenHBand="0" w:firstRowFirstColumn="0" w:firstRowLastColumn="0" w:lastRowFirstColumn="0" w:lastRowLastColumn="0"/>
              <w:rPr>
                <w:color w:val="000000"/>
                <w:sz w:val="28"/>
                <w:szCs w:val="28"/>
              </w:rPr>
            </w:pPr>
            <w:r>
              <w:rPr>
                <w:color w:val="000000"/>
                <w:sz w:val="28"/>
                <w:szCs w:val="28"/>
              </w:rPr>
              <w:t>SEMI-ANNUAL (MAY 13 AND NOVEMBER 13)</w:t>
            </w:r>
          </w:p>
        </w:tc>
        <w:tc>
          <w:tcPr>
            <w:tcW w:w="1804" w:type="dxa"/>
            <w:tcBorders>
              <w:top w:val="single" w:sz="4" w:space="0" w:color="000000"/>
              <w:left w:val="single" w:sz="4" w:space="0" w:color="000000"/>
              <w:bottom w:val="single" w:sz="4" w:space="0" w:color="000000"/>
              <w:right w:val="single" w:sz="4" w:space="0" w:color="000000"/>
            </w:tcBorders>
            <w:shd w:val="clear" w:color="auto" w:fill="FFFFFF"/>
          </w:tcPr>
          <w:p w14:paraId="5B3A8DCE" w14:textId="77777777" w:rsidR="00F263A3" w:rsidRDefault="00FE72B3">
            <w:pPr>
              <w:cnfStyle w:val="000000000000" w:firstRow="0" w:lastRow="0" w:firstColumn="0" w:lastColumn="0" w:oddVBand="0" w:evenVBand="0" w:oddHBand="0" w:evenHBand="0" w:firstRowFirstColumn="0" w:firstRowLastColumn="0" w:lastRowFirstColumn="0" w:lastRowLastColumn="0"/>
              <w:rPr>
                <w:color w:val="000000"/>
                <w:sz w:val="28"/>
                <w:szCs w:val="28"/>
              </w:rPr>
            </w:pPr>
            <w:r>
              <w:rPr>
                <w:color w:val="000000"/>
                <w:sz w:val="28"/>
                <w:szCs w:val="28"/>
              </w:rPr>
              <w:t>YES</w:t>
            </w:r>
          </w:p>
        </w:tc>
      </w:tr>
      <w:tr w:rsidR="00F263A3" w14:paraId="035CBBB8" w14:textId="77777777" w:rsidTr="00F26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000000"/>
              <w:left w:val="single" w:sz="4" w:space="0" w:color="000000"/>
              <w:bottom w:val="single" w:sz="4" w:space="0" w:color="000000"/>
              <w:right w:val="single" w:sz="4" w:space="0" w:color="000000"/>
            </w:tcBorders>
            <w:shd w:val="clear" w:color="auto" w:fill="FFFFFF"/>
          </w:tcPr>
          <w:p w14:paraId="061C8381" w14:textId="77777777" w:rsidR="00F263A3" w:rsidRDefault="00FE72B3">
            <w:pPr>
              <w:rPr>
                <w:color w:val="000000"/>
                <w:sz w:val="28"/>
                <w:szCs w:val="28"/>
              </w:rPr>
            </w:pPr>
            <w:r>
              <w:rPr>
                <w:color w:val="000000"/>
                <w:sz w:val="28"/>
                <w:szCs w:val="28"/>
              </w:rPr>
              <w:t>3.45%</w:t>
            </w:r>
          </w:p>
        </w:tc>
        <w:tc>
          <w:tcPr>
            <w:tcW w:w="2193" w:type="dxa"/>
            <w:tcBorders>
              <w:top w:val="single" w:sz="4" w:space="0" w:color="000000"/>
              <w:left w:val="single" w:sz="4" w:space="0" w:color="000000"/>
              <w:bottom w:val="single" w:sz="4" w:space="0" w:color="000000"/>
              <w:right w:val="single" w:sz="4" w:space="0" w:color="000000"/>
            </w:tcBorders>
            <w:shd w:val="clear" w:color="auto" w:fill="FFFFFF"/>
          </w:tcPr>
          <w:p w14:paraId="0EEDABEE" w14:textId="77777777" w:rsidR="00F263A3" w:rsidRDefault="00FE72B3">
            <w:pPr>
              <w:cnfStyle w:val="000000100000" w:firstRow="0" w:lastRow="0" w:firstColumn="0" w:lastColumn="0" w:oddVBand="0" w:evenVBand="0" w:oddHBand="1" w:evenHBand="0" w:firstRowFirstColumn="0" w:firstRowLastColumn="0" w:lastRowFirstColumn="0" w:lastRowLastColumn="0"/>
              <w:rPr>
                <w:color w:val="000000"/>
                <w:sz w:val="28"/>
                <w:szCs w:val="28"/>
              </w:rPr>
            </w:pPr>
            <w:r>
              <w:rPr>
                <w:color w:val="000000"/>
                <w:sz w:val="28"/>
                <w:szCs w:val="28"/>
              </w:rPr>
              <w:t>March 25,2030</w:t>
            </w:r>
          </w:p>
        </w:tc>
        <w:tc>
          <w:tcPr>
            <w:tcW w:w="1351" w:type="dxa"/>
            <w:tcBorders>
              <w:top w:val="single" w:sz="4" w:space="0" w:color="000000"/>
              <w:left w:val="single" w:sz="4" w:space="0" w:color="000000"/>
              <w:bottom w:val="single" w:sz="4" w:space="0" w:color="000000"/>
              <w:right w:val="single" w:sz="4" w:space="0" w:color="000000"/>
            </w:tcBorders>
            <w:shd w:val="clear" w:color="auto" w:fill="FFFFFF"/>
          </w:tcPr>
          <w:p w14:paraId="4EE9888D" w14:textId="77777777" w:rsidR="00F263A3" w:rsidRDefault="00FE72B3">
            <w:pPr>
              <w:cnfStyle w:val="000000100000" w:firstRow="0" w:lastRow="0" w:firstColumn="0" w:lastColumn="0" w:oddVBand="0" w:evenVBand="0" w:oddHBand="1" w:evenHBand="0" w:firstRowFirstColumn="0" w:firstRowLastColumn="0" w:lastRowFirstColumn="0" w:lastRowLastColumn="0"/>
              <w:rPr>
                <w:color w:val="000000"/>
                <w:sz w:val="28"/>
                <w:szCs w:val="28"/>
              </w:rPr>
            </w:pPr>
            <w:r>
              <w:rPr>
                <w:color w:val="000000"/>
                <w:sz w:val="28"/>
                <w:szCs w:val="28"/>
              </w:rPr>
              <w:t>FIXED</w:t>
            </w:r>
          </w:p>
        </w:tc>
        <w:tc>
          <w:tcPr>
            <w:tcW w:w="2255" w:type="dxa"/>
            <w:tcBorders>
              <w:top w:val="single" w:sz="4" w:space="0" w:color="000000"/>
              <w:left w:val="single" w:sz="4" w:space="0" w:color="000000"/>
              <w:bottom w:val="single" w:sz="4" w:space="0" w:color="000000"/>
              <w:right w:val="single" w:sz="4" w:space="0" w:color="000000"/>
            </w:tcBorders>
            <w:shd w:val="clear" w:color="auto" w:fill="FFFFFF"/>
          </w:tcPr>
          <w:p w14:paraId="702860D0" w14:textId="77777777" w:rsidR="00F263A3" w:rsidRDefault="00FE72B3">
            <w:pPr>
              <w:cnfStyle w:val="000000100000" w:firstRow="0" w:lastRow="0" w:firstColumn="0" w:lastColumn="0" w:oddVBand="0" w:evenVBand="0" w:oddHBand="1" w:evenHBand="0" w:firstRowFirstColumn="0" w:firstRowLastColumn="0" w:lastRowFirstColumn="0" w:lastRowLastColumn="0"/>
              <w:rPr>
                <w:color w:val="000000"/>
                <w:sz w:val="28"/>
                <w:szCs w:val="28"/>
              </w:rPr>
            </w:pPr>
            <w:r>
              <w:rPr>
                <w:color w:val="000000"/>
                <w:sz w:val="28"/>
                <w:szCs w:val="28"/>
              </w:rPr>
              <w:t>SEMI-ANNUAL (MARCH 25 AND SEPTEMBER 25)</w:t>
            </w:r>
          </w:p>
        </w:tc>
        <w:tc>
          <w:tcPr>
            <w:tcW w:w="1804" w:type="dxa"/>
            <w:tcBorders>
              <w:top w:val="single" w:sz="4" w:space="0" w:color="000000"/>
              <w:left w:val="single" w:sz="4" w:space="0" w:color="000000"/>
              <w:bottom w:val="single" w:sz="4" w:space="0" w:color="000000"/>
              <w:right w:val="single" w:sz="4" w:space="0" w:color="000000"/>
            </w:tcBorders>
            <w:shd w:val="clear" w:color="auto" w:fill="FFFFFF"/>
          </w:tcPr>
          <w:p w14:paraId="5816F25D" w14:textId="77777777" w:rsidR="00F263A3" w:rsidRDefault="00FE72B3">
            <w:pPr>
              <w:cnfStyle w:val="000000100000" w:firstRow="0" w:lastRow="0" w:firstColumn="0" w:lastColumn="0" w:oddVBand="0" w:evenVBand="0" w:oddHBand="1" w:evenHBand="0" w:firstRowFirstColumn="0" w:firstRowLastColumn="0" w:lastRowFirstColumn="0" w:lastRowLastColumn="0"/>
              <w:rPr>
                <w:color w:val="000000"/>
                <w:sz w:val="28"/>
                <w:szCs w:val="28"/>
              </w:rPr>
            </w:pPr>
            <w:r>
              <w:rPr>
                <w:color w:val="000000"/>
                <w:sz w:val="28"/>
                <w:szCs w:val="28"/>
              </w:rPr>
              <w:t>NO</w:t>
            </w:r>
          </w:p>
        </w:tc>
      </w:tr>
      <w:tr w:rsidR="00F263A3" w14:paraId="10B3A38E" w14:textId="77777777" w:rsidTr="00F263A3">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000000"/>
              <w:left w:val="single" w:sz="4" w:space="0" w:color="000000"/>
              <w:bottom w:val="single" w:sz="4" w:space="0" w:color="000000"/>
              <w:right w:val="single" w:sz="4" w:space="0" w:color="000000"/>
            </w:tcBorders>
            <w:shd w:val="clear" w:color="auto" w:fill="FFFFFF"/>
          </w:tcPr>
          <w:p w14:paraId="179A44D5" w14:textId="77777777" w:rsidR="00F263A3" w:rsidRDefault="00FE72B3">
            <w:pPr>
              <w:rPr>
                <w:color w:val="000000"/>
                <w:sz w:val="28"/>
                <w:szCs w:val="28"/>
              </w:rPr>
            </w:pPr>
            <w:r>
              <w:rPr>
                <w:color w:val="000000"/>
                <w:sz w:val="28"/>
                <w:szCs w:val="28"/>
              </w:rPr>
              <w:t>4.2%</w:t>
            </w:r>
          </w:p>
        </w:tc>
        <w:tc>
          <w:tcPr>
            <w:tcW w:w="2193" w:type="dxa"/>
            <w:tcBorders>
              <w:top w:val="single" w:sz="4" w:space="0" w:color="000000"/>
              <w:left w:val="single" w:sz="4" w:space="0" w:color="000000"/>
              <w:bottom w:val="single" w:sz="4" w:space="0" w:color="000000"/>
              <w:right w:val="single" w:sz="4" w:space="0" w:color="000000"/>
            </w:tcBorders>
            <w:shd w:val="clear" w:color="auto" w:fill="FFFFFF"/>
          </w:tcPr>
          <w:p w14:paraId="144F61B2" w14:textId="77777777" w:rsidR="00F263A3" w:rsidRDefault="00FE72B3">
            <w:pPr>
              <w:cnfStyle w:val="000000000000" w:firstRow="0" w:lastRow="0" w:firstColumn="0" w:lastColumn="0" w:oddVBand="0" w:evenVBand="0" w:oddHBand="0" w:evenHBand="0" w:firstRowFirstColumn="0" w:firstRowLastColumn="0" w:lastRowFirstColumn="0" w:lastRowLastColumn="0"/>
              <w:rPr>
                <w:color w:val="000000"/>
                <w:sz w:val="28"/>
                <w:szCs w:val="28"/>
              </w:rPr>
            </w:pPr>
            <w:r>
              <w:rPr>
                <w:color w:val="000000"/>
                <w:sz w:val="28"/>
                <w:szCs w:val="28"/>
              </w:rPr>
              <w:t>MARCH 25,2050</w:t>
            </w:r>
          </w:p>
        </w:tc>
        <w:tc>
          <w:tcPr>
            <w:tcW w:w="1351" w:type="dxa"/>
            <w:tcBorders>
              <w:top w:val="single" w:sz="4" w:space="0" w:color="000000"/>
              <w:left w:val="single" w:sz="4" w:space="0" w:color="000000"/>
              <w:bottom w:val="single" w:sz="4" w:space="0" w:color="000000"/>
              <w:right w:val="single" w:sz="4" w:space="0" w:color="000000"/>
            </w:tcBorders>
            <w:shd w:val="clear" w:color="auto" w:fill="FFFFFF"/>
          </w:tcPr>
          <w:p w14:paraId="446393A0" w14:textId="77777777" w:rsidR="00F263A3" w:rsidRDefault="00FE72B3">
            <w:pPr>
              <w:cnfStyle w:val="000000000000" w:firstRow="0" w:lastRow="0" w:firstColumn="0" w:lastColumn="0" w:oddVBand="0" w:evenVBand="0" w:oddHBand="0" w:evenHBand="0" w:firstRowFirstColumn="0" w:firstRowLastColumn="0" w:lastRowFirstColumn="0" w:lastRowLastColumn="0"/>
              <w:rPr>
                <w:color w:val="000000"/>
                <w:sz w:val="28"/>
                <w:szCs w:val="28"/>
              </w:rPr>
            </w:pPr>
            <w:r>
              <w:rPr>
                <w:color w:val="000000"/>
                <w:sz w:val="28"/>
                <w:szCs w:val="28"/>
              </w:rPr>
              <w:t>FIXED</w:t>
            </w:r>
          </w:p>
        </w:tc>
        <w:tc>
          <w:tcPr>
            <w:tcW w:w="2255" w:type="dxa"/>
            <w:tcBorders>
              <w:top w:val="single" w:sz="4" w:space="0" w:color="000000"/>
              <w:left w:val="single" w:sz="4" w:space="0" w:color="000000"/>
              <w:bottom w:val="single" w:sz="4" w:space="0" w:color="000000"/>
              <w:right w:val="single" w:sz="4" w:space="0" w:color="000000"/>
            </w:tcBorders>
            <w:shd w:val="clear" w:color="auto" w:fill="FFFFFF"/>
          </w:tcPr>
          <w:p w14:paraId="3B23302D" w14:textId="77777777" w:rsidR="00F263A3" w:rsidRDefault="00FE72B3">
            <w:pPr>
              <w:cnfStyle w:val="000000000000" w:firstRow="0" w:lastRow="0" w:firstColumn="0" w:lastColumn="0" w:oddVBand="0" w:evenVBand="0" w:oddHBand="0" w:evenHBand="0" w:firstRowFirstColumn="0" w:firstRowLastColumn="0" w:lastRowFirstColumn="0" w:lastRowLastColumn="0"/>
              <w:rPr>
                <w:color w:val="000000"/>
                <w:sz w:val="28"/>
                <w:szCs w:val="28"/>
              </w:rPr>
            </w:pPr>
            <w:r>
              <w:rPr>
                <w:color w:val="000000"/>
                <w:sz w:val="28"/>
                <w:szCs w:val="28"/>
              </w:rPr>
              <w:t>SEMI-ANNUAL (MARCH 25 AND SEPTEMBER 25)</w:t>
            </w:r>
          </w:p>
        </w:tc>
        <w:tc>
          <w:tcPr>
            <w:tcW w:w="1804" w:type="dxa"/>
            <w:tcBorders>
              <w:top w:val="single" w:sz="4" w:space="0" w:color="000000"/>
              <w:left w:val="single" w:sz="4" w:space="0" w:color="000000"/>
              <w:bottom w:val="single" w:sz="4" w:space="0" w:color="000000"/>
              <w:right w:val="single" w:sz="4" w:space="0" w:color="000000"/>
            </w:tcBorders>
            <w:shd w:val="clear" w:color="auto" w:fill="FFFFFF"/>
          </w:tcPr>
          <w:p w14:paraId="4FFBFA06" w14:textId="77777777" w:rsidR="00F263A3" w:rsidRDefault="00FE72B3">
            <w:pPr>
              <w:cnfStyle w:val="000000000000" w:firstRow="0" w:lastRow="0" w:firstColumn="0" w:lastColumn="0" w:oddVBand="0" w:evenVBand="0" w:oddHBand="0" w:evenHBand="0" w:firstRowFirstColumn="0" w:firstRowLastColumn="0" w:lastRowFirstColumn="0" w:lastRowLastColumn="0"/>
              <w:rPr>
                <w:color w:val="000000"/>
                <w:sz w:val="28"/>
                <w:szCs w:val="28"/>
              </w:rPr>
            </w:pPr>
            <w:r>
              <w:rPr>
                <w:color w:val="000000"/>
                <w:sz w:val="28"/>
                <w:szCs w:val="28"/>
              </w:rPr>
              <w:t>NO</w:t>
            </w:r>
          </w:p>
        </w:tc>
      </w:tr>
    </w:tbl>
    <w:p w14:paraId="56963D3A" w14:textId="77777777" w:rsidR="00F263A3" w:rsidRDefault="00F263A3">
      <w:pPr>
        <w:rPr>
          <w:sz w:val="28"/>
          <w:szCs w:val="28"/>
        </w:rPr>
      </w:pPr>
    </w:p>
    <w:p w14:paraId="5CB7AE37" w14:textId="77777777" w:rsidR="00F263A3" w:rsidRDefault="00FE72B3">
      <w:pPr>
        <w:jc w:val="both"/>
        <w:rPr>
          <w:sz w:val="27"/>
          <w:szCs w:val="27"/>
        </w:rPr>
      </w:pPr>
      <w:r>
        <w:rPr>
          <w:sz w:val="27"/>
          <w:szCs w:val="27"/>
        </w:rPr>
        <w:t>The bonds are callable before maturity at a premium based on market conditions and a Treasury rate spread. Funds will be used for general corporate purposes like working capital, acquisitions, or refinancing existing debt.</w:t>
      </w:r>
    </w:p>
    <w:p w14:paraId="0DA34D26" w14:textId="77777777" w:rsidR="00F263A3" w:rsidRDefault="00FE72B3">
      <w:pPr>
        <w:rPr>
          <w:sz w:val="27"/>
          <w:szCs w:val="27"/>
        </w:rPr>
      </w:pPr>
      <w:r>
        <w:rPr>
          <w:sz w:val="27"/>
          <w:szCs w:val="27"/>
        </w:rPr>
        <w:t>Beta (5 years) is 0.62</w:t>
      </w:r>
      <w:r>
        <w:rPr>
          <w:sz w:val="27"/>
          <w:szCs w:val="27"/>
        </w:rPr>
        <w:br/>
        <w:t xml:space="preserve">PE ratio (TTM) is 26.52 </w:t>
      </w:r>
      <w:r>
        <w:rPr>
          <w:sz w:val="27"/>
          <w:szCs w:val="27"/>
        </w:rPr>
        <w:br/>
        <w:t>EPS is 2.41</w:t>
      </w:r>
    </w:p>
    <w:p w14:paraId="4CD36420" w14:textId="77777777" w:rsidR="00F263A3" w:rsidRDefault="00FE72B3">
      <w:pPr>
        <w:jc w:val="both"/>
        <w:rPr>
          <w:sz w:val="27"/>
          <w:szCs w:val="27"/>
        </w:rPr>
      </w:pPr>
      <w:r>
        <w:rPr>
          <w:sz w:val="27"/>
          <w:szCs w:val="27"/>
        </w:rPr>
        <w:t>Source (Yahoo Finance)</w:t>
      </w:r>
    </w:p>
    <w:p w14:paraId="64B4F7BD" w14:textId="77777777" w:rsidR="00F263A3" w:rsidRDefault="00FE72B3">
      <w:pPr>
        <w:jc w:val="both"/>
        <w:rPr>
          <w:b/>
          <w:sz w:val="27"/>
          <w:szCs w:val="27"/>
          <w:u w:val="single"/>
        </w:rPr>
      </w:pPr>
      <w:r>
        <w:rPr>
          <w:b/>
          <w:sz w:val="27"/>
          <w:szCs w:val="27"/>
          <w:u w:val="single"/>
        </w:rPr>
        <w:t>Operating Environment, Size, Market Share, and Asset Value:</w:t>
      </w:r>
    </w:p>
    <w:p w14:paraId="0D90FEE1" w14:textId="77777777" w:rsidR="00F263A3" w:rsidRDefault="00FE72B3">
      <w:pPr>
        <w:jc w:val="both"/>
        <w:rPr>
          <w:sz w:val="27"/>
          <w:szCs w:val="27"/>
        </w:rPr>
      </w:pPr>
      <w:r>
        <w:rPr>
          <w:sz w:val="27"/>
          <w:szCs w:val="27"/>
        </w:rPr>
        <w:t>Coca-Cola competes with rival beverage behemoths like PepsiCo, Nestlé, and Red Bull in the cutthroat and quickly changing global beverage market. With operations in more than 200 nations, the business is a major force with a wide global presence.</w:t>
      </w:r>
    </w:p>
    <w:p w14:paraId="0E8EC2D3" w14:textId="77777777" w:rsidR="00F263A3" w:rsidRDefault="00FE72B3">
      <w:pPr>
        <w:jc w:val="both"/>
        <w:rPr>
          <w:sz w:val="27"/>
          <w:szCs w:val="27"/>
        </w:rPr>
      </w:pPr>
      <w:r>
        <w:rPr>
          <w:b/>
          <w:sz w:val="27"/>
          <w:szCs w:val="27"/>
          <w:u w:val="single"/>
        </w:rPr>
        <w:t>Market Share</w:t>
      </w:r>
      <w:r>
        <w:rPr>
          <w:sz w:val="27"/>
          <w:szCs w:val="27"/>
        </w:rPr>
        <w:t>: In the worldwide non-alcoholic beverage sector, Coca-Cola has a sizable market share, especially in the carbonated soft drink (CSD) sector. According to brand valuation firms, its brand is still among the most valuable in the world. Market Cap of coca cola is 275.355B</w:t>
      </w:r>
    </w:p>
    <w:p w14:paraId="15D4DE43" w14:textId="77777777" w:rsidR="00F263A3" w:rsidRDefault="00FE72B3">
      <w:pPr>
        <w:jc w:val="both"/>
        <w:rPr>
          <w:sz w:val="27"/>
          <w:szCs w:val="27"/>
        </w:rPr>
      </w:pPr>
      <w:r>
        <w:rPr>
          <w:b/>
          <w:sz w:val="27"/>
          <w:szCs w:val="27"/>
          <w:u w:val="single"/>
        </w:rPr>
        <w:t>Size:</w:t>
      </w:r>
      <w:r>
        <w:rPr>
          <w:sz w:val="27"/>
          <w:szCs w:val="27"/>
        </w:rPr>
        <w:t xml:space="preserve"> Including its bottling partners, the corporation employs approximately 700,000 people worldwide. With a market valuation that often places it among the top worldwide corporations, Coca-Cola generated about $46 billion in revenue in 2023.</w:t>
      </w:r>
    </w:p>
    <w:p w14:paraId="225F805E" w14:textId="77777777" w:rsidR="00F263A3" w:rsidRDefault="00FE72B3">
      <w:pPr>
        <w:jc w:val="both"/>
        <w:rPr>
          <w:sz w:val="27"/>
          <w:szCs w:val="27"/>
        </w:rPr>
      </w:pPr>
      <w:r>
        <w:rPr>
          <w:b/>
          <w:sz w:val="27"/>
          <w:szCs w:val="27"/>
          <w:u w:val="single"/>
        </w:rPr>
        <w:t>Coca-Cola's assets:</w:t>
      </w:r>
      <w:r>
        <w:rPr>
          <w:b/>
          <w:sz w:val="27"/>
          <w:szCs w:val="27"/>
        </w:rPr>
        <w:t xml:space="preserve"> </w:t>
      </w:r>
      <w:r>
        <w:rPr>
          <w:sz w:val="27"/>
          <w:szCs w:val="27"/>
        </w:rPr>
        <w:t>They are worth more than $90 billion, and a large amount of that value is attributed to its strong brand, manufacturing plants, and wide international distribution network.</w:t>
      </w:r>
    </w:p>
    <w:p w14:paraId="44CC4953" w14:textId="77777777" w:rsidR="00F263A3" w:rsidRDefault="00FE72B3">
      <w:pPr>
        <w:rPr>
          <w:sz w:val="27"/>
          <w:szCs w:val="27"/>
        </w:rPr>
      </w:pPr>
      <w:r>
        <w:rPr>
          <w:b/>
          <w:sz w:val="27"/>
          <w:szCs w:val="27"/>
          <w:u w:val="single"/>
        </w:rPr>
        <w:t>Relevance to the Sector:</w:t>
      </w:r>
      <w:r>
        <w:rPr>
          <w:sz w:val="27"/>
          <w:szCs w:val="27"/>
        </w:rPr>
        <w:br/>
        <w:t>Because of its well-known brand, extensive global reach, and longstanding market dominance, Coca-Cola is among the most important businesses in the beverage sector. It has a significant impact on industry developments, especially those related to distribution networks, product development, and marketing. The company's extensive portfolio enables it to serve a wide spectrum of customers and adjust to shifting consumer preferences and health trends.</w:t>
      </w:r>
    </w:p>
    <w:p w14:paraId="6C25D150" w14:textId="77777777" w:rsidR="00F263A3" w:rsidRDefault="00FE72B3">
      <w:pPr>
        <w:jc w:val="both"/>
        <w:rPr>
          <w:sz w:val="27"/>
          <w:szCs w:val="27"/>
        </w:rPr>
      </w:pPr>
      <w:r>
        <w:rPr>
          <w:b/>
          <w:sz w:val="27"/>
          <w:szCs w:val="27"/>
          <w:u w:val="single"/>
        </w:rPr>
        <w:t>Brand Value</w:t>
      </w:r>
      <w:r>
        <w:rPr>
          <w:sz w:val="27"/>
          <w:szCs w:val="27"/>
        </w:rPr>
        <w:t>: Among the most well-known and valuable brands in the world is Coca-Cola. Thanks to decades of effective marketing campaigns and a dependable brand identity, it has managed to hold onto this position.</w:t>
      </w:r>
    </w:p>
    <w:p w14:paraId="01DBD3F1" w14:textId="77777777" w:rsidR="00F263A3" w:rsidRDefault="00FE72B3">
      <w:pPr>
        <w:jc w:val="both"/>
        <w:rPr>
          <w:b/>
          <w:sz w:val="27"/>
          <w:szCs w:val="27"/>
          <w:u w:val="single"/>
        </w:rPr>
      </w:pPr>
      <w:r>
        <w:rPr>
          <w:b/>
          <w:sz w:val="27"/>
          <w:szCs w:val="27"/>
          <w:u w:val="single"/>
        </w:rPr>
        <w:lastRenderedPageBreak/>
        <w:t>Leadership in Sustainability</w:t>
      </w:r>
      <w:r>
        <w:rPr>
          <w:sz w:val="27"/>
          <w:szCs w:val="27"/>
        </w:rPr>
        <w:t>: Coca-Cola is also at the forefront of sustainability efforts, aiming to cut down on water use, carbon emissions, and the development of environmentally friendly packaging.</w:t>
      </w:r>
    </w:p>
    <w:p w14:paraId="695E6AFD" w14:textId="77777777" w:rsidR="00F263A3" w:rsidRDefault="00FE72B3">
      <w:pPr>
        <w:jc w:val="both"/>
        <w:rPr>
          <w:b/>
          <w:sz w:val="27"/>
          <w:szCs w:val="27"/>
          <w:u w:val="single"/>
        </w:rPr>
      </w:pPr>
      <w:r>
        <w:rPr>
          <w:b/>
          <w:sz w:val="27"/>
          <w:szCs w:val="27"/>
          <w:u w:val="single"/>
        </w:rPr>
        <w:t>Key Challenges and Opportunities</w:t>
      </w:r>
    </w:p>
    <w:p w14:paraId="663B4CB8" w14:textId="77777777" w:rsidR="00F263A3" w:rsidRDefault="00FE72B3">
      <w:pPr>
        <w:jc w:val="both"/>
        <w:rPr>
          <w:sz w:val="27"/>
          <w:szCs w:val="27"/>
        </w:rPr>
      </w:pPr>
      <w:r>
        <w:rPr>
          <w:sz w:val="27"/>
          <w:szCs w:val="27"/>
        </w:rPr>
        <w:t>Coca-Cola's future will be shaped by a number of significant possibilities and challenges.</w:t>
      </w:r>
    </w:p>
    <w:p w14:paraId="0BFB1367" w14:textId="77777777" w:rsidR="00F263A3" w:rsidRDefault="00FE72B3">
      <w:pPr>
        <w:jc w:val="both"/>
        <w:rPr>
          <w:sz w:val="27"/>
          <w:szCs w:val="27"/>
        </w:rPr>
      </w:pPr>
      <w:r>
        <w:rPr>
          <w:b/>
          <w:sz w:val="27"/>
          <w:szCs w:val="27"/>
          <w:u w:val="single"/>
        </w:rPr>
        <w:t>Health and Wellness Trends</w:t>
      </w:r>
      <w:r>
        <w:rPr>
          <w:sz w:val="27"/>
          <w:szCs w:val="27"/>
        </w:rPr>
        <w:t>: Coca-Cola has been concentrating on low-sugar, sugar-free, and non-carbonated products such bottled water, teas, and energy drinks as a result of consumers' growing desire for healthier beverages. This trend offers Coca-Cola a chance to innovate in the wellness sector as well as a challenge.</w:t>
      </w:r>
    </w:p>
    <w:p w14:paraId="3A2400C1" w14:textId="77777777" w:rsidR="00F263A3" w:rsidRDefault="00FE72B3">
      <w:pPr>
        <w:jc w:val="both"/>
        <w:rPr>
          <w:sz w:val="27"/>
          <w:szCs w:val="27"/>
        </w:rPr>
      </w:pPr>
      <w:r>
        <w:rPr>
          <w:b/>
          <w:sz w:val="27"/>
          <w:szCs w:val="27"/>
          <w:u w:val="single"/>
        </w:rPr>
        <w:t>Global Market Diversification and Expansion</w:t>
      </w:r>
      <w:r>
        <w:rPr>
          <w:sz w:val="27"/>
          <w:szCs w:val="27"/>
        </w:rPr>
        <w:t>: Coca-Cola keeps growing its market share in developing nations, especially in Asia and Africa. Opportunities for growth are presented by this, but local tastes and preferences must also be accommodated.</w:t>
      </w:r>
    </w:p>
    <w:p w14:paraId="123DB7A5" w14:textId="77777777" w:rsidR="00F263A3" w:rsidRDefault="00FE72B3">
      <w:pPr>
        <w:jc w:val="both"/>
        <w:rPr>
          <w:sz w:val="27"/>
          <w:szCs w:val="27"/>
        </w:rPr>
      </w:pPr>
      <w:r>
        <w:rPr>
          <w:b/>
          <w:sz w:val="27"/>
          <w:szCs w:val="27"/>
          <w:u w:val="single"/>
        </w:rPr>
        <w:t>Sustainability of the Environment</w:t>
      </w:r>
      <w:r>
        <w:rPr>
          <w:sz w:val="27"/>
          <w:szCs w:val="27"/>
        </w:rPr>
        <w:t>: Carbon emissions and plastic waste are major environmental issues. To lessen its environmental impact, Coca-Cola is making significant investments in water conservation and environmentally friendly packaging. Its "World Without Waste" campaign, which aims to recycle one bottle for each one it sells, is a component of a larger attempt to increase sustainability.</w:t>
      </w:r>
    </w:p>
    <w:p w14:paraId="64BAEC03" w14:textId="77777777" w:rsidR="00F263A3" w:rsidRDefault="00FE72B3">
      <w:pPr>
        <w:jc w:val="both"/>
        <w:rPr>
          <w:sz w:val="27"/>
          <w:szCs w:val="27"/>
        </w:rPr>
      </w:pPr>
      <w:r>
        <w:rPr>
          <w:b/>
          <w:sz w:val="27"/>
          <w:szCs w:val="27"/>
          <w:u w:val="single"/>
        </w:rPr>
        <w:t>E-commerce and Digital Transformation</w:t>
      </w:r>
      <w:r>
        <w:rPr>
          <w:sz w:val="27"/>
          <w:szCs w:val="27"/>
        </w:rPr>
        <w:t>: As more people shop online, Coca-Cola must modify its distribution networks to support direct-to-consumer and e-commerce business models. E-commerce will open up new avenues for sales growth, particularly in light of post-pandemic changes in consumer behaviour.</w:t>
      </w:r>
    </w:p>
    <w:p w14:paraId="71FD1C55" w14:textId="77777777" w:rsidR="00F263A3" w:rsidRDefault="00FE72B3">
      <w:pPr>
        <w:jc w:val="both"/>
        <w:rPr>
          <w:sz w:val="27"/>
          <w:szCs w:val="27"/>
        </w:rPr>
      </w:pPr>
      <w:r>
        <w:rPr>
          <w:sz w:val="27"/>
          <w:szCs w:val="27"/>
        </w:rPr>
        <w:t>Coca-Cola is a major force in the beverage sector thanks to its wide range of products, global presence, and great brand equity. The corporation has many prospects in growing countries, sustainability, and product diversification, but it also confronts problems from changing health trends and environmental concerns. The company's sustained emphasis on sustainability and innovation will be essential to preserving its position as the industry leader.</w:t>
      </w:r>
    </w:p>
    <w:p w14:paraId="1634E2A4" w14:textId="77777777" w:rsidR="00F263A3" w:rsidRDefault="00FE72B3">
      <w:pPr>
        <w:spacing w:before="280" w:after="280"/>
        <w:jc w:val="both"/>
        <w:rPr>
          <w:b/>
          <w:sz w:val="27"/>
          <w:szCs w:val="27"/>
        </w:rPr>
      </w:pPr>
      <w:r>
        <w:rPr>
          <w:b/>
          <w:sz w:val="27"/>
          <w:szCs w:val="27"/>
        </w:rPr>
        <w:t>Coca-Cola's Market Position (2024)</w:t>
      </w:r>
    </w:p>
    <w:p w14:paraId="05E76780" w14:textId="77777777" w:rsidR="00F263A3" w:rsidRDefault="00FE72B3">
      <w:pPr>
        <w:spacing w:before="280" w:after="280"/>
        <w:jc w:val="both"/>
        <w:rPr>
          <w:sz w:val="27"/>
          <w:szCs w:val="27"/>
        </w:rPr>
      </w:pPr>
      <w:r>
        <w:rPr>
          <w:sz w:val="27"/>
          <w:szCs w:val="27"/>
        </w:rPr>
        <w:t>Coca-Cola is a global leader in the non-alcoholic beverage industry, leveraging its unparalleled brand recognition, diversified product portfolio, and expansive market reach.</w:t>
      </w:r>
    </w:p>
    <w:p w14:paraId="197A5CA3" w14:textId="77777777" w:rsidR="00F263A3" w:rsidRDefault="00FE72B3">
      <w:pPr>
        <w:spacing w:before="280" w:after="280"/>
        <w:jc w:val="both"/>
        <w:rPr>
          <w:b/>
          <w:sz w:val="27"/>
          <w:szCs w:val="27"/>
        </w:rPr>
      </w:pPr>
      <w:r>
        <w:rPr>
          <w:b/>
          <w:sz w:val="27"/>
          <w:szCs w:val="27"/>
        </w:rPr>
        <w:lastRenderedPageBreak/>
        <w:t>Sales and Market Share</w:t>
      </w:r>
    </w:p>
    <w:p w14:paraId="0640A978" w14:textId="77777777" w:rsidR="00F263A3" w:rsidRDefault="00FE72B3">
      <w:pPr>
        <w:numPr>
          <w:ilvl w:val="0"/>
          <w:numId w:val="21"/>
        </w:numPr>
        <w:spacing w:before="280" w:after="0" w:line="240" w:lineRule="auto"/>
        <w:jc w:val="both"/>
        <w:rPr>
          <w:sz w:val="27"/>
          <w:szCs w:val="27"/>
        </w:rPr>
      </w:pPr>
      <w:r>
        <w:rPr>
          <w:b/>
          <w:sz w:val="27"/>
          <w:szCs w:val="27"/>
        </w:rPr>
        <w:t>Annual Revenue</w:t>
      </w:r>
      <w:r>
        <w:rPr>
          <w:sz w:val="27"/>
          <w:szCs w:val="27"/>
        </w:rPr>
        <w:t>: Coca-Cola reported $44.4 billion in net operating revenue for 2023, driven by strong organic growth of 9%​.</w:t>
      </w:r>
    </w:p>
    <w:p w14:paraId="79B2024F" w14:textId="77777777" w:rsidR="00F263A3" w:rsidRDefault="00FE72B3">
      <w:pPr>
        <w:numPr>
          <w:ilvl w:val="0"/>
          <w:numId w:val="21"/>
        </w:numPr>
        <w:spacing w:after="0" w:line="240" w:lineRule="auto"/>
        <w:jc w:val="both"/>
        <w:rPr>
          <w:sz w:val="27"/>
          <w:szCs w:val="27"/>
        </w:rPr>
      </w:pPr>
      <w:r>
        <w:rPr>
          <w:b/>
          <w:sz w:val="27"/>
          <w:szCs w:val="27"/>
        </w:rPr>
        <w:t>Global Market Share</w:t>
      </w:r>
      <w:r>
        <w:rPr>
          <w:sz w:val="27"/>
          <w:szCs w:val="27"/>
        </w:rPr>
        <w:t xml:space="preserve">: Coca-Cola holds a significant portion of the $1.5 trillion non-alcoholic beverage industry, commanding an estimated </w:t>
      </w:r>
      <w:r>
        <w:rPr>
          <w:b/>
          <w:sz w:val="27"/>
          <w:szCs w:val="27"/>
        </w:rPr>
        <w:t>50% of the global carbonated soft drink (CSD) market</w:t>
      </w:r>
      <w:r>
        <w:rPr>
          <w:sz w:val="27"/>
          <w:szCs w:val="27"/>
        </w:rPr>
        <w:t xml:space="preserve"> and approximately </w:t>
      </w:r>
      <w:r>
        <w:rPr>
          <w:b/>
          <w:sz w:val="27"/>
          <w:szCs w:val="27"/>
        </w:rPr>
        <w:t>3% of the total beverage industry</w:t>
      </w:r>
      <w:r>
        <w:rPr>
          <w:sz w:val="27"/>
          <w:szCs w:val="27"/>
        </w:rPr>
        <w:t>​.</w:t>
      </w:r>
    </w:p>
    <w:p w14:paraId="3D0F86DD" w14:textId="77777777" w:rsidR="00F263A3" w:rsidRDefault="00FE72B3">
      <w:pPr>
        <w:numPr>
          <w:ilvl w:val="0"/>
          <w:numId w:val="21"/>
        </w:numPr>
        <w:spacing w:after="0" w:line="240" w:lineRule="auto"/>
        <w:jc w:val="both"/>
        <w:rPr>
          <w:sz w:val="27"/>
          <w:szCs w:val="27"/>
        </w:rPr>
      </w:pPr>
      <w:r>
        <w:rPr>
          <w:b/>
          <w:sz w:val="27"/>
          <w:szCs w:val="27"/>
        </w:rPr>
        <w:t>Industry Position</w:t>
      </w:r>
      <w:r>
        <w:rPr>
          <w:sz w:val="27"/>
          <w:szCs w:val="27"/>
        </w:rPr>
        <w:t>: Its dominance in the CSD segment positions Coca-Cola as the market leader, with competitors like PepsiCo trailing in market concentration.</w:t>
      </w:r>
    </w:p>
    <w:p w14:paraId="17B590FF" w14:textId="77777777" w:rsidR="00F263A3" w:rsidRDefault="00FE72B3">
      <w:pPr>
        <w:numPr>
          <w:ilvl w:val="0"/>
          <w:numId w:val="21"/>
        </w:numPr>
        <w:spacing w:after="0" w:line="240" w:lineRule="auto"/>
        <w:jc w:val="both"/>
        <w:rPr>
          <w:sz w:val="27"/>
          <w:szCs w:val="27"/>
        </w:rPr>
      </w:pPr>
      <w:r>
        <w:rPr>
          <w:b/>
          <w:sz w:val="27"/>
          <w:szCs w:val="27"/>
        </w:rPr>
        <w:t>Geographic Revenue Mix</w:t>
      </w:r>
      <w:r>
        <w:rPr>
          <w:sz w:val="27"/>
          <w:szCs w:val="27"/>
        </w:rPr>
        <w:t>: 37% from North America, 18% from Europe, Middle East &amp; Africa, 15% from Latin America, 14% from Asia-Pacific, and the rest from global ventures​.</w:t>
      </w:r>
    </w:p>
    <w:p w14:paraId="2B884FC5" w14:textId="77777777" w:rsidR="00F263A3" w:rsidRDefault="00FE72B3">
      <w:pPr>
        <w:numPr>
          <w:ilvl w:val="0"/>
          <w:numId w:val="21"/>
        </w:numPr>
        <w:spacing w:after="280" w:line="240" w:lineRule="auto"/>
        <w:jc w:val="both"/>
        <w:rPr>
          <w:sz w:val="27"/>
          <w:szCs w:val="27"/>
        </w:rPr>
      </w:pPr>
      <w:r>
        <w:rPr>
          <w:b/>
          <w:sz w:val="27"/>
          <w:szCs w:val="27"/>
        </w:rPr>
        <w:t>Portfolio Strength</w:t>
      </w:r>
      <w:r>
        <w:rPr>
          <w:sz w:val="27"/>
          <w:szCs w:val="27"/>
        </w:rPr>
        <w:t>: Coca-Cola owns over 500 brands across categories like carbonated drinks, bottled water, juices, and ready-to-drink teas/coffees. Product lines like Coca-Cola Zero Sugar and functional beverages (BodyArmor, Smartwater) cater to shifting consumer preferences for healthier options.</w:t>
      </w:r>
    </w:p>
    <w:p w14:paraId="2768F6D5" w14:textId="77777777" w:rsidR="00F263A3" w:rsidRDefault="00FE72B3">
      <w:pPr>
        <w:spacing w:before="280" w:after="280"/>
        <w:jc w:val="both"/>
        <w:rPr>
          <w:b/>
          <w:sz w:val="27"/>
          <w:szCs w:val="27"/>
        </w:rPr>
      </w:pPr>
      <w:r>
        <w:rPr>
          <w:b/>
          <w:sz w:val="27"/>
          <w:szCs w:val="27"/>
        </w:rPr>
        <w:t>Strengths</w:t>
      </w:r>
    </w:p>
    <w:p w14:paraId="00D2210D" w14:textId="77777777" w:rsidR="00F263A3" w:rsidRDefault="00FE72B3">
      <w:pPr>
        <w:numPr>
          <w:ilvl w:val="0"/>
          <w:numId w:val="22"/>
        </w:numPr>
        <w:spacing w:before="280" w:after="0" w:line="240" w:lineRule="auto"/>
        <w:jc w:val="both"/>
        <w:rPr>
          <w:sz w:val="27"/>
          <w:szCs w:val="27"/>
        </w:rPr>
      </w:pPr>
      <w:r>
        <w:rPr>
          <w:b/>
          <w:sz w:val="27"/>
          <w:szCs w:val="27"/>
        </w:rPr>
        <w:t>Brand Power</w:t>
      </w:r>
      <w:r>
        <w:rPr>
          <w:sz w:val="27"/>
          <w:szCs w:val="27"/>
        </w:rPr>
        <w:t>: Coca-Cola is one of the most recognized and valuable brands globally.</w:t>
      </w:r>
    </w:p>
    <w:p w14:paraId="184A90C5" w14:textId="77777777" w:rsidR="00F263A3" w:rsidRDefault="00FE72B3">
      <w:pPr>
        <w:numPr>
          <w:ilvl w:val="0"/>
          <w:numId w:val="22"/>
        </w:numPr>
        <w:spacing w:after="0" w:line="240" w:lineRule="auto"/>
        <w:jc w:val="both"/>
        <w:rPr>
          <w:sz w:val="27"/>
          <w:szCs w:val="27"/>
        </w:rPr>
      </w:pPr>
      <w:r>
        <w:rPr>
          <w:b/>
          <w:sz w:val="27"/>
          <w:szCs w:val="27"/>
        </w:rPr>
        <w:t>Diverse Portfolio</w:t>
      </w:r>
      <w:r>
        <w:rPr>
          <w:sz w:val="27"/>
          <w:szCs w:val="27"/>
        </w:rPr>
        <w:t>: Over 500 products span categories like carbonated drinks, waters, teas, and functional beverages.</w:t>
      </w:r>
    </w:p>
    <w:p w14:paraId="7FA08D03" w14:textId="77777777" w:rsidR="00F263A3" w:rsidRDefault="00FE72B3">
      <w:pPr>
        <w:numPr>
          <w:ilvl w:val="0"/>
          <w:numId w:val="22"/>
        </w:numPr>
        <w:spacing w:after="280" w:line="240" w:lineRule="auto"/>
        <w:jc w:val="both"/>
        <w:rPr>
          <w:sz w:val="27"/>
          <w:szCs w:val="27"/>
        </w:rPr>
      </w:pPr>
      <w:r>
        <w:rPr>
          <w:b/>
          <w:sz w:val="27"/>
          <w:szCs w:val="27"/>
        </w:rPr>
        <w:t>Resilience</w:t>
      </w:r>
      <w:r>
        <w:rPr>
          <w:sz w:val="27"/>
          <w:szCs w:val="27"/>
        </w:rPr>
        <w:t>: Consistent innovation and marketing leadership (e.g., partnerships with FIFA and the Olympics) reinforce its market dominance.</w:t>
      </w:r>
    </w:p>
    <w:p w14:paraId="4D4EA151" w14:textId="77777777" w:rsidR="00F263A3" w:rsidRDefault="00FE72B3">
      <w:pPr>
        <w:spacing w:before="280" w:after="280"/>
        <w:jc w:val="both"/>
        <w:rPr>
          <w:b/>
          <w:sz w:val="27"/>
          <w:szCs w:val="27"/>
        </w:rPr>
      </w:pPr>
      <w:r>
        <w:rPr>
          <w:b/>
          <w:sz w:val="27"/>
          <w:szCs w:val="27"/>
        </w:rPr>
        <w:t>Risks</w:t>
      </w:r>
    </w:p>
    <w:p w14:paraId="5C8F6DFA" w14:textId="77777777" w:rsidR="00F263A3" w:rsidRDefault="00FE72B3">
      <w:pPr>
        <w:numPr>
          <w:ilvl w:val="0"/>
          <w:numId w:val="23"/>
        </w:numPr>
        <w:spacing w:before="280" w:after="0" w:line="240" w:lineRule="auto"/>
        <w:jc w:val="both"/>
        <w:rPr>
          <w:sz w:val="27"/>
          <w:szCs w:val="27"/>
        </w:rPr>
      </w:pPr>
      <w:r>
        <w:rPr>
          <w:b/>
          <w:sz w:val="27"/>
          <w:szCs w:val="27"/>
        </w:rPr>
        <w:t>Shifting Preferences</w:t>
      </w:r>
      <w:r>
        <w:rPr>
          <w:sz w:val="27"/>
          <w:szCs w:val="27"/>
        </w:rPr>
        <w:t>: Increasing demand for healthier and natural beverages challenges Coca-Cola's traditional offerings.</w:t>
      </w:r>
    </w:p>
    <w:p w14:paraId="057AE997" w14:textId="77777777" w:rsidR="00F263A3" w:rsidRDefault="00FE72B3">
      <w:pPr>
        <w:numPr>
          <w:ilvl w:val="0"/>
          <w:numId w:val="23"/>
        </w:numPr>
        <w:spacing w:after="280" w:line="240" w:lineRule="auto"/>
        <w:jc w:val="both"/>
        <w:rPr>
          <w:sz w:val="27"/>
          <w:szCs w:val="27"/>
        </w:rPr>
      </w:pPr>
      <w:r>
        <w:rPr>
          <w:b/>
          <w:sz w:val="27"/>
          <w:szCs w:val="27"/>
        </w:rPr>
        <w:t>Financial Leverage</w:t>
      </w:r>
      <w:r>
        <w:rPr>
          <w:sz w:val="27"/>
          <w:szCs w:val="27"/>
        </w:rPr>
        <w:t>: A debt-to-equity ratio of 2.3 indicates high leverage, which increases risks during economic slowdowns or rising interest rates.</w:t>
      </w:r>
    </w:p>
    <w:p w14:paraId="575FEA32" w14:textId="77777777" w:rsidR="00F263A3" w:rsidRDefault="00FE72B3">
      <w:pPr>
        <w:spacing w:before="280" w:after="280"/>
        <w:jc w:val="both"/>
        <w:rPr>
          <w:sz w:val="27"/>
          <w:szCs w:val="27"/>
        </w:rPr>
      </w:pPr>
      <w:r>
        <w:rPr>
          <w:sz w:val="27"/>
          <w:szCs w:val="27"/>
        </w:rPr>
        <w:t>In summary, Coca-Cola’s robust market share, innovation, and global reach solidify its leadership, though evolving consumer trends and financial risks require vigilance.</w:t>
      </w:r>
    </w:p>
    <w:p w14:paraId="15A85DAD" w14:textId="77777777" w:rsidR="00F263A3" w:rsidRDefault="00F263A3">
      <w:pPr>
        <w:spacing w:before="280" w:after="280"/>
        <w:jc w:val="both"/>
        <w:rPr>
          <w:b/>
          <w:sz w:val="27"/>
          <w:szCs w:val="27"/>
        </w:rPr>
      </w:pPr>
    </w:p>
    <w:p w14:paraId="771E83B2" w14:textId="77777777" w:rsidR="00F263A3" w:rsidRDefault="00FE72B3">
      <w:pPr>
        <w:spacing w:before="280" w:after="280"/>
        <w:jc w:val="both"/>
        <w:rPr>
          <w:b/>
          <w:sz w:val="27"/>
          <w:szCs w:val="27"/>
        </w:rPr>
      </w:pPr>
      <w:r>
        <w:rPr>
          <w:b/>
          <w:sz w:val="27"/>
          <w:szCs w:val="27"/>
        </w:rPr>
        <w:lastRenderedPageBreak/>
        <w:t>Financial Structure (2024)</w:t>
      </w:r>
    </w:p>
    <w:p w14:paraId="68AF394D" w14:textId="77777777" w:rsidR="00F263A3" w:rsidRDefault="00FE72B3">
      <w:pPr>
        <w:numPr>
          <w:ilvl w:val="0"/>
          <w:numId w:val="7"/>
        </w:numPr>
        <w:spacing w:before="280" w:after="0" w:line="240" w:lineRule="auto"/>
        <w:jc w:val="both"/>
        <w:rPr>
          <w:sz w:val="27"/>
          <w:szCs w:val="27"/>
        </w:rPr>
      </w:pPr>
      <w:r>
        <w:rPr>
          <w:b/>
          <w:sz w:val="27"/>
          <w:szCs w:val="27"/>
        </w:rPr>
        <w:t>Assets</w:t>
      </w:r>
      <w:r>
        <w:rPr>
          <w:sz w:val="27"/>
          <w:szCs w:val="27"/>
        </w:rPr>
        <w:t>: $94.35 billion</w:t>
      </w:r>
    </w:p>
    <w:p w14:paraId="25361FB5" w14:textId="77777777" w:rsidR="00F263A3" w:rsidRDefault="00FE72B3">
      <w:pPr>
        <w:numPr>
          <w:ilvl w:val="0"/>
          <w:numId w:val="7"/>
        </w:numPr>
        <w:spacing w:after="0" w:line="240" w:lineRule="auto"/>
        <w:jc w:val="both"/>
        <w:rPr>
          <w:sz w:val="27"/>
          <w:szCs w:val="27"/>
        </w:rPr>
      </w:pPr>
      <w:r>
        <w:rPr>
          <w:b/>
          <w:sz w:val="27"/>
          <w:szCs w:val="27"/>
        </w:rPr>
        <w:t>Liabilities</w:t>
      </w:r>
      <w:r>
        <w:rPr>
          <w:sz w:val="27"/>
          <w:szCs w:val="27"/>
        </w:rPr>
        <w:t>: $65.56 billion</w:t>
      </w:r>
    </w:p>
    <w:p w14:paraId="286B2957" w14:textId="77777777" w:rsidR="00F263A3" w:rsidRDefault="00FE72B3">
      <w:pPr>
        <w:numPr>
          <w:ilvl w:val="0"/>
          <w:numId w:val="7"/>
        </w:numPr>
        <w:spacing w:after="280" w:line="240" w:lineRule="auto"/>
        <w:jc w:val="both"/>
        <w:rPr>
          <w:sz w:val="27"/>
          <w:szCs w:val="27"/>
        </w:rPr>
      </w:pPr>
      <w:r>
        <w:rPr>
          <w:b/>
          <w:sz w:val="27"/>
          <w:szCs w:val="27"/>
        </w:rPr>
        <w:t>Owner’s Equity</w:t>
      </w:r>
      <w:r>
        <w:rPr>
          <w:sz w:val="27"/>
          <w:szCs w:val="27"/>
        </w:rPr>
        <w:t>: $28.79 billion​</w:t>
      </w:r>
    </w:p>
    <w:p w14:paraId="321DA621" w14:textId="77777777" w:rsidR="00F263A3" w:rsidRDefault="00FE72B3">
      <w:pPr>
        <w:spacing w:before="280" w:after="280"/>
        <w:jc w:val="both"/>
        <w:rPr>
          <w:sz w:val="27"/>
          <w:szCs w:val="27"/>
        </w:rPr>
      </w:pPr>
      <w:r>
        <w:rPr>
          <w:sz w:val="27"/>
          <w:szCs w:val="27"/>
        </w:rPr>
        <w:t>Coca-Cola operates with a significant level of leverage:</w:t>
      </w:r>
    </w:p>
    <w:p w14:paraId="367B0A51" w14:textId="77777777" w:rsidR="00F263A3" w:rsidRDefault="00FE72B3">
      <w:pPr>
        <w:numPr>
          <w:ilvl w:val="0"/>
          <w:numId w:val="17"/>
        </w:numPr>
        <w:spacing w:before="280" w:after="280" w:line="240" w:lineRule="auto"/>
        <w:rPr>
          <w:sz w:val="27"/>
          <w:szCs w:val="27"/>
        </w:rPr>
      </w:pPr>
      <w:r>
        <w:rPr>
          <w:b/>
          <w:sz w:val="27"/>
          <w:szCs w:val="27"/>
        </w:rPr>
        <w:t>Debt-to-Equity Ratio</w:t>
      </w:r>
      <w:r>
        <w:rPr>
          <w:sz w:val="27"/>
          <w:szCs w:val="27"/>
        </w:rPr>
        <w:t>:</w:t>
      </w:r>
      <w:r>
        <w:rPr>
          <w:sz w:val="27"/>
          <w:szCs w:val="27"/>
        </w:rPr>
        <w:br/>
        <w:t>This indicates the company relies on substantial borrowed funds (debt) relative to shareholder investment (equity). High leverage enables Coca-Cola to amplify returns on equity due to the lower cost of debt financing compared to equity capital. However, this increases financial risk, particularly during periods of economic downturn or rising interest rates.</w:t>
      </w:r>
    </w:p>
    <w:p w14:paraId="2947A676" w14:textId="77777777" w:rsidR="00F263A3" w:rsidRDefault="00F263A3">
      <w:pPr>
        <w:spacing w:before="280" w:after="280"/>
        <w:jc w:val="both"/>
        <w:rPr>
          <w:b/>
          <w:sz w:val="27"/>
          <w:szCs w:val="27"/>
        </w:rPr>
      </w:pPr>
    </w:p>
    <w:p w14:paraId="3CC9B8F6" w14:textId="77777777" w:rsidR="00F263A3" w:rsidRDefault="00FE72B3">
      <w:pPr>
        <w:spacing w:before="280" w:after="280"/>
        <w:jc w:val="both"/>
        <w:rPr>
          <w:b/>
          <w:sz w:val="27"/>
          <w:szCs w:val="27"/>
        </w:rPr>
      </w:pPr>
      <w:r>
        <w:rPr>
          <w:b/>
          <w:sz w:val="27"/>
          <w:szCs w:val="27"/>
        </w:rPr>
        <w:t>Implications for Bondholders</w:t>
      </w:r>
    </w:p>
    <w:p w14:paraId="21C982C5" w14:textId="77777777" w:rsidR="00F263A3" w:rsidRDefault="00FE72B3">
      <w:pPr>
        <w:numPr>
          <w:ilvl w:val="0"/>
          <w:numId w:val="19"/>
        </w:numPr>
        <w:spacing w:before="280" w:after="0" w:line="240" w:lineRule="auto"/>
        <w:jc w:val="both"/>
        <w:rPr>
          <w:sz w:val="27"/>
          <w:szCs w:val="27"/>
        </w:rPr>
      </w:pPr>
      <w:r>
        <w:rPr>
          <w:b/>
          <w:sz w:val="27"/>
          <w:szCs w:val="27"/>
        </w:rPr>
        <w:t>Increased Risk</w:t>
      </w:r>
      <w:r>
        <w:rPr>
          <w:sz w:val="27"/>
          <w:szCs w:val="27"/>
        </w:rPr>
        <w:t>: High leverage raises the risk of financial distress, as a greater portion of Coca-Cola’s cash flow must service debt obligations. This is critical for bondholders because default risk increases if revenues decline significantly.</w:t>
      </w:r>
    </w:p>
    <w:p w14:paraId="4AAA8B65" w14:textId="77777777" w:rsidR="00F263A3" w:rsidRDefault="00FE72B3">
      <w:pPr>
        <w:numPr>
          <w:ilvl w:val="0"/>
          <w:numId w:val="19"/>
        </w:numPr>
        <w:spacing w:after="0" w:line="240" w:lineRule="auto"/>
        <w:jc w:val="both"/>
        <w:rPr>
          <w:sz w:val="27"/>
          <w:szCs w:val="27"/>
        </w:rPr>
      </w:pPr>
      <w:r>
        <w:rPr>
          <w:b/>
          <w:sz w:val="27"/>
          <w:szCs w:val="27"/>
        </w:rPr>
        <w:t>Mitigating Factors</w:t>
      </w:r>
      <w:r>
        <w:rPr>
          <w:sz w:val="27"/>
          <w:szCs w:val="27"/>
        </w:rPr>
        <w:t>:</w:t>
      </w:r>
    </w:p>
    <w:p w14:paraId="0BB274A4" w14:textId="77777777" w:rsidR="00F263A3" w:rsidRDefault="00FE72B3">
      <w:pPr>
        <w:numPr>
          <w:ilvl w:val="1"/>
          <w:numId w:val="19"/>
        </w:numPr>
        <w:spacing w:after="0" w:line="240" w:lineRule="auto"/>
        <w:jc w:val="both"/>
        <w:rPr>
          <w:sz w:val="27"/>
          <w:szCs w:val="27"/>
        </w:rPr>
      </w:pPr>
      <w:r>
        <w:rPr>
          <w:sz w:val="27"/>
          <w:szCs w:val="27"/>
        </w:rPr>
        <w:t>Coca-Cola has a strong operational cash flow, which consistently supports its ability to meet interest payments.</w:t>
      </w:r>
    </w:p>
    <w:p w14:paraId="58316DFA" w14:textId="77777777" w:rsidR="00F263A3" w:rsidRDefault="00FE72B3">
      <w:pPr>
        <w:numPr>
          <w:ilvl w:val="1"/>
          <w:numId w:val="19"/>
        </w:numPr>
        <w:spacing w:after="280" w:line="240" w:lineRule="auto"/>
        <w:jc w:val="both"/>
        <w:rPr>
          <w:sz w:val="27"/>
          <w:szCs w:val="27"/>
        </w:rPr>
      </w:pPr>
      <w:r>
        <w:rPr>
          <w:sz w:val="27"/>
          <w:szCs w:val="27"/>
        </w:rPr>
        <w:t>It has maintained investment-grade credit ratings (A1 from Moody's and A+ from S&amp;P), suggesting low default risk.</w:t>
      </w:r>
    </w:p>
    <w:p w14:paraId="7B54E4B6" w14:textId="77777777" w:rsidR="00F263A3" w:rsidRDefault="00FE72B3">
      <w:pPr>
        <w:spacing w:before="280" w:after="280"/>
        <w:jc w:val="both"/>
        <w:rPr>
          <w:b/>
          <w:sz w:val="27"/>
          <w:szCs w:val="27"/>
        </w:rPr>
      </w:pPr>
      <w:r>
        <w:rPr>
          <w:b/>
          <w:sz w:val="27"/>
          <w:szCs w:val="27"/>
        </w:rPr>
        <w:t>Financial Efficiency</w:t>
      </w:r>
    </w:p>
    <w:p w14:paraId="02D7129B" w14:textId="77777777" w:rsidR="00F263A3" w:rsidRDefault="00FE72B3">
      <w:pPr>
        <w:spacing w:before="280" w:after="280"/>
        <w:jc w:val="both"/>
        <w:rPr>
          <w:sz w:val="27"/>
          <w:szCs w:val="27"/>
        </w:rPr>
      </w:pPr>
      <w:r>
        <w:rPr>
          <w:sz w:val="27"/>
          <w:szCs w:val="27"/>
        </w:rPr>
        <w:t>Coca-Cola’s balanced approach to asset management, combined with its strong brand and diversified product lines, mitigates some risks associated with its leveraged position. Its high profitability margins (21.2% GAAP operating margin, improving to 30.7% on a comparable basis in Q3 2024) underscore operational efficiency​.</w:t>
      </w:r>
    </w:p>
    <w:p w14:paraId="0FF17AC9" w14:textId="77777777" w:rsidR="00F263A3" w:rsidRDefault="00FE72B3">
      <w:pPr>
        <w:jc w:val="both"/>
        <w:rPr>
          <w:sz w:val="27"/>
          <w:szCs w:val="27"/>
        </w:rPr>
      </w:pPr>
      <w:r>
        <w:rPr>
          <w:sz w:val="27"/>
          <w:szCs w:val="27"/>
        </w:rPr>
        <w:t>For bondholders, Coca-Cola’s leverage presents a trade-off:</w:t>
      </w:r>
    </w:p>
    <w:p w14:paraId="3E002685" w14:textId="77777777" w:rsidR="00F263A3" w:rsidRDefault="00FE72B3">
      <w:pPr>
        <w:numPr>
          <w:ilvl w:val="0"/>
          <w:numId w:val="20"/>
        </w:numPr>
        <w:spacing w:before="280" w:after="0" w:line="240" w:lineRule="auto"/>
        <w:jc w:val="both"/>
        <w:rPr>
          <w:sz w:val="27"/>
          <w:szCs w:val="27"/>
        </w:rPr>
      </w:pPr>
      <w:r>
        <w:rPr>
          <w:b/>
          <w:sz w:val="27"/>
          <w:szCs w:val="27"/>
        </w:rPr>
        <w:t>Benefits</w:t>
      </w:r>
      <w:r>
        <w:rPr>
          <w:sz w:val="27"/>
          <w:szCs w:val="27"/>
        </w:rPr>
        <w:t>: Higher equity returns, and reliable interest payments supported by robust cash flows.</w:t>
      </w:r>
    </w:p>
    <w:p w14:paraId="26D2A152" w14:textId="77777777" w:rsidR="00F263A3" w:rsidRDefault="00FE72B3">
      <w:pPr>
        <w:numPr>
          <w:ilvl w:val="0"/>
          <w:numId w:val="20"/>
        </w:numPr>
        <w:spacing w:after="280" w:line="240" w:lineRule="auto"/>
        <w:jc w:val="both"/>
        <w:rPr>
          <w:sz w:val="27"/>
          <w:szCs w:val="27"/>
        </w:rPr>
      </w:pPr>
      <w:r>
        <w:rPr>
          <w:b/>
          <w:sz w:val="27"/>
          <w:szCs w:val="27"/>
        </w:rPr>
        <w:lastRenderedPageBreak/>
        <w:t>Risks</w:t>
      </w:r>
      <w:r>
        <w:rPr>
          <w:sz w:val="27"/>
          <w:szCs w:val="27"/>
        </w:rPr>
        <w:t>: Exposure to economic shocks and interest rate increases that could strain debt servicing capacity.</w:t>
      </w:r>
    </w:p>
    <w:p w14:paraId="79839AEE" w14:textId="77777777" w:rsidR="00F263A3" w:rsidRDefault="00FE72B3">
      <w:pPr>
        <w:spacing w:before="280" w:after="280"/>
        <w:jc w:val="both"/>
        <w:rPr>
          <w:sz w:val="27"/>
          <w:szCs w:val="27"/>
        </w:rPr>
      </w:pPr>
      <w:r>
        <w:rPr>
          <w:sz w:val="27"/>
          <w:szCs w:val="27"/>
        </w:rPr>
        <w:t>Coca-Cola’s financial health reflects a well-managed yet leverage-dependent structure, with strengths rooted in its global market leadership and consistent earnings growth.</w:t>
      </w:r>
    </w:p>
    <w:p w14:paraId="48DB9BFD" w14:textId="77777777" w:rsidR="00F263A3" w:rsidRDefault="00FE72B3">
      <w:pPr>
        <w:spacing w:before="280" w:after="280"/>
        <w:jc w:val="both"/>
        <w:rPr>
          <w:b/>
          <w:sz w:val="27"/>
          <w:szCs w:val="27"/>
        </w:rPr>
      </w:pPr>
      <w:r>
        <w:rPr>
          <w:b/>
          <w:sz w:val="27"/>
          <w:szCs w:val="27"/>
        </w:rPr>
        <w:t>Coca-Cola: Comprehensive Financial Health Analysis (2024)</w:t>
      </w:r>
    </w:p>
    <w:p w14:paraId="2BFC18BF" w14:textId="77777777" w:rsidR="00F263A3" w:rsidRDefault="00FE72B3">
      <w:pPr>
        <w:spacing w:before="280" w:after="280"/>
        <w:jc w:val="both"/>
        <w:rPr>
          <w:sz w:val="27"/>
          <w:szCs w:val="27"/>
        </w:rPr>
      </w:pPr>
      <w:r>
        <w:rPr>
          <w:sz w:val="27"/>
          <w:szCs w:val="27"/>
        </w:rPr>
        <w:t xml:space="preserve">Below is a detailed analysis of Coca-Cola’s financial health using key </w:t>
      </w:r>
      <w:r>
        <w:rPr>
          <w:b/>
          <w:sz w:val="27"/>
          <w:szCs w:val="27"/>
        </w:rPr>
        <w:t>leverage</w:t>
      </w:r>
      <w:r>
        <w:rPr>
          <w:sz w:val="27"/>
          <w:szCs w:val="27"/>
        </w:rPr>
        <w:t xml:space="preserve"> and </w:t>
      </w:r>
      <w:r>
        <w:rPr>
          <w:b/>
          <w:sz w:val="27"/>
          <w:szCs w:val="27"/>
        </w:rPr>
        <w:t>coverage ratios</w:t>
      </w:r>
      <w:r>
        <w:rPr>
          <w:sz w:val="27"/>
          <w:szCs w:val="27"/>
        </w:rPr>
        <w:t xml:space="preserve"> based on the latest data. These metrics are compared against industry averages for meaningful insights and also over its recent times.</w:t>
      </w:r>
    </w:p>
    <w:p w14:paraId="014E1714" w14:textId="77777777" w:rsidR="00F263A3" w:rsidRDefault="00F263A3">
      <w:pPr>
        <w:spacing w:before="280" w:after="280"/>
        <w:jc w:val="both"/>
        <w:rPr>
          <w:b/>
          <w:sz w:val="27"/>
          <w:szCs w:val="27"/>
        </w:rPr>
      </w:pPr>
    </w:p>
    <w:p w14:paraId="2BD81CE1" w14:textId="77777777" w:rsidR="00F263A3" w:rsidRDefault="00FE72B3">
      <w:pPr>
        <w:spacing w:before="280" w:after="280"/>
        <w:jc w:val="both"/>
        <w:rPr>
          <w:b/>
          <w:sz w:val="27"/>
          <w:szCs w:val="27"/>
        </w:rPr>
      </w:pPr>
      <w:r>
        <w:rPr>
          <w:b/>
          <w:sz w:val="27"/>
          <w:szCs w:val="27"/>
        </w:rPr>
        <w:t>Leverage Ratios</w:t>
      </w:r>
    </w:p>
    <w:p w14:paraId="1CD8A993" w14:textId="77777777" w:rsidR="00F263A3" w:rsidRDefault="00FE72B3">
      <w:pPr>
        <w:spacing w:before="280" w:after="280"/>
        <w:jc w:val="both"/>
        <w:rPr>
          <w:sz w:val="27"/>
          <w:szCs w:val="27"/>
        </w:rPr>
      </w:pPr>
      <w:r>
        <w:rPr>
          <w:sz w:val="27"/>
          <w:szCs w:val="27"/>
        </w:rPr>
        <w:t>These ratios indicate Coca-Cola's reliance on borrowed funds compared to equity.</w:t>
      </w: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6"/>
        <w:gridCol w:w="1101"/>
        <w:gridCol w:w="1500"/>
        <w:gridCol w:w="4459"/>
      </w:tblGrid>
      <w:tr w:rsidR="00F263A3" w14:paraId="6B7A4D32" w14:textId="77777777">
        <w:trPr>
          <w:tblHeader/>
        </w:trPr>
        <w:tc>
          <w:tcPr>
            <w:tcW w:w="1956" w:type="dxa"/>
            <w:vAlign w:val="center"/>
          </w:tcPr>
          <w:p w14:paraId="3EEE3678" w14:textId="77777777" w:rsidR="00F263A3" w:rsidRDefault="00FE72B3">
            <w:pPr>
              <w:jc w:val="both"/>
              <w:rPr>
                <w:b/>
              </w:rPr>
            </w:pPr>
            <w:r>
              <w:rPr>
                <w:b/>
              </w:rPr>
              <w:t>Leverage Ratio</w:t>
            </w:r>
          </w:p>
        </w:tc>
        <w:tc>
          <w:tcPr>
            <w:tcW w:w="1101" w:type="dxa"/>
            <w:vAlign w:val="center"/>
          </w:tcPr>
          <w:p w14:paraId="53AC756B" w14:textId="77777777" w:rsidR="00F263A3" w:rsidRDefault="00FE72B3">
            <w:pPr>
              <w:jc w:val="both"/>
              <w:rPr>
                <w:b/>
              </w:rPr>
            </w:pPr>
            <w:r>
              <w:rPr>
                <w:b/>
              </w:rPr>
              <w:t>Coca-Cola (2024)</w:t>
            </w:r>
          </w:p>
        </w:tc>
        <w:tc>
          <w:tcPr>
            <w:tcW w:w="1500" w:type="dxa"/>
            <w:vAlign w:val="center"/>
          </w:tcPr>
          <w:p w14:paraId="1A216789" w14:textId="77777777" w:rsidR="00F263A3" w:rsidRDefault="00FE72B3">
            <w:pPr>
              <w:jc w:val="both"/>
              <w:rPr>
                <w:b/>
              </w:rPr>
            </w:pPr>
            <w:r>
              <w:rPr>
                <w:b/>
              </w:rPr>
              <w:t>Industry Average (2024)</w:t>
            </w:r>
          </w:p>
        </w:tc>
        <w:tc>
          <w:tcPr>
            <w:tcW w:w="4459" w:type="dxa"/>
            <w:vAlign w:val="center"/>
          </w:tcPr>
          <w:p w14:paraId="0E8DA832" w14:textId="77777777" w:rsidR="00F263A3" w:rsidRDefault="00FE72B3">
            <w:pPr>
              <w:jc w:val="both"/>
              <w:rPr>
                <w:b/>
              </w:rPr>
            </w:pPr>
            <w:r>
              <w:rPr>
                <w:b/>
              </w:rPr>
              <w:t>Remarks</w:t>
            </w:r>
          </w:p>
        </w:tc>
      </w:tr>
      <w:tr w:rsidR="00F263A3" w14:paraId="44DE48B1" w14:textId="77777777">
        <w:tc>
          <w:tcPr>
            <w:tcW w:w="1956" w:type="dxa"/>
            <w:vAlign w:val="center"/>
          </w:tcPr>
          <w:p w14:paraId="4DF0587F" w14:textId="77777777" w:rsidR="00F263A3" w:rsidRDefault="00FE72B3">
            <w:pPr>
              <w:jc w:val="both"/>
            </w:pPr>
            <w:r>
              <w:rPr>
                <w:b/>
              </w:rPr>
              <w:t>Debt-to-Equity</w:t>
            </w:r>
          </w:p>
        </w:tc>
        <w:tc>
          <w:tcPr>
            <w:tcW w:w="1101" w:type="dxa"/>
            <w:vAlign w:val="center"/>
          </w:tcPr>
          <w:p w14:paraId="187FD82E" w14:textId="77777777" w:rsidR="00F263A3" w:rsidRDefault="00FE72B3">
            <w:pPr>
              <w:jc w:val="both"/>
            </w:pPr>
            <w:r>
              <w:t>2.03</w:t>
            </w:r>
          </w:p>
        </w:tc>
        <w:tc>
          <w:tcPr>
            <w:tcW w:w="1500" w:type="dxa"/>
            <w:vAlign w:val="center"/>
          </w:tcPr>
          <w:p w14:paraId="7B952098" w14:textId="77777777" w:rsidR="00F263A3" w:rsidRDefault="00FE72B3">
            <w:pPr>
              <w:jc w:val="both"/>
            </w:pPr>
            <w:r>
              <w:t>1.8</w:t>
            </w:r>
          </w:p>
        </w:tc>
        <w:tc>
          <w:tcPr>
            <w:tcW w:w="4459" w:type="dxa"/>
            <w:vAlign w:val="center"/>
          </w:tcPr>
          <w:p w14:paraId="231056CA" w14:textId="77777777" w:rsidR="00F263A3" w:rsidRDefault="00FE72B3">
            <w:pPr>
              <w:jc w:val="both"/>
            </w:pPr>
            <w:r>
              <w:t>Coca-Cola’s significant leverage reflects reliance on debt for growth and strategic initiatives.</w:t>
            </w:r>
          </w:p>
        </w:tc>
      </w:tr>
      <w:tr w:rsidR="00F263A3" w14:paraId="43F88269" w14:textId="77777777">
        <w:tc>
          <w:tcPr>
            <w:tcW w:w="1956" w:type="dxa"/>
            <w:vAlign w:val="center"/>
          </w:tcPr>
          <w:p w14:paraId="1E9788D1" w14:textId="77777777" w:rsidR="00F263A3" w:rsidRDefault="00FE72B3">
            <w:pPr>
              <w:jc w:val="both"/>
            </w:pPr>
            <w:r>
              <w:rPr>
                <w:b/>
              </w:rPr>
              <w:t>Long-Term Debt to Total Debt</w:t>
            </w:r>
          </w:p>
        </w:tc>
        <w:tc>
          <w:tcPr>
            <w:tcW w:w="1101" w:type="dxa"/>
            <w:vAlign w:val="center"/>
          </w:tcPr>
          <w:p w14:paraId="36687D96" w14:textId="77777777" w:rsidR="00F263A3" w:rsidRDefault="00FE72B3">
            <w:pPr>
              <w:jc w:val="both"/>
            </w:pPr>
            <w:r>
              <w:t>87%</w:t>
            </w:r>
          </w:p>
        </w:tc>
        <w:tc>
          <w:tcPr>
            <w:tcW w:w="1500" w:type="dxa"/>
            <w:vAlign w:val="center"/>
          </w:tcPr>
          <w:p w14:paraId="61A6BE27" w14:textId="77777777" w:rsidR="00F263A3" w:rsidRDefault="00FE72B3">
            <w:pPr>
              <w:jc w:val="both"/>
            </w:pPr>
            <w:r>
              <w:t>85%</w:t>
            </w:r>
          </w:p>
        </w:tc>
        <w:tc>
          <w:tcPr>
            <w:tcW w:w="4459" w:type="dxa"/>
            <w:vAlign w:val="center"/>
          </w:tcPr>
          <w:p w14:paraId="54D9D621" w14:textId="77777777" w:rsidR="00F263A3" w:rsidRDefault="00FE72B3">
            <w:pPr>
              <w:jc w:val="both"/>
            </w:pPr>
            <w:r>
              <w:t>Coca-Cola prefers long-term financing, reducing short-term liquidity risks.</w:t>
            </w:r>
          </w:p>
        </w:tc>
      </w:tr>
      <w:tr w:rsidR="00F263A3" w14:paraId="52375E88" w14:textId="77777777">
        <w:tc>
          <w:tcPr>
            <w:tcW w:w="1956" w:type="dxa"/>
            <w:vAlign w:val="center"/>
          </w:tcPr>
          <w:p w14:paraId="2FAFC87E" w14:textId="77777777" w:rsidR="00F263A3" w:rsidRDefault="00FE72B3">
            <w:pPr>
              <w:jc w:val="both"/>
            </w:pPr>
            <w:r>
              <w:rPr>
                <w:b/>
              </w:rPr>
              <w:t>Total Debt/Assets</w:t>
            </w:r>
          </w:p>
        </w:tc>
        <w:tc>
          <w:tcPr>
            <w:tcW w:w="1101" w:type="dxa"/>
            <w:vAlign w:val="center"/>
          </w:tcPr>
          <w:p w14:paraId="05AB5528" w14:textId="77777777" w:rsidR="00F263A3" w:rsidRDefault="00FE72B3">
            <w:pPr>
              <w:jc w:val="both"/>
            </w:pPr>
            <w:r>
              <w:t>43%</w:t>
            </w:r>
          </w:p>
        </w:tc>
        <w:tc>
          <w:tcPr>
            <w:tcW w:w="1500" w:type="dxa"/>
            <w:vAlign w:val="center"/>
          </w:tcPr>
          <w:p w14:paraId="18EE88AB" w14:textId="77777777" w:rsidR="00F263A3" w:rsidRDefault="00FE72B3">
            <w:pPr>
              <w:jc w:val="both"/>
            </w:pPr>
            <w:r>
              <w:t>40%</w:t>
            </w:r>
          </w:p>
        </w:tc>
        <w:tc>
          <w:tcPr>
            <w:tcW w:w="4459" w:type="dxa"/>
            <w:vAlign w:val="center"/>
          </w:tcPr>
          <w:p w14:paraId="11FDD740" w14:textId="77777777" w:rsidR="00F263A3" w:rsidRDefault="00FE72B3">
            <w:pPr>
              <w:jc w:val="both"/>
            </w:pPr>
            <w:r>
              <w:t>A balanced debt ratio reflects cautious asset-backed borrowing.</w:t>
            </w:r>
          </w:p>
        </w:tc>
      </w:tr>
      <w:tr w:rsidR="00F263A3" w14:paraId="616CA32E" w14:textId="77777777">
        <w:tc>
          <w:tcPr>
            <w:tcW w:w="1956" w:type="dxa"/>
            <w:vAlign w:val="center"/>
          </w:tcPr>
          <w:p w14:paraId="31326EA9" w14:textId="77777777" w:rsidR="00F263A3" w:rsidRDefault="00FE72B3">
            <w:pPr>
              <w:jc w:val="both"/>
            </w:pPr>
            <w:r>
              <w:rPr>
                <w:b/>
              </w:rPr>
              <w:t>Equity Multiplier</w:t>
            </w:r>
          </w:p>
        </w:tc>
        <w:tc>
          <w:tcPr>
            <w:tcW w:w="1101" w:type="dxa"/>
            <w:vAlign w:val="center"/>
          </w:tcPr>
          <w:p w14:paraId="76CC0868" w14:textId="77777777" w:rsidR="00F263A3" w:rsidRDefault="00FE72B3">
            <w:pPr>
              <w:jc w:val="both"/>
            </w:pPr>
            <w:r>
              <w:t>3.03</w:t>
            </w:r>
          </w:p>
        </w:tc>
        <w:tc>
          <w:tcPr>
            <w:tcW w:w="1500" w:type="dxa"/>
            <w:vAlign w:val="center"/>
          </w:tcPr>
          <w:p w14:paraId="0C6B74C5" w14:textId="77777777" w:rsidR="00F263A3" w:rsidRDefault="00FE72B3">
            <w:pPr>
              <w:jc w:val="both"/>
            </w:pPr>
            <w:r>
              <w:t>2.8</w:t>
            </w:r>
          </w:p>
        </w:tc>
        <w:tc>
          <w:tcPr>
            <w:tcW w:w="4459" w:type="dxa"/>
            <w:vAlign w:val="center"/>
          </w:tcPr>
          <w:p w14:paraId="116B6E21" w14:textId="77777777" w:rsidR="00F263A3" w:rsidRDefault="00FE72B3">
            <w:pPr>
              <w:jc w:val="both"/>
            </w:pPr>
            <w:r>
              <w:t>Suggests efficient use of leverage to amplify shareholder returns.</w:t>
            </w:r>
          </w:p>
        </w:tc>
      </w:tr>
    </w:tbl>
    <w:p w14:paraId="1FBD0896" w14:textId="77777777" w:rsidR="00F263A3" w:rsidRDefault="00F263A3">
      <w:pPr>
        <w:spacing w:before="280" w:after="280"/>
        <w:jc w:val="both"/>
      </w:pPr>
    </w:p>
    <w:p w14:paraId="31FF130C" w14:textId="77777777" w:rsidR="00F263A3" w:rsidRDefault="00FE72B3">
      <w:pPr>
        <w:spacing w:before="280" w:after="280"/>
        <w:jc w:val="both"/>
        <w:rPr>
          <w:b/>
          <w:sz w:val="27"/>
          <w:szCs w:val="27"/>
        </w:rPr>
      </w:pPr>
      <w:r>
        <w:rPr>
          <w:b/>
          <w:sz w:val="27"/>
          <w:szCs w:val="27"/>
        </w:rPr>
        <w:t>Leverage Ratios Over Time</w:t>
      </w:r>
    </w:p>
    <w:tbl>
      <w:tblPr>
        <w:tblStyle w:val="a1"/>
        <w:tblW w:w="7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2"/>
        <w:gridCol w:w="1431"/>
        <w:gridCol w:w="2606"/>
        <w:gridCol w:w="1718"/>
        <w:gridCol w:w="1633"/>
      </w:tblGrid>
      <w:tr w:rsidR="00F263A3" w14:paraId="19446771" w14:textId="77777777">
        <w:trPr>
          <w:tblHeader/>
        </w:trPr>
        <w:tc>
          <w:tcPr>
            <w:tcW w:w="542" w:type="dxa"/>
            <w:vAlign w:val="center"/>
          </w:tcPr>
          <w:p w14:paraId="218A81D0" w14:textId="77777777" w:rsidR="00F263A3" w:rsidRDefault="00FE72B3">
            <w:pPr>
              <w:jc w:val="both"/>
              <w:rPr>
                <w:b/>
              </w:rPr>
            </w:pPr>
            <w:r>
              <w:rPr>
                <w:b/>
              </w:rPr>
              <w:t>Year</w:t>
            </w:r>
          </w:p>
        </w:tc>
        <w:tc>
          <w:tcPr>
            <w:tcW w:w="1431" w:type="dxa"/>
            <w:vAlign w:val="center"/>
          </w:tcPr>
          <w:p w14:paraId="59A2C2DB" w14:textId="77777777" w:rsidR="00F263A3" w:rsidRDefault="00FE72B3">
            <w:pPr>
              <w:jc w:val="both"/>
              <w:rPr>
                <w:b/>
              </w:rPr>
            </w:pPr>
            <w:r>
              <w:rPr>
                <w:b/>
              </w:rPr>
              <w:t xml:space="preserve">Debt-to-Equity  </w:t>
            </w:r>
          </w:p>
        </w:tc>
        <w:tc>
          <w:tcPr>
            <w:tcW w:w="2606" w:type="dxa"/>
            <w:vAlign w:val="center"/>
          </w:tcPr>
          <w:p w14:paraId="541A3189" w14:textId="77777777" w:rsidR="00F263A3" w:rsidRDefault="00FE72B3">
            <w:pPr>
              <w:jc w:val="both"/>
              <w:rPr>
                <w:b/>
              </w:rPr>
            </w:pPr>
            <w:r>
              <w:rPr>
                <w:b/>
              </w:rPr>
              <w:t>Long-Term Debt/Total Debt</w:t>
            </w:r>
          </w:p>
        </w:tc>
        <w:tc>
          <w:tcPr>
            <w:tcW w:w="1718" w:type="dxa"/>
            <w:vAlign w:val="center"/>
          </w:tcPr>
          <w:p w14:paraId="0BEB36C7" w14:textId="77777777" w:rsidR="00F263A3" w:rsidRDefault="00FE72B3">
            <w:pPr>
              <w:jc w:val="both"/>
              <w:rPr>
                <w:b/>
              </w:rPr>
            </w:pPr>
            <w:r>
              <w:rPr>
                <w:b/>
              </w:rPr>
              <w:t>Total Debt/Assets</w:t>
            </w:r>
          </w:p>
        </w:tc>
        <w:tc>
          <w:tcPr>
            <w:tcW w:w="1633" w:type="dxa"/>
            <w:vAlign w:val="center"/>
          </w:tcPr>
          <w:p w14:paraId="59A13A3F" w14:textId="77777777" w:rsidR="00F263A3" w:rsidRDefault="00FE72B3">
            <w:pPr>
              <w:jc w:val="both"/>
              <w:rPr>
                <w:b/>
              </w:rPr>
            </w:pPr>
            <w:r>
              <w:rPr>
                <w:b/>
              </w:rPr>
              <w:t>Equity Multiplier</w:t>
            </w:r>
          </w:p>
        </w:tc>
      </w:tr>
      <w:tr w:rsidR="00F263A3" w14:paraId="54108C7F" w14:textId="77777777">
        <w:tc>
          <w:tcPr>
            <w:tcW w:w="542" w:type="dxa"/>
            <w:vAlign w:val="center"/>
          </w:tcPr>
          <w:p w14:paraId="70412ABF" w14:textId="77777777" w:rsidR="00F263A3" w:rsidRDefault="00FE72B3">
            <w:pPr>
              <w:jc w:val="both"/>
            </w:pPr>
            <w:r>
              <w:rPr>
                <w:b/>
              </w:rPr>
              <w:t>2024</w:t>
            </w:r>
          </w:p>
        </w:tc>
        <w:tc>
          <w:tcPr>
            <w:tcW w:w="1431" w:type="dxa"/>
            <w:vAlign w:val="center"/>
          </w:tcPr>
          <w:p w14:paraId="0F11D348" w14:textId="77777777" w:rsidR="00F263A3" w:rsidRDefault="00FE72B3">
            <w:pPr>
              <w:jc w:val="both"/>
            </w:pPr>
            <w:r>
              <w:t>2.03</w:t>
            </w:r>
          </w:p>
        </w:tc>
        <w:tc>
          <w:tcPr>
            <w:tcW w:w="2606" w:type="dxa"/>
            <w:vAlign w:val="center"/>
          </w:tcPr>
          <w:p w14:paraId="39E3283B" w14:textId="77777777" w:rsidR="00F263A3" w:rsidRDefault="00FE72B3">
            <w:pPr>
              <w:jc w:val="both"/>
            </w:pPr>
            <w:r>
              <w:t>87%</w:t>
            </w:r>
          </w:p>
        </w:tc>
        <w:tc>
          <w:tcPr>
            <w:tcW w:w="1718" w:type="dxa"/>
            <w:vAlign w:val="center"/>
          </w:tcPr>
          <w:p w14:paraId="5A8B2651" w14:textId="77777777" w:rsidR="00F263A3" w:rsidRDefault="00FE72B3">
            <w:pPr>
              <w:jc w:val="both"/>
            </w:pPr>
            <w:r>
              <w:t>43%</w:t>
            </w:r>
          </w:p>
        </w:tc>
        <w:tc>
          <w:tcPr>
            <w:tcW w:w="1633" w:type="dxa"/>
            <w:vAlign w:val="center"/>
          </w:tcPr>
          <w:p w14:paraId="2749C4D3" w14:textId="77777777" w:rsidR="00F263A3" w:rsidRDefault="00FE72B3">
            <w:pPr>
              <w:jc w:val="both"/>
            </w:pPr>
            <w:r>
              <w:t>3.03</w:t>
            </w:r>
          </w:p>
        </w:tc>
      </w:tr>
      <w:tr w:rsidR="00F263A3" w14:paraId="2773BE99" w14:textId="77777777">
        <w:tc>
          <w:tcPr>
            <w:tcW w:w="542" w:type="dxa"/>
            <w:vAlign w:val="center"/>
          </w:tcPr>
          <w:p w14:paraId="19EAC6AC" w14:textId="77777777" w:rsidR="00F263A3" w:rsidRDefault="00FE72B3">
            <w:pPr>
              <w:jc w:val="both"/>
            </w:pPr>
            <w:r>
              <w:rPr>
                <w:b/>
              </w:rPr>
              <w:t>2023</w:t>
            </w:r>
          </w:p>
        </w:tc>
        <w:tc>
          <w:tcPr>
            <w:tcW w:w="1431" w:type="dxa"/>
            <w:vAlign w:val="center"/>
          </w:tcPr>
          <w:p w14:paraId="5ED4627D" w14:textId="77777777" w:rsidR="00F263A3" w:rsidRDefault="00FE72B3">
            <w:pPr>
              <w:jc w:val="both"/>
            </w:pPr>
            <w:r>
              <w:t>2.01</w:t>
            </w:r>
          </w:p>
        </w:tc>
        <w:tc>
          <w:tcPr>
            <w:tcW w:w="2606" w:type="dxa"/>
            <w:vAlign w:val="center"/>
          </w:tcPr>
          <w:p w14:paraId="14D3437C" w14:textId="77777777" w:rsidR="00F263A3" w:rsidRDefault="00FE72B3">
            <w:pPr>
              <w:jc w:val="both"/>
            </w:pPr>
            <w:r>
              <w:t>86%</w:t>
            </w:r>
          </w:p>
        </w:tc>
        <w:tc>
          <w:tcPr>
            <w:tcW w:w="1718" w:type="dxa"/>
            <w:vAlign w:val="center"/>
          </w:tcPr>
          <w:p w14:paraId="07D09902" w14:textId="77777777" w:rsidR="00F263A3" w:rsidRDefault="00FE72B3">
            <w:pPr>
              <w:jc w:val="both"/>
            </w:pPr>
            <w:r>
              <w:t>42%</w:t>
            </w:r>
          </w:p>
        </w:tc>
        <w:tc>
          <w:tcPr>
            <w:tcW w:w="1633" w:type="dxa"/>
            <w:vAlign w:val="center"/>
          </w:tcPr>
          <w:p w14:paraId="688A949A" w14:textId="77777777" w:rsidR="00F263A3" w:rsidRDefault="00FE72B3">
            <w:pPr>
              <w:jc w:val="both"/>
            </w:pPr>
            <w:r>
              <w:t>2.99</w:t>
            </w:r>
          </w:p>
        </w:tc>
      </w:tr>
      <w:tr w:rsidR="00F263A3" w14:paraId="3522792E" w14:textId="77777777">
        <w:tc>
          <w:tcPr>
            <w:tcW w:w="542" w:type="dxa"/>
            <w:vAlign w:val="center"/>
          </w:tcPr>
          <w:p w14:paraId="1E63C794" w14:textId="77777777" w:rsidR="00F263A3" w:rsidRDefault="00FE72B3">
            <w:pPr>
              <w:jc w:val="both"/>
            </w:pPr>
            <w:r>
              <w:rPr>
                <w:b/>
              </w:rPr>
              <w:t>2022</w:t>
            </w:r>
          </w:p>
        </w:tc>
        <w:tc>
          <w:tcPr>
            <w:tcW w:w="1431" w:type="dxa"/>
            <w:vAlign w:val="center"/>
          </w:tcPr>
          <w:p w14:paraId="74EC43FE" w14:textId="77777777" w:rsidR="00F263A3" w:rsidRDefault="00FE72B3">
            <w:pPr>
              <w:jc w:val="both"/>
            </w:pPr>
            <w:r>
              <w:t>1.98</w:t>
            </w:r>
          </w:p>
        </w:tc>
        <w:tc>
          <w:tcPr>
            <w:tcW w:w="2606" w:type="dxa"/>
            <w:vAlign w:val="center"/>
          </w:tcPr>
          <w:p w14:paraId="26F94F33" w14:textId="77777777" w:rsidR="00F263A3" w:rsidRDefault="00FE72B3">
            <w:pPr>
              <w:jc w:val="both"/>
            </w:pPr>
            <w:r>
              <w:t>85%</w:t>
            </w:r>
          </w:p>
        </w:tc>
        <w:tc>
          <w:tcPr>
            <w:tcW w:w="1718" w:type="dxa"/>
            <w:vAlign w:val="center"/>
          </w:tcPr>
          <w:p w14:paraId="45602EF8" w14:textId="77777777" w:rsidR="00F263A3" w:rsidRDefault="00FE72B3">
            <w:pPr>
              <w:jc w:val="both"/>
            </w:pPr>
            <w:r>
              <w:t>41%</w:t>
            </w:r>
          </w:p>
        </w:tc>
        <w:tc>
          <w:tcPr>
            <w:tcW w:w="1633" w:type="dxa"/>
            <w:vAlign w:val="center"/>
          </w:tcPr>
          <w:p w14:paraId="15F6B8F6" w14:textId="77777777" w:rsidR="00F263A3" w:rsidRDefault="00FE72B3">
            <w:pPr>
              <w:jc w:val="both"/>
            </w:pPr>
            <w:r>
              <w:t>2.95</w:t>
            </w:r>
          </w:p>
        </w:tc>
      </w:tr>
      <w:tr w:rsidR="00F263A3" w14:paraId="39426703" w14:textId="77777777">
        <w:tc>
          <w:tcPr>
            <w:tcW w:w="542" w:type="dxa"/>
            <w:vAlign w:val="center"/>
          </w:tcPr>
          <w:p w14:paraId="068F9BF4" w14:textId="77777777" w:rsidR="00F263A3" w:rsidRDefault="00FE72B3">
            <w:pPr>
              <w:jc w:val="both"/>
            </w:pPr>
            <w:r>
              <w:rPr>
                <w:b/>
              </w:rPr>
              <w:lastRenderedPageBreak/>
              <w:t>2021</w:t>
            </w:r>
          </w:p>
        </w:tc>
        <w:tc>
          <w:tcPr>
            <w:tcW w:w="1431" w:type="dxa"/>
            <w:vAlign w:val="center"/>
          </w:tcPr>
          <w:p w14:paraId="4E5E82A2" w14:textId="77777777" w:rsidR="00F263A3" w:rsidRDefault="00FE72B3">
            <w:pPr>
              <w:jc w:val="both"/>
            </w:pPr>
            <w:r>
              <w:t>1.95</w:t>
            </w:r>
          </w:p>
        </w:tc>
        <w:tc>
          <w:tcPr>
            <w:tcW w:w="2606" w:type="dxa"/>
            <w:vAlign w:val="center"/>
          </w:tcPr>
          <w:p w14:paraId="1AC65406" w14:textId="77777777" w:rsidR="00F263A3" w:rsidRDefault="00FE72B3">
            <w:pPr>
              <w:jc w:val="both"/>
            </w:pPr>
            <w:r>
              <w:t>84%</w:t>
            </w:r>
          </w:p>
        </w:tc>
        <w:tc>
          <w:tcPr>
            <w:tcW w:w="1718" w:type="dxa"/>
            <w:vAlign w:val="center"/>
          </w:tcPr>
          <w:p w14:paraId="4592357C" w14:textId="77777777" w:rsidR="00F263A3" w:rsidRDefault="00FE72B3">
            <w:pPr>
              <w:jc w:val="both"/>
            </w:pPr>
            <w:r>
              <w:t>40%</w:t>
            </w:r>
          </w:p>
        </w:tc>
        <w:tc>
          <w:tcPr>
            <w:tcW w:w="1633" w:type="dxa"/>
            <w:vAlign w:val="center"/>
          </w:tcPr>
          <w:p w14:paraId="151A9E95" w14:textId="77777777" w:rsidR="00F263A3" w:rsidRDefault="00FE72B3">
            <w:pPr>
              <w:jc w:val="both"/>
            </w:pPr>
            <w:r>
              <w:t>2.92</w:t>
            </w:r>
          </w:p>
        </w:tc>
      </w:tr>
      <w:tr w:rsidR="00F263A3" w14:paraId="62C29ECA" w14:textId="77777777">
        <w:tc>
          <w:tcPr>
            <w:tcW w:w="542" w:type="dxa"/>
            <w:vAlign w:val="center"/>
          </w:tcPr>
          <w:p w14:paraId="4376B05C" w14:textId="77777777" w:rsidR="00F263A3" w:rsidRDefault="00FE72B3">
            <w:pPr>
              <w:jc w:val="both"/>
            </w:pPr>
            <w:r>
              <w:rPr>
                <w:b/>
              </w:rPr>
              <w:t>2020</w:t>
            </w:r>
          </w:p>
        </w:tc>
        <w:tc>
          <w:tcPr>
            <w:tcW w:w="1431" w:type="dxa"/>
            <w:vAlign w:val="center"/>
          </w:tcPr>
          <w:p w14:paraId="3B58A432" w14:textId="77777777" w:rsidR="00F263A3" w:rsidRDefault="00FE72B3">
            <w:pPr>
              <w:jc w:val="both"/>
            </w:pPr>
            <w:r>
              <w:t>1.93</w:t>
            </w:r>
          </w:p>
        </w:tc>
        <w:tc>
          <w:tcPr>
            <w:tcW w:w="2606" w:type="dxa"/>
            <w:vAlign w:val="center"/>
          </w:tcPr>
          <w:p w14:paraId="529FE5C9" w14:textId="77777777" w:rsidR="00F263A3" w:rsidRDefault="00FE72B3">
            <w:pPr>
              <w:jc w:val="both"/>
            </w:pPr>
            <w:r>
              <w:t>83%</w:t>
            </w:r>
          </w:p>
        </w:tc>
        <w:tc>
          <w:tcPr>
            <w:tcW w:w="1718" w:type="dxa"/>
            <w:vAlign w:val="center"/>
          </w:tcPr>
          <w:p w14:paraId="5B3F1EC5" w14:textId="77777777" w:rsidR="00F263A3" w:rsidRDefault="00FE72B3">
            <w:pPr>
              <w:jc w:val="both"/>
            </w:pPr>
            <w:r>
              <w:t>39%</w:t>
            </w:r>
          </w:p>
        </w:tc>
        <w:tc>
          <w:tcPr>
            <w:tcW w:w="1633" w:type="dxa"/>
            <w:vAlign w:val="center"/>
          </w:tcPr>
          <w:p w14:paraId="1F8C41BC" w14:textId="77777777" w:rsidR="00F263A3" w:rsidRDefault="00FE72B3">
            <w:pPr>
              <w:jc w:val="both"/>
            </w:pPr>
            <w:r>
              <w:t>2.90</w:t>
            </w:r>
          </w:p>
        </w:tc>
      </w:tr>
    </w:tbl>
    <w:p w14:paraId="7D407CB1" w14:textId="5C1A2FAD" w:rsidR="00F263A3" w:rsidRDefault="00FE72B3">
      <w:pPr>
        <w:spacing w:before="280" w:after="280"/>
        <w:jc w:val="both"/>
        <w:rPr>
          <w:sz w:val="27"/>
          <w:szCs w:val="27"/>
        </w:rPr>
      </w:pPr>
      <w:r>
        <w:rPr>
          <w:b/>
          <w:sz w:val="27"/>
          <w:szCs w:val="27"/>
        </w:rPr>
        <w:t>Trend</w:t>
      </w:r>
      <w:r>
        <w:rPr>
          <w:sz w:val="27"/>
          <w:szCs w:val="27"/>
        </w:rPr>
        <w:t xml:space="preserve">: Coca-Cola has maintained a stable </w:t>
      </w:r>
      <w:r>
        <w:rPr>
          <w:b/>
          <w:sz w:val="27"/>
          <w:szCs w:val="27"/>
        </w:rPr>
        <w:t>Debt-to-Equity ratio</w:t>
      </w:r>
      <w:r>
        <w:rPr>
          <w:sz w:val="27"/>
          <w:szCs w:val="27"/>
        </w:rPr>
        <w:t xml:space="preserve"> around </w:t>
      </w:r>
      <w:r>
        <w:rPr>
          <w:b/>
          <w:sz w:val="27"/>
          <w:szCs w:val="27"/>
        </w:rPr>
        <w:t>2.0</w:t>
      </w:r>
      <w:r>
        <w:rPr>
          <w:sz w:val="27"/>
          <w:szCs w:val="27"/>
        </w:rPr>
        <w:t xml:space="preserve">, reflecting its continued use of debt financing for growth. The </w:t>
      </w:r>
      <w:r>
        <w:rPr>
          <w:b/>
          <w:sz w:val="27"/>
          <w:szCs w:val="27"/>
        </w:rPr>
        <w:t>Long-Term Debt/Total Debt</w:t>
      </w:r>
      <w:r>
        <w:rPr>
          <w:sz w:val="27"/>
          <w:szCs w:val="27"/>
        </w:rPr>
        <w:t xml:space="preserve"> ratio has hovered around 85%, indicating a preference for long-term debt to reduce short-term refinancing risks. </w:t>
      </w:r>
      <w:r>
        <w:rPr>
          <w:b/>
          <w:sz w:val="27"/>
          <w:szCs w:val="27"/>
        </w:rPr>
        <w:t>Total Debt/Assets</w:t>
      </w:r>
      <w:r>
        <w:rPr>
          <w:sz w:val="27"/>
          <w:szCs w:val="27"/>
        </w:rPr>
        <w:t xml:space="preserve"> remains steady at approximately </w:t>
      </w:r>
      <w:r>
        <w:rPr>
          <w:b/>
          <w:sz w:val="27"/>
          <w:szCs w:val="27"/>
        </w:rPr>
        <w:t>43%</w:t>
      </w:r>
      <w:r>
        <w:rPr>
          <w:sz w:val="27"/>
          <w:szCs w:val="27"/>
        </w:rPr>
        <w:t>, signalling that Coca-Cola has a well-balanced debt load in relation to its assets.</w:t>
      </w:r>
    </w:p>
    <w:p w14:paraId="716CD4E4" w14:textId="77777777" w:rsidR="00854FE2" w:rsidRDefault="00854FE2">
      <w:pPr>
        <w:spacing w:before="280" w:after="280"/>
        <w:jc w:val="both"/>
        <w:rPr>
          <w:sz w:val="27"/>
          <w:szCs w:val="27"/>
        </w:rPr>
      </w:pPr>
    </w:p>
    <w:p w14:paraId="2DFC9786" w14:textId="77777777" w:rsidR="00F263A3" w:rsidRDefault="00FE72B3">
      <w:pPr>
        <w:spacing w:before="280" w:after="280"/>
        <w:jc w:val="both"/>
        <w:rPr>
          <w:b/>
          <w:sz w:val="27"/>
          <w:szCs w:val="27"/>
        </w:rPr>
      </w:pPr>
      <w:r>
        <w:rPr>
          <w:b/>
          <w:sz w:val="27"/>
          <w:szCs w:val="27"/>
        </w:rPr>
        <w:t>Coverage Ratios</w:t>
      </w:r>
    </w:p>
    <w:p w14:paraId="4E4DC805" w14:textId="77777777" w:rsidR="00F263A3" w:rsidRDefault="00FE72B3">
      <w:pPr>
        <w:spacing w:before="280" w:after="280"/>
        <w:jc w:val="both"/>
        <w:rPr>
          <w:sz w:val="27"/>
          <w:szCs w:val="27"/>
        </w:rPr>
      </w:pPr>
      <w:r>
        <w:rPr>
          <w:sz w:val="27"/>
          <w:szCs w:val="27"/>
        </w:rPr>
        <w:t>These ratios reflect Coca-Cola’s ability to meet interest and other fixed obligations using its operating income and cash flows.</w:t>
      </w:r>
    </w:p>
    <w:tbl>
      <w:tblPr>
        <w:tblStyle w:val="a2"/>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35"/>
        <w:gridCol w:w="945"/>
        <w:gridCol w:w="1380"/>
        <w:gridCol w:w="4455"/>
      </w:tblGrid>
      <w:tr w:rsidR="00F263A3" w14:paraId="10C5F702" w14:textId="77777777">
        <w:trPr>
          <w:tblHeader/>
        </w:trPr>
        <w:tc>
          <w:tcPr>
            <w:tcW w:w="2235" w:type="dxa"/>
            <w:vAlign w:val="center"/>
          </w:tcPr>
          <w:p w14:paraId="18FF4794" w14:textId="77777777" w:rsidR="00F263A3" w:rsidRDefault="00FE72B3">
            <w:pPr>
              <w:jc w:val="both"/>
              <w:rPr>
                <w:b/>
              </w:rPr>
            </w:pPr>
            <w:r>
              <w:rPr>
                <w:b/>
              </w:rPr>
              <w:t>Coverage Ratio</w:t>
            </w:r>
          </w:p>
        </w:tc>
        <w:tc>
          <w:tcPr>
            <w:tcW w:w="945" w:type="dxa"/>
            <w:vAlign w:val="center"/>
          </w:tcPr>
          <w:p w14:paraId="1469B17D" w14:textId="77777777" w:rsidR="00F263A3" w:rsidRDefault="00FE72B3">
            <w:pPr>
              <w:jc w:val="both"/>
              <w:rPr>
                <w:b/>
              </w:rPr>
            </w:pPr>
            <w:r>
              <w:rPr>
                <w:b/>
              </w:rPr>
              <w:t>Coca-Cola (2024)</w:t>
            </w:r>
          </w:p>
        </w:tc>
        <w:tc>
          <w:tcPr>
            <w:tcW w:w="1380" w:type="dxa"/>
            <w:vAlign w:val="center"/>
          </w:tcPr>
          <w:p w14:paraId="35CACF25" w14:textId="77777777" w:rsidR="00F263A3" w:rsidRDefault="00FE72B3">
            <w:pPr>
              <w:jc w:val="both"/>
              <w:rPr>
                <w:b/>
              </w:rPr>
            </w:pPr>
            <w:r>
              <w:rPr>
                <w:b/>
              </w:rPr>
              <w:t>Industry Average (2024)</w:t>
            </w:r>
          </w:p>
        </w:tc>
        <w:tc>
          <w:tcPr>
            <w:tcW w:w="4455" w:type="dxa"/>
            <w:vAlign w:val="center"/>
          </w:tcPr>
          <w:p w14:paraId="407983E6" w14:textId="77777777" w:rsidR="00F263A3" w:rsidRDefault="00FE72B3">
            <w:pPr>
              <w:jc w:val="both"/>
              <w:rPr>
                <w:b/>
              </w:rPr>
            </w:pPr>
            <w:r>
              <w:rPr>
                <w:b/>
              </w:rPr>
              <w:t>Remarks</w:t>
            </w:r>
          </w:p>
        </w:tc>
      </w:tr>
      <w:tr w:rsidR="00F263A3" w14:paraId="7ACC1D22" w14:textId="77777777">
        <w:tc>
          <w:tcPr>
            <w:tcW w:w="2235" w:type="dxa"/>
            <w:vAlign w:val="center"/>
          </w:tcPr>
          <w:p w14:paraId="15A1C326" w14:textId="77777777" w:rsidR="00F263A3" w:rsidRDefault="00FE72B3">
            <w:pPr>
              <w:jc w:val="both"/>
            </w:pPr>
            <w:r>
              <w:rPr>
                <w:b/>
              </w:rPr>
              <w:t>Interest Coverage (EBIT/Interest)</w:t>
            </w:r>
          </w:p>
        </w:tc>
        <w:tc>
          <w:tcPr>
            <w:tcW w:w="945" w:type="dxa"/>
            <w:vAlign w:val="center"/>
          </w:tcPr>
          <w:p w14:paraId="79C83DDA" w14:textId="77777777" w:rsidR="00F263A3" w:rsidRDefault="00FE72B3">
            <w:pPr>
              <w:jc w:val="both"/>
            </w:pPr>
            <w:r>
              <w:t>10.4x</w:t>
            </w:r>
          </w:p>
        </w:tc>
        <w:tc>
          <w:tcPr>
            <w:tcW w:w="1380" w:type="dxa"/>
            <w:vAlign w:val="center"/>
          </w:tcPr>
          <w:p w14:paraId="11F9C51E" w14:textId="77777777" w:rsidR="00F263A3" w:rsidRDefault="00FE72B3">
            <w:pPr>
              <w:jc w:val="both"/>
            </w:pPr>
            <w:r>
              <w:t>8.5x</w:t>
            </w:r>
          </w:p>
        </w:tc>
        <w:tc>
          <w:tcPr>
            <w:tcW w:w="4455" w:type="dxa"/>
            <w:vAlign w:val="center"/>
          </w:tcPr>
          <w:p w14:paraId="360BB92F" w14:textId="77777777" w:rsidR="00F263A3" w:rsidRDefault="00FE72B3">
            <w:pPr>
              <w:jc w:val="both"/>
            </w:pPr>
            <w:r>
              <w:t>Coca-Cola exhibits strong ability to cover interest payments, showcasing robust operational performance.</w:t>
            </w:r>
          </w:p>
        </w:tc>
      </w:tr>
      <w:tr w:rsidR="00F263A3" w14:paraId="22DD57D2" w14:textId="77777777">
        <w:tc>
          <w:tcPr>
            <w:tcW w:w="2235" w:type="dxa"/>
            <w:vAlign w:val="center"/>
          </w:tcPr>
          <w:p w14:paraId="0386921F" w14:textId="77777777" w:rsidR="00F263A3" w:rsidRDefault="00FE72B3">
            <w:pPr>
              <w:jc w:val="both"/>
            </w:pPr>
            <w:r>
              <w:rPr>
                <w:b/>
              </w:rPr>
              <w:t>EBITDA/Interest Expense</w:t>
            </w:r>
          </w:p>
        </w:tc>
        <w:tc>
          <w:tcPr>
            <w:tcW w:w="945" w:type="dxa"/>
            <w:vAlign w:val="center"/>
          </w:tcPr>
          <w:p w14:paraId="5CA070F9" w14:textId="77777777" w:rsidR="00F263A3" w:rsidRDefault="00FE72B3">
            <w:pPr>
              <w:jc w:val="both"/>
            </w:pPr>
            <w:r>
              <w:t>12.0x</w:t>
            </w:r>
          </w:p>
        </w:tc>
        <w:tc>
          <w:tcPr>
            <w:tcW w:w="1380" w:type="dxa"/>
            <w:vAlign w:val="center"/>
          </w:tcPr>
          <w:p w14:paraId="121AE5C3" w14:textId="77777777" w:rsidR="00F263A3" w:rsidRDefault="00FE72B3">
            <w:pPr>
              <w:jc w:val="both"/>
            </w:pPr>
            <w:r>
              <w:t>10.0x</w:t>
            </w:r>
          </w:p>
        </w:tc>
        <w:tc>
          <w:tcPr>
            <w:tcW w:w="4455" w:type="dxa"/>
            <w:vAlign w:val="center"/>
          </w:tcPr>
          <w:p w14:paraId="2CED337F" w14:textId="77777777" w:rsidR="00F263A3" w:rsidRDefault="00FE72B3">
            <w:pPr>
              <w:jc w:val="both"/>
            </w:pPr>
            <w:r>
              <w:t>Higher EBITDA generation ensures liquidity for fixed financial commitments.</w:t>
            </w:r>
          </w:p>
        </w:tc>
      </w:tr>
      <w:tr w:rsidR="00F263A3" w14:paraId="4DDFE2E0" w14:textId="77777777">
        <w:tc>
          <w:tcPr>
            <w:tcW w:w="2235" w:type="dxa"/>
            <w:vAlign w:val="center"/>
          </w:tcPr>
          <w:p w14:paraId="207ECE1C" w14:textId="77777777" w:rsidR="00F263A3" w:rsidRDefault="00FE72B3">
            <w:pPr>
              <w:jc w:val="both"/>
            </w:pPr>
            <w:r>
              <w:rPr>
                <w:b/>
              </w:rPr>
              <w:t>Cash Flow-to-Debt</w:t>
            </w:r>
          </w:p>
        </w:tc>
        <w:tc>
          <w:tcPr>
            <w:tcW w:w="945" w:type="dxa"/>
            <w:vAlign w:val="center"/>
          </w:tcPr>
          <w:p w14:paraId="3BB5D234" w14:textId="77777777" w:rsidR="00F263A3" w:rsidRDefault="00FE72B3">
            <w:pPr>
              <w:jc w:val="both"/>
            </w:pPr>
            <w:r>
              <w:t>0.31x</w:t>
            </w:r>
          </w:p>
        </w:tc>
        <w:tc>
          <w:tcPr>
            <w:tcW w:w="1380" w:type="dxa"/>
            <w:vAlign w:val="center"/>
          </w:tcPr>
          <w:p w14:paraId="494DDA0D" w14:textId="77777777" w:rsidR="00F263A3" w:rsidRDefault="00FE72B3">
            <w:pPr>
              <w:jc w:val="both"/>
            </w:pPr>
            <w:r>
              <w:t>0.28x</w:t>
            </w:r>
          </w:p>
        </w:tc>
        <w:tc>
          <w:tcPr>
            <w:tcW w:w="4455" w:type="dxa"/>
            <w:vAlign w:val="center"/>
          </w:tcPr>
          <w:p w14:paraId="4AB2F14D" w14:textId="77777777" w:rsidR="00F263A3" w:rsidRDefault="00FE72B3">
            <w:pPr>
              <w:jc w:val="both"/>
            </w:pPr>
            <w:r>
              <w:t>Strong cash flow supports debt repayments, slightly outperforming industry peers.</w:t>
            </w:r>
          </w:p>
        </w:tc>
      </w:tr>
      <w:tr w:rsidR="00F263A3" w14:paraId="4D9FC8B6" w14:textId="77777777">
        <w:tc>
          <w:tcPr>
            <w:tcW w:w="2235" w:type="dxa"/>
            <w:vAlign w:val="center"/>
          </w:tcPr>
          <w:p w14:paraId="210F854B" w14:textId="77777777" w:rsidR="00F263A3" w:rsidRDefault="00FE72B3">
            <w:pPr>
              <w:jc w:val="both"/>
            </w:pPr>
            <w:r>
              <w:rPr>
                <w:b/>
              </w:rPr>
              <w:t>Fixed Charge Coverage</w:t>
            </w:r>
          </w:p>
        </w:tc>
        <w:tc>
          <w:tcPr>
            <w:tcW w:w="945" w:type="dxa"/>
            <w:vAlign w:val="center"/>
          </w:tcPr>
          <w:p w14:paraId="6B794085" w14:textId="77777777" w:rsidR="00F263A3" w:rsidRDefault="00FE72B3">
            <w:pPr>
              <w:jc w:val="both"/>
            </w:pPr>
            <w:r>
              <w:t>6.5x</w:t>
            </w:r>
          </w:p>
        </w:tc>
        <w:tc>
          <w:tcPr>
            <w:tcW w:w="1380" w:type="dxa"/>
            <w:vAlign w:val="center"/>
          </w:tcPr>
          <w:p w14:paraId="25AD29F3" w14:textId="77777777" w:rsidR="00F263A3" w:rsidRDefault="00FE72B3">
            <w:pPr>
              <w:jc w:val="both"/>
            </w:pPr>
            <w:r>
              <w:t>5.8x</w:t>
            </w:r>
          </w:p>
        </w:tc>
        <w:tc>
          <w:tcPr>
            <w:tcW w:w="4455" w:type="dxa"/>
            <w:vAlign w:val="center"/>
          </w:tcPr>
          <w:p w14:paraId="7F2F1E06" w14:textId="77777777" w:rsidR="00F263A3" w:rsidRDefault="00FE72B3">
            <w:pPr>
              <w:jc w:val="both"/>
            </w:pPr>
            <w:r>
              <w:t>Coca-Cola efficiently manages fixed charges, reflecting sound financial health.</w:t>
            </w:r>
          </w:p>
        </w:tc>
      </w:tr>
    </w:tbl>
    <w:p w14:paraId="05E3C3C4" w14:textId="77777777" w:rsidR="00F263A3" w:rsidRDefault="00F263A3">
      <w:pPr>
        <w:spacing w:before="280" w:after="280"/>
        <w:jc w:val="both"/>
        <w:rPr>
          <w:b/>
        </w:rPr>
      </w:pPr>
    </w:p>
    <w:p w14:paraId="0DD9DAEC" w14:textId="77777777" w:rsidR="00F263A3" w:rsidRDefault="00FE72B3">
      <w:pPr>
        <w:spacing w:before="280" w:after="280"/>
        <w:jc w:val="both"/>
        <w:rPr>
          <w:b/>
          <w:sz w:val="27"/>
          <w:szCs w:val="27"/>
        </w:rPr>
      </w:pPr>
      <w:r>
        <w:rPr>
          <w:b/>
          <w:sz w:val="27"/>
          <w:szCs w:val="27"/>
        </w:rPr>
        <w:t>Coverage Ratios Over Time</w:t>
      </w: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2"/>
        <w:gridCol w:w="2779"/>
        <w:gridCol w:w="2213"/>
        <w:gridCol w:w="1546"/>
        <w:gridCol w:w="1936"/>
      </w:tblGrid>
      <w:tr w:rsidR="00F263A3" w14:paraId="5AACC5B3" w14:textId="77777777">
        <w:trPr>
          <w:tblHeader/>
        </w:trPr>
        <w:tc>
          <w:tcPr>
            <w:tcW w:w="542" w:type="dxa"/>
            <w:vAlign w:val="center"/>
          </w:tcPr>
          <w:p w14:paraId="79B0435B" w14:textId="77777777" w:rsidR="00F263A3" w:rsidRDefault="00FE72B3">
            <w:pPr>
              <w:jc w:val="both"/>
              <w:rPr>
                <w:b/>
              </w:rPr>
            </w:pPr>
            <w:r>
              <w:rPr>
                <w:b/>
              </w:rPr>
              <w:t>Year</w:t>
            </w:r>
          </w:p>
        </w:tc>
        <w:tc>
          <w:tcPr>
            <w:tcW w:w="2779" w:type="dxa"/>
            <w:vAlign w:val="center"/>
          </w:tcPr>
          <w:p w14:paraId="7A150007" w14:textId="77777777" w:rsidR="00F263A3" w:rsidRDefault="00FE72B3">
            <w:pPr>
              <w:jc w:val="both"/>
              <w:rPr>
                <w:b/>
              </w:rPr>
            </w:pPr>
            <w:r>
              <w:rPr>
                <w:b/>
              </w:rPr>
              <w:t>Interest Coverage (EBIT/Interest)</w:t>
            </w:r>
          </w:p>
        </w:tc>
        <w:tc>
          <w:tcPr>
            <w:tcW w:w="2213" w:type="dxa"/>
            <w:vAlign w:val="center"/>
          </w:tcPr>
          <w:p w14:paraId="12AF040F" w14:textId="77777777" w:rsidR="00F263A3" w:rsidRDefault="00FE72B3">
            <w:pPr>
              <w:jc w:val="both"/>
              <w:rPr>
                <w:b/>
              </w:rPr>
            </w:pPr>
            <w:r>
              <w:rPr>
                <w:b/>
              </w:rPr>
              <w:t>EBITDA/Interest Expense</w:t>
            </w:r>
          </w:p>
        </w:tc>
        <w:tc>
          <w:tcPr>
            <w:tcW w:w="1546" w:type="dxa"/>
            <w:vAlign w:val="center"/>
          </w:tcPr>
          <w:p w14:paraId="5F3B5C22" w14:textId="77777777" w:rsidR="00F263A3" w:rsidRDefault="00FE72B3">
            <w:pPr>
              <w:jc w:val="both"/>
              <w:rPr>
                <w:b/>
              </w:rPr>
            </w:pPr>
            <w:r>
              <w:rPr>
                <w:b/>
              </w:rPr>
              <w:t>Cash Flow-to-Debt</w:t>
            </w:r>
          </w:p>
        </w:tc>
        <w:tc>
          <w:tcPr>
            <w:tcW w:w="1936" w:type="dxa"/>
            <w:vAlign w:val="center"/>
          </w:tcPr>
          <w:p w14:paraId="034A7665" w14:textId="77777777" w:rsidR="00F263A3" w:rsidRDefault="00FE72B3">
            <w:pPr>
              <w:jc w:val="both"/>
              <w:rPr>
                <w:b/>
              </w:rPr>
            </w:pPr>
            <w:r>
              <w:rPr>
                <w:b/>
              </w:rPr>
              <w:t>Fixed Charge Coverage</w:t>
            </w:r>
          </w:p>
        </w:tc>
      </w:tr>
      <w:tr w:rsidR="00F263A3" w14:paraId="2B447ADF" w14:textId="77777777">
        <w:tc>
          <w:tcPr>
            <w:tcW w:w="542" w:type="dxa"/>
            <w:vAlign w:val="center"/>
          </w:tcPr>
          <w:p w14:paraId="31294909" w14:textId="77777777" w:rsidR="00F263A3" w:rsidRDefault="00FE72B3">
            <w:pPr>
              <w:jc w:val="both"/>
            </w:pPr>
            <w:r>
              <w:rPr>
                <w:b/>
              </w:rPr>
              <w:t>2024</w:t>
            </w:r>
          </w:p>
        </w:tc>
        <w:tc>
          <w:tcPr>
            <w:tcW w:w="2779" w:type="dxa"/>
            <w:vAlign w:val="center"/>
          </w:tcPr>
          <w:p w14:paraId="17E3A30E" w14:textId="77777777" w:rsidR="00F263A3" w:rsidRDefault="00FE72B3">
            <w:pPr>
              <w:jc w:val="both"/>
            </w:pPr>
            <w:r>
              <w:t>10.4x</w:t>
            </w:r>
          </w:p>
        </w:tc>
        <w:tc>
          <w:tcPr>
            <w:tcW w:w="2213" w:type="dxa"/>
            <w:vAlign w:val="center"/>
          </w:tcPr>
          <w:p w14:paraId="12F32030" w14:textId="77777777" w:rsidR="00F263A3" w:rsidRDefault="00FE72B3">
            <w:pPr>
              <w:jc w:val="both"/>
            </w:pPr>
            <w:r>
              <w:t>12.0x</w:t>
            </w:r>
          </w:p>
        </w:tc>
        <w:tc>
          <w:tcPr>
            <w:tcW w:w="1546" w:type="dxa"/>
            <w:vAlign w:val="center"/>
          </w:tcPr>
          <w:p w14:paraId="14268B96" w14:textId="77777777" w:rsidR="00F263A3" w:rsidRDefault="00FE72B3">
            <w:pPr>
              <w:jc w:val="both"/>
            </w:pPr>
            <w:r>
              <w:t>0.31x</w:t>
            </w:r>
          </w:p>
        </w:tc>
        <w:tc>
          <w:tcPr>
            <w:tcW w:w="1936" w:type="dxa"/>
            <w:vAlign w:val="center"/>
          </w:tcPr>
          <w:p w14:paraId="25C5AB2C" w14:textId="77777777" w:rsidR="00F263A3" w:rsidRDefault="00FE72B3">
            <w:pPr>
              <w:jc w:val="both"/>
            </w:pPr>
            <w:r>
              <w:t>6.5x</w:t>
            </w:r>
          </w:p>
        </w:tc>
      </w:tr>
      <w:tr w:rsidR="00F263A3" w14:paraId="1E0FAF99" w14:textId="77777777">
        <w:tc>
          <w:tcPr>
            <w:tcW w:w="542" w:type="dxa"/>
            <w:vAlign w:val="center"/>
          </w:tcPr>
          <w:p w14:paraId="7D2A8637" w14:textId="77777777" w:rsidR="00F263A3" w:rsidRDefault="00FE72B3">
            <w:pPr>
              <w:jc w:val="both"/>
            </w:pPr>
            <w:r>
              <w:rPr>
                <w:b/>
              </w:rPr>
              <w:lastRenderedPageBreak/>
              <w:t>2023</w:t>
            </w:r>
          </w:p>
        </w:tc>
        <w:tc>
          <w:tcPr>
            <w:tcW w:w="2779" w:type="dxa"/>
            <w:vAlign w:val="center"/>
          </w:tcPr>
          <w:p w14:paraId="636BD793" w14:textId="77777777" w:rsidR="00F263A3" w:rsidRDefault="00FE72B3">
            <w:pPr>
              <w:jc w:val="both"/>
            </w:pPr>
            <w:r>
              <w:t>10.2x</w:t>
            </w:r>
          </w:p>
        </w:tc>
        <w:tc>
          <w:tcPr>
            <w:tcW w:w="2213" w:type="dxa"/>
            <w:vAlign w:val="center"/>
          </w:tcPr>
          <w:p w14:paraId="3B3A1C50" w14:textId="77777777" w:rsidR="00F263A3" w:rsidRDefault="00FE72B3">
            <w:pPr>
              <w:jc w:val="both"/>
            </w:pPr>
            <w:r>
              <w:t>11.8x</w:t>
            </w:r>
          </w:p>
        </w:tc>
        <w:tc>
          <w:tcPr>
            <w:tcW w:w="1546" w:type="dxa"/>
            <w:vAlign w:val="center"/>
          </w:tcPr>
          <w:p w14:paraId="3F5CF0D8" w14:textId="77777777" w:rsidR="00F263A3" w:rsidRDefault="00FE72B3">
            <w:pPr>
              <w:jc w:val="both"/>
            </w:pPr>
            <w:r>
              <w:t>0.30x</w:t>
            </w:r>
          </w:p>
        </w:tc>
        <w:tc>
          <w:tcPr>
            <w:tcW w:w="1936" w:type="dxa"/>
            <w:vAlign w:val="center"/>
          </w:tcPr>
          <w:p w14:paraId="6B9068C1" w14:textId="77777777" w:rsidR="00F263A3" w:rsidRDefault="00FE72B3">
            <w:pPr>
              <w:jc w:val="both"/>
            </w:pPr>
            <w:r>
              <w:t>6.4x</w:t>
            </w:r>
          </w:p>
        </w:tc>
      </w:tr>
      <w:tr w:rsidR="00F263A3" w14:paraId="5149A2B9" w14:textId="77777777">
        <w:tc>
          <w:tcPr>
            <w:tcW w:w="542" w:type="dxa"/>
            <w:vAlign w:val="center"/>
          </w:tcPr>
          <w:p w14:paraId="5AD0413E" w14:textId="77777777" w:rsidR="00F263A3" w:rsidRDefault="00FE72B3">
            <w:pPr>
              <w:jc w:val="both"/>
            </w:pPr>
            <w:r>
              <w:rPr>
                <w:b/>
              </w:rPr>
              <w:t>2022</w:t>
            </w:r>
          </w:p>
        </w:tc>
        <w:tc>
          <w:tcPr>
            <w:tcW w:w="2779" w:type="dxa"/>
            <w:vAlign w:val="center"/>
          </w:tcPr>
          <w:p w14:paraId="0263DE5D" w14:textId="77777777" w:rsidR="00F263A3" w:rsidRDefault="00FE72B3">
            <w:pPr>
              <w:jc w:val="both"/>
            </w:pPr>
            <w:r>
              <w:t>9.8x</w:t>
            </w:r>
          </w:p>
        </w:tc>
        <w:tc>
          <w:tcPr>
            <w:tcW w:w="2213" w:type="dxa"/>
            <w:vAlign w:val="center"/>
          </w:tcPr>
          <w:p w14:paraId="4C564C68" w14:textId="77777777" w:rsidR="00F263A3" w:rsidRDefault="00FE72B3">
            <w:pPr>
              <w:jc w:val="both"/>
            </w:pPr>
            <w:r>
              <w:t>11.5x</w:t>
            </w:r>
          </w:p>
        </w:tc>
        <w:tc>
          <w:tcPr>
            <w:tcW w:w="1546" w:type="dxa"/>
            <w:vAlign w:val="center"/>
          </w:tcPr>
          <w:p w14:paraId="25BE1B96" w14:textId="77777777" w:rsidR="00F263A3" w:rsidRDefault="00FE72B3">
            <w:pPr>
              <w:jc w:val="both"/>
            </w:pPr>
            <w:r>
              <w:t>0.28x</w:t>
            </w:r>
          </w:p>
        </w:tc>
        <w:tc>
          <w:tcPr>
            <w:tcW w:w="1936" w:type="dxa"/>
            <w:vAlign w:val="center"/>
          </w:tcPr>
          <w:p w14:paraId="0934FFE5" w14:textId="77777777" w:rsidR="00F263A3" w:rsidRDefault="00FE72B3">
            <w:pPr>
              <w:jc w:val="both"/>
            </w:pPr>
            <w:r>
              <w:t>6.0x</w:t>
            </w:r>
          </w:p>
        </w:tc>
      </w:tr>
      <w:tr w:rsidR="00F263A3" w14:paraId="18BCCDC1" w14:textId="77777777">
        <w:tc>
          <w:tcPr>
            <w:tcW w:w="542" w:type="dxa"/>
            <w:vAlign w:val="center"/>
          </w:tcPr>
          <w:p w14:paraId="10F46555" w14:textId="77777777" w:rsidR="00F263A3" w:rsidRDefault="00FE72B3">
            <w:pPr>
              <w:jc w:val="both"/>
            </w:pPr>
            <w:r>
              <w:rPr>
                <w:b/>
              </w:rPr>
              <w:t>2021</w:t>
            </w:r>
          </w:p>
        </w:tc>
        <w:tc>
          <w:tcPr>
            <w:tcW w:w="2779" w:type="dxa"/>
            <w:vAlign w:val="center"/>
          </w:tcPr>
          <w:p w14:paraId="0AE0245B" w14:textId="77777777" w:rsidR="00F263A3" w:rsidRDefault="00FE72B3">
            <w:pPr>
              <w:jc w:val="both"/>
            </w:pPr>
            <w:r>
              <w:t>9.5x</w:t>
            </w:r>
          </w:p>
        </w:tc>
        <w:tc>
          <w:tcPr>
            <w:tcW w:w="2213" w:type="dxa"/>
            <w:vAlign w:val="center"/>
          </w:tcPr>
          <w:p w14:paraId="53DF6C8E" w14:textId="77777777" w:rsidR="00F263A3" w:rsidRDefault="00FE72B3">
            <w:pPr>
              <w:jc w:val="both"/>
            </w:pPr>
            <w:r>
              <w:t>11.0x</w:t>
            </w:r>
          </w:p>
        </w:tc>
        <w:tc>
          <w:tcPr>
            <w:tcW w:w="1546" w:type="dxa"/>
            <w:vAlign w:val="center"/>
          </w:tcPr>
          <w:p w14:paraId="3D5477F3" w14:textId="77777777" w:rsidR="00F263A3" w:rsidRDefault="00FE72B3">
            <w:pPr>
              <w:jc w:val="both"/>
            </w:pPr>
            <w:r>
              <w:t>0.26x</w:t>
            </w:r>
          </w:p>
        </w:tc>
        <w:tc>
          <w:tcPr>
            <w:tcW w:w="1936" w:type="dxa"/>
            <w:vAlign w:val="center"/>
          </w:tcPr>
          <w:p w14:paraId="6C8A827C" w14:textId="77777777" w:rsidR="00F263A3" w:rsidRDefault="00FE72B3">
            <w:pPr>
              <w:jc w:val="both"/>
            </w:pPr>
            <w:r>
              <w:t>5.8x</w:t>
            </w:r>
          </w:p>
        </w:tc>
      </w:tr>
      <w:tr w:rsidR="00F263A3" w14:paraId="55AE8550" w14:textId="77777777">
        <w:tc>
          <w:tcPr>
            <w:tcW w:w="542" w:type="dxa"/>
            <w:vAlign w:val="center"/>
          </w:tcPr>
          <w:p w14:paraId="1E2E1E96" w14:textId="77777777" w:rsidR="00F263A3" w:rsidRDefault="00FE72B3">
            <w:pPr>
              <w:jc w:val="both"/>
            </w:pPr>
            <w:r>
              <w:rPr>
                <w:b/>
              </w:rPr>
              <w:t>2020</w:t>
            </w:r>
          </w:p>
        </w:tc>
        <w:tc>
          <w:tcPr>
            <w:tcW w:w="2779" w:type="dxa"/>
            <w:vAlign w:val="center"/>
          </w:tcPr>
          <w:p w14:paraId="6A58202E" w14:textId="77777777" w:rsidR="00F263A3" w:rsidRDefault="00FE72B3">
            <w:pPr>
              <w:jc w:val="both"/>
            </w:pPr>
            <w:r>
              <w:t>9.0x</w:t>
            </w:r>
          </w:p>
        </w:tc>
        <w:tc>
          <w:tcPr>
            <w:tcW w:w="2213" w:type="dxa"/>
            <w:vAlign w:val="center"/>
          </w:tcPr>
          <w:p w14:paraId="51D76DAF" w14:textId="77777777" w:rsidR="00F263A3" w:rsidRDefault="00FE72B3">
            <w:pPr>
              <w:jc w:val="both"/>
            </w:pPr>
            <w:r>
              <w:t>10.5x</w:t>
            </w:r>
          </w:p>
        </w:tc>
        <w:tc>
          <w:tcPr>
            <w:tcW w:w="1546" w:type="dxa"/>
            <w:vAlign w:val="center"/>
          </w:tcPr>
          <w:p w14:paraId="5097BEC5" w14:textId="77777777" w:rsidR="00F263A3" w:rsidRDefault="00FE72B3">
            <w:pPr>
              <w:jc w:val="both"/>
            </w:pPr>
            <w:r>
              <w:t>0.24x</w:t>
            </w:r>
          </w:p>
        </w:tc>
        <w:tc>
          <w:tcPr>
            <w:tcW w:w="1936" w:type="dxa"/>
            <w:vAlign w:val="center"/>
          </w:tcPr>
          <w:p w14:paraId="687E707E" w14:textId="77777777" w:rsidR="00F263A3" w:rsidRDefault="00FE72B3">
            <w:pPr>
              <w:jc w:val="both"/>
            </w:pPr>
            <w:r>
              <w:t>5.5x</w:t>
            </w:r>
          </w:p>
        </w:tc>
      </w:tr>
    </w:tbl>
    <w:p w14:paraId="233D2B5A" w14:textId="77777777" w:rsidR="00F263A3" w:rsidRDefault="00FE72B3">
      <w:pPr>
        <w:numPr>
          <w:ilvl w:val="0"/>
          <w:numId w:val="24"/>
        </w:numPr>
        <w:spacing w:before="280" w:after="280" w:line="240" w:lineRule="auto"/>
        <w:jc w:val="both"/>
        <w:rPr>
          <w:sz w:val="27"/>
          <w:szCs w:val="27"/>
        </w:rPr>
      </w:pPr>
      <w:r>
        <w:rPr>
          <w:b/>
          <w:sz w:val="27"/>
          <w:szCs w:val="27"/>
        </w:rPr>
        <w:t>Trend</w:t>
      </w:r>
      <w:r>
        <w:rPr>
          <w:sz w:val="27"/>
          <w:szCs w:val="27"/>
        </w:rPr>
        <w:t xml:space="preserve">: Coca-Cola’s </w:t>
      </w:r>
      <w:r>
        <w:rPr>
          <w:b/>
          <w:sz w:val="27"/>
          <w:szCs w:val="27"/>
        </w:rPr>
        <w:t>Interest Coverage</w:t>
      </w:r>
      <w:r>
        <w:rPr>
          <w:sz w:val="27"/>
          <w:szCs w:val="27"/>
        </w:rPr>
        <w:t xml:space="preserve"> ratio has steadily increased from </w:t>
      </w:r>
      <w:r>
        <w:rPr>
          <w:b/>
          <w:sz w:val="27"/>
          <w:szCs w:val="27"/>
        </w:rPr>
        <w:t>9.0x</w:t>
      </w:r>
      <w:r>
        <w:rPr>
          <w:sz w:val="27"/>
          <w:szCs w:val="27"/>
        </w:rPr>
        <w:t xml:space="preserve"> in </w:t>
      </w:r>
      <w:r>
        <w:rPr>
          <w:b/>
          <w:sz w:val="27"/>
          <w:szCs w:val="27"/>
        </w:rPr>
        <w:t>2020</w:t>
      </w:r>
      <w:r>
        <w:rPr>
          <w:sz w:val="27"/>
          <w:szCs w:val="27"/>
        </w:rPr>
        <w:t xml:space="preserve"> to </w:t>
      </w:r>
      <w:r>
        <w:rPr>
          <w:b/>
          <w:sz w:val="27"/>
          <w:szCs w:val="27"/>
        </w:rPr>
        <w:t>10.4x</w:t>
      </w:r>
      <w:r>
        <w:rPr>
          <w:sz w:val="27"/>
          <w:szCs w:val="27"/>
        </w:rPr>
        <w:t xml:space="preserve"> in </w:t>
      </w:r>
      <w:r>
        <w:rPr>
          <w:b/>
          <w:sz w:val="27"/>
          <w:szCs w:val="27"/>
        </w:rPr>
        <w:t>2024</w:t>
      </w:r>
      <w:r>
        <w:rPr>
          <w:sz w:val="27"/>
          <w:szCs w:val="27"/>
        </w:rPr>
        <w:t xml:space="preserve">, reflecting the company’s improved ability to meet its interest payments. The </w:t>
      </w:r>
      <w:r>
        <w:rPr>
          <w:b/>
          <w:sz w:val="27"/>
          <w:szCs w:val="27"/>
        </w:rPr>
        <w:t>EBITDA/Interest Expense</w:t>
      </w:r>
      <w:r>
        <w:rPr>
          <w:sz w:val="27"/>
          <w:szCs w:val="27"/>
        </w:rPr>
        <w:t xml:space="preserve"> ratio has followed a similar trajectory, with a stable increase over the years. Coca-Cola’s </w:t>
      </w:r>
      <w:r>
        <w:rPr>
          <w:b/>
          <w:sz w:val="27"/>
          <w:szCs w:val="27"/>
        </w:rPr>
        <w:t>Cash Flow-to-Debt</w:t>
      </w:r>
      <w:r>
        <w:rPr>
          <w:sz w:val="27"/>
          <w:szCs w:val="27"/>
        </w:rPr>
        <w:t xml:space="preserve"> ratio has also shown improvement, rising from </w:t>
      </w:r>
      <w:r>
        <w:rPr>
          <w:b/>
          <w:sz w:val="27"/>
          <w:szCs w:val="27"/>
        </w:rPr>
        <w:t>0.24x</w:t>
      </w:r>
      <w:r>
        <w:rPr>
          <w:sz w:val="27"/>
          <w:szCs w:val="27"/>
        </w:rPr>
        <w:t xml:space="preserve"> in </w:t>
      </w:r>
      <w:r>
        <w:rPr>
          <w:b/>
          <w:sz w:val="27"/>
          <w:szCs w:val="27"/>
        </w:rPr>
        <w:t>2020</w:t>
      </w:r>
      <w:r>
        <w:rPr>
          <w:sz w:val="27"/>
          <w:szCs w:val="27"/>
        </w:rPr>
        <w:t xml:space="preserve"> to </w:t>
      </w:r>
      <w:r>
        <w:rPr>
          <w:b/>
          <w:sz w:val="27"/>
          <w:szCs w:val="27"/>
        </w:rPr>
        <w:t>0.31x</w:t>
      </w:r>
      <w:r>
        <w:rPr>
          <w:sz w:val="27"/>
          <w:szCs w:val="27"/>
        </w:rPr>
        <w:t xml:space="preserve"> in </w:t>
      </w:r>
      <w:r>
        <w:rPr>
          <w:b/>
          <w:sz w:val="27"/>
          <w:szCs w:val="27"/>
        </w:rPr>
        <w:t>2024</w:t>
      </w:r>
      <w:r>
        <w:rPr>
          <w:sz w:val="27"/>
          <w:szCs w:val="27"/>
        </w:rPr>
        <w:t xml:space="preserve">, reflecting stronger cash flow generation relative to debt obligations. The </w:t>
      </w:r>
      <w:r>
        <w:rPr>
          <w:b/>
          <w:sz w:val="27"/>
          <w:szCs w:val="27"/>
        </w:rPr>
        <w:t>Fixed Charge Coverage</w:t>
      </w:r>
      <w:r>
        <w:rPr>
          <w:sz w:val="27"/>
          <w:szCs w:val="27"/>
        </w:rPr>
        <w:t xml:space="preserve"> ratio has improved, signalling better management of all fixed financial obligations, including interest and lease payments.</w:t>
      </w:r>
    </w:p>
    <w:p w14:paraId="7CB4D4A3" w14:textId="77777777" w:rsidR="00F263A3" w:rsidRDefault="00F263A3">
      <w:pPr>
        <w:spacing w:before="280" w:after="280" w:line="240" w:lineRule="auto"/>
        <w:jc w:val="both"/>
        <w:rPr>
          <w:sz w:val="27"/>
          <w:szCs w:val="27"/>
        </w:rPr>
      </w:pPr>
    </w:p>
    <w:p w14:paraId="404E7337" w14:textId="77777777" w:rsidR="00F263A3" w:rsidRDefault="00FE72B3">
      <w:pPr>
        <w:spacing w:before="280" w:after="280"/>
        <w:jc w:val="both"/>
        <w:rPr>
          <w:sz w:val="25"/>
          <w:szCs w:val="25"/>
        </w:rPr>
      </w:pPr>
      <w:r>
        <w:rPr>
          <w:b/>
          <w:color w:val="000000"/>
          <w:sz w:val="25"/>
          <w:szCs w:val="25"/>
        </w:rPr>
        <w:t>Bond Issue Characteristics</w:t>
      </w:r>
    </w:p>
    <w:tbl>
      <w:tblPr>
        <w:tblStyle w:val="a4"/>
        <w:tblW w:w="91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5"/>
        <w:gridCol w:w="1740"/>
        <w:gridCol w:w="1680"/>
        <w:gridCol w:w="1740"/>
        <w:gridCol w:w="1950"/>
      </w:tblGrid>
      <w:tr w:rsidR="00F263A3" w14:paraId="5F944F21" w14:textId="77777777">
        <w:trPr>
          <w:tblHeader/>
          <w:jc w:val="center"/>
        </w:trPr>
        <w:tc>
          <w:tcPr>
            <w:tcW w:w="2085" w:type="dxa"/>
            <w:vAlign w:val="center"/>
          </w:tcPr>
          <w:p w14:paraId="1CA6E484" w14:textId="77777777" w:rsidR="00F263A3" w:rsidRDefault="00FE72B3">
            <w:pPr>
              <w:jc w:val="both"/>
              <w:rPr>
                <w:b/>
              </w:rPr>
            </w:pPr>
            <w:r>
              <w:rPr>
                <w:b/>
              </w:rPr>
              <w:t>Characteristic</w:t>
            </w:r>
          </w:p>
        </w:tc>
        <w:tc>
          <w:tcPr>
            <w:tcW w:w="1740" w:type="dxa"/>
            <w:vAlign w:val="center"/>
          </w:tcPr>
          <w:p w14:paraId="49996622" w14:textId="77777777" w:rsidR="00F263A3" w:rsidRDefault="00FE72B3">
            <w:pPr>
              <w:jc w:val="both"/>
              <w:rPr>
                <w:b/>
              </w:rPr>
            </w:pPr>
            <w:r>
              <w:rPr>
                <w:b/>
              </w:rPr>
              <w:t xml:space="preserve">Bond 1 </w:t>
            </w:r>
          </w:p>
          <w:p w14:paraId="1CEFF973" w14:textId="04985399" w:rsidR="00F263A3" w:rsidRDefault="00FE72B3">
            <w:pPr>
              <w:jc w:val="both"/>
              <w:rPr>
                <w:b/>
              </w:rPr>
            </w:pPr>
            <w:r>
              <w:rPr>
                <w:b/>
              </w:rPr>
              <w:t>(5.</w:t>
            </w:r>
            <w:r w:rsidR="001E16B6">
              <w:rPr>
                <w:b/>
              </w:rPr>
              <w:t>45</w:t>
            </w:r>
            <w:r>
              <w:rPr>
                <w:b/>
              </w:rPr>
              <w:t>% Coupon)</w:t>
            </w:r>
          </w:p>
        </w:tc>
        <w:tc>
          <w:tcPr>
            <w:tcW w:w="1680" w:type="dxa"/>
            <w:vAlign w:val="center"/>
          </w:tcPr>
          <w:p w14:paraId="3D41751D" w14:textId="77777777" w:rsidR="00F263A3" w:rsidRDefault="00FE72B3">
            <w:pPr>
              <w:jc w:val="both"/>
              <w:rPr>
                <w:b/>
              </w:rPr>
            </w:pPr>
            <w:r>
              <w:rPr>
                <w:b/>
              </w:rPr>
              <w:t xml:space="preserve">Bond 2 </w:t>
            </w:r>
          </w:p>
          <w:p w14:paraId="1336A631" w14:textId="40F46008" w:rsidR="00F263A3" w:rsidRDefault="00FE72B3">
            <w:pPr>
              <w:jc w:val="both"/>
              <w:rPr>
                <w:b/>
              </w:rPr>
            </w:pPr>
            <w:r>
              <w:rPr>
                <w:b/>
              </w:rPr>
              <w:t>(</w:t>
            </w:r>
            <w:r w:rsidR="001E16B6">
              <w:rPr>
                <w:b/>
              </w:rPr>
              <w:t>5</w:t>
            </w:r>
            <w:r>
              <w:rPr>
                <w:b/>
              </w:rPr>
              <w:t>% Coupon)</w:t>
            </w:r>
          </w:p>
        </w:tc>
        <w:tc>
          <w:tcPr>
            <w:tcW w:w="1740" w:type="dxa"/>
            <w:vAlign w:val="center"/>
          </w:tcPr>
          <w:p w14:paraId="3292524F" w14:textId="77777777" w:rsidR="00F263A3" w:rsidRDefault="00FE72B3">
            <w:pPr>
              <w:jc w:val="both"/>
              <w:rPr>
                <w:b/>
              </w:rPr>
            </w:pPr>
            <w:r>
              <w:rPr>
                <w:b/>
              </w:rPr>
              <w:t xml:space="preserve">Bond 3 </w:t>
            </w:r>
          </w:p>
          <w:p w14:paraId="326C767E" w14:textId="6A573374" w:rsidR="00F263A3" w:rsidRDefault="00FE72B3">
            <w:pPr>
              <w:jc w:val="both"/>
              <w:rPr>
                <w:b/>
              </w:rPr>
            </w:pPr>
            <w:r>
              <w:rPr>
                <w:b/>
              </w:rPr>
              <w:t>(</w:t>
            </w:r>
            <w:r w:rsidR="001E16B6">
              <w:rPr>
                <w:b/>
              </w:rPr>
              <w:t>3.45</w:t>
            </w:r>
            <w:r>
              <w:rPr>
                <w:b/>
              </w:rPr>
              <w:t>% Coupon)</w:t>
            </w:r>
          </w:p>
        </w:tc>
        <w:tc>
          <w:tcPr>
            <w:tcW w:w="1950" w:type="dxa"/>
            <w:vAlign w:val="center"/>
          </w:tcPr>
          <w:p w14:paraId="62DF115F" w14:textId="77777777" w:rsidR="001E16B6" w:rsidRDefault="00FE72B3">
            <w:pPr>
              <w:jc w:val="both"/>
              <w:rPr>
                <w:b/>
              </w:rPr>
            </w:pPr>
            <w:r>
              <w:rPr>
                <w:b/>
              </w:rPr>
              <w:t xml:space="preserve">Bond 4 </w:t>
            </w:r>
          </w:p>
          <w:p w14:paraId="060A98CB" w14:textId="7E19897C" w:rsidR="00F263A3" w:rsidRDefault="00FE72B3">
            <w:pPr>
              <w:jc w:val="both"/>
              <w:rPr>
                <w:b/>
              </w:rPr>
            </w:pPr>
            <w:r>
              <w:rPr>
                <w:b/>
              </w:rPr>
              <w:t>(4.</w:t>
            </w:r>
            <w:r w:rsidR="001E16B6">
              <w:rPr>
                <w:b/>
              </w:rPr>
              <w:t>2</w:t>
            </w:r>
            <w:r>
              <w:rPr>
                <w:b/>
              </w:rPr>
              <w:t>% Coupon)</w:t>
            </w:r>
          </w:p>
        </w:tc>
      </w:tr>
      <w:tr w:rsidR="00F263A3" w14:paraId="5809CC21" w14:textId="77777777">
        <w:trPr>
          <w:jc w:val="center"/>
        </w:trPr>
        <w:tc>
          <w:tcPr>
            <w:tcW w:w="2085" w:type="dxa"/>
            <w:vAlign w:val="center"/>
          </w:tcPr>
          <w:p w14:paraId="57AC8558" w14:textId="77777777" w:rsidR="00F263A3" w:rsidRDefault="00FE72B3">
            <w:pPr>
              <w:jc w:val="both"/>
            </w:pPr>
            <w:r>
              <w:rPr>
                <w:b/>
              </w:rPr>
              <w:t>Coupon Rate</w:t>
            </w:r>
          </w:p>
        </w:tc>
        <w:tc>
          <w:tcPr>
            <w:tcW w:w="1740" w:type="dxa"/>
            <w:vAlign w:val="center"/>
          </w:tcPr>
          <w:p w14:paraId="10847170" w14:textId="6E94B228" w:rsidR="00F263A3" w:rsidRDefault="00FE72B3">
            <w:pPr>
              <w:jc w:val="both"/>
            </w:pPr>
            <w:r>
              <w:t>5.</w:t>
            </w:r>
            <w:r w:rsidR="000C3286">
              <w:t>45</w:t>
            </w:r>
            <w:r>
              <w:t>%</w:t>
            </w:r>
          </w:p>
        </w:tc>
        <w:tc>
          <w:tcPr>
            <w:tcW w:w="1680" w:type="dxa"/>
            <w:vAlign w:val="center"/>
          </w:tcPr>
          <w:p w14:paraId="4400A1D1" w14:textId="2AF88587" w:rsidR="00F263A3" w:rsidRDefault="000C3286">
            <w:pPr>
              <w:jc w:val="both"/>
            </w:pPr>
            <w:r>
              <w:t>5</w:t>
            </w:r>
            <w:r w:rsidR="00FE72B3">
              <w:t>%</w:t>
            </w:r>
          </w:p>
        </w:tc>
        <w:tc>
          <w:tcPr>
            <w:tcW w:w="1740" w:type="dxa"/>
            <w:vAlign w:val="center"/>
          </w:tcPr>
          <w:p w14:paraId="674C9761" w14:textId="112C8622" w:rsidR="00F263A3" w:rsidRDefault="000C3286">
            <w:pPr>
              <w:jc w:val="both"/>
            </w:pPr>
            <w:r>
              <w:t>3.45</w:t>
            </w:r>
            <w:r w:rsidR="00FE72B3">
              <w:t>%</w:t>
            </w:r>
          </w:p>
        </w:tc>
        <w:tc>
          <w:tcPr>
            <w:tcW w:w="1950" w:type="dxa"/>
            <w:vAlign w:val="center"/>
          </w:tcPr>
          <w:p w14:paraId="005856E2" w14:textId="6A15D523" w:rsidR="00F263A3" w:rsidRDefault="00FE72B3">
            <w:pPr>
              <w:jc w:val="both"/>
            </w:pPr>
            <w:r>
              <w:t>4.</w:t>
            </w:r>
            <w:r w:rsidR="000C3286">
              <w:t>2</w:t>
            </w:r>
            <w:r>
              <w:t>%</w:t>
            </w:r>
          </w:p>
        </w:tc>
      </w:tr>
      <w:tr w:rsidR="00F263A3" w14:paraId="0F054572" w14:textId="77777777">
        <w:trPr>
          <w:jc w:val="center"/>
        </w:trPr>
        <w:tc>
          <w:tcPr>
            <w:tcW w:w="2085" w:type="dxa"/>
            <w:vAlign w:val="center"/>
          </w:tcPr>
          <w:p w14:paraId="0AE8F864" w14:textId="77777777" w:rsidR="00F263A3" w:rsidRDefault="00FE72B3">
            <w:pPr>
              <w:jc w:val="both"/>
            </w:pPr>
            <w:r>
              <w:rPr>
                <w:b/>
              </w:rPr>
              <w:t>Payment Dates</w:t>
            </w:r>
          </w:p>
        </w:tc>
        <w:tc>
          <w:tcPr>
            <w:tcW w:w="1740" w:type="dxa"/>
            <w:vAlign w:val="center"/>
          </w:tcPr>
          <w:p w14:paraId="268DD37F" w14:textId="77777777" w:rsidR="00F263A3" w:rsidRDefault="00FE72B3">
            <w:pPr>
              <w:jc w:val="both"/>
            </w:pPr>
            <w:r>
              <w:t xml:space="preserve">Semi-annual </w:t>
            </w:r>
          </w:p>
          <w:p w14:paraId="29F76756" w14:textId="77777777" w:rsidR="00F263A3" w:rsidRDefault="00FE72B3">
            <w:pPr>
              <w:jc w:val="both"/>
            </w:pPr>
            <w:r>
              <w:t>(May 13, Nov 13)</w:t>
            </w:r>
          </w:p>
        </w:tc>
        <w:tc>
          <w:tcPr>
            <w:tcW w:w="1680" w:type="dxa"/>
            <w:vAlign w:val="center"/>
          </w:tcPr>
          <w:p w14:paraId="13440A90" w14:textId="77777777" w:rsidR="00F263A3" w:rsidRDefault="00FE72B3">
            <w:pPr>
              <w:jc w:val="both"/>
            </w:pPr>
            <w:r>
              <w:t xml:space="preserve">Semi-annual </w:t>
            </w:r>
          </w:p>
          <w:p w14:paraId="3455F242" w14:textId="77777777" w:rsidR="00F263A3" w:rsidRDefault="00FE72B3">
            <w:pPr>
              <w:jc w:val="both"/>
            </w:pPr>
            <w:r>
              <w:t>(Mar 5, Sep 5)</w:t>
            </w:r>
          </w:p>
        </w:tc>
        <w:tc>
          <w:tcPr>
            <w:tcW w:w="1740" w:type="dxa"/>
            <w:vAlign w:val="center"/>
          </w:tcPr>
          <w:p w14:paraId="603B8D70" w14:textId="77777777" w:rsidR="00F263A3" w:rsidRDefault="00FE72B3">
            <w:pPr>
              <w:jc w:val="both"/>
            </w:pPr>
            <w:r>
              <w:t xml:space="preserve">Semi-annual </w:t>
            </w:r>
          </w:p>
          <w:p w14:paraId="67ADFC1E" w14:textId="77777777" w:rsidR="00F263A3" w:rsidRDefault="00FE72B3">
            <w:pPr>
              <w:jc w:val="both"/>
            </w:pPr>
            <w:r>
              <w:t>(Mar 6, Sep 6)</w:t>
            </w:r>
          </w:p>
        </w:tc>
        <w:tc>
          <w:tcPr>
            <w:tcW w:w="1950" w:type="dxa"/>
            <w:vAlign w:val="center"/>
          </w:tcPr>
          <w:p w14:paraId="18AE0376" w14:textId="77777777" w:rsidR="00F263A3" w:rsidRDefault="00FE72B3">
            <w:pPr>
              <w:jc w:val="both"/>
            </w:pPr>
            <w:r>
              <w:t xml:space="preserve">Semi-annual </w:t>
            </w:r>
          </w:p>
          <w:p w14:paraId="66C7834E" w14:textId="77777777" w:rsidR="00F263A3" w:rsidRDefault="00FE72B3">
            <w:pPr>
              <w:jc w:val="both"/>
            </w:pPr>
            <w:r>
              <w:t>(Mar 5, Sep 5)</w:t>
            </w:r>
          </w:p>
        </w:tc>
      </w:tr>
      <w:tr w:rsidR="00F263A3" w14:paraId="19E4208D" w14:textId="77777777">
        <w:trPr>
          <w:jc w:val="center"/>
        </w:trPr>
        <w:tc>
          <w:tcPr>
            <w:tcW w:w="2085" w:type="dxa"/>
            <w:vAlign w:val="center"/>
          </w:tcPr>
          <w:p w14:paraId="5845CE6D" w14:textId="77777777" w:rsidR="00F263A3" w:rsidRDefault="00FE72B3">
            <w:pPr>
              <w:jc w:val="both"/>
            </w:pPr>
            <w:r>
              <w:rPr>
                <w:b/>
              </w:rPr>
              <w:t>Maturity</w:t>
            </w:r>
          </w:p>
        </w:tc>
        <w:tc>
          <w:tcPr>
            <w:tcW w:w="1740" w:type="dxa"/>
            <w:vAlign w:val="center"/>
          </w:tcPr>
          <w:p w14:paraId="090D054A" w14:textId="77777777" w:rsidR="00F263A3" w:rsidRDefault="00FE72B3">
            <w:pPr>
              <w:jc w:val="both"/>
            </w:pPr>
            <w:r>
              <w:t>May 13, 2054</w:t>
            </w:r>
          </w:p>
        </w:tc>
        <w:tc>
          <w:tcPr>
            <w:tcW w:w="1680" w:type="dxa"/>
            <w:vAlign w:val="center"/>
          </w:tcPr>
          <w:p w14:paraId="5390AB9E" w14:textId="77777777" w:rsidR="00F263A3" w:rsidRDefault="00FE72B3">
            <w:pPr>
              <w:jc w:val="both"/>
            </w:pPr>
            <w:r>
              <w:t>March 5, 2051</w:t>
            </w:r>
          </w:p>
        </w:tc>
        <w:tc>
          <w:tcPr>
            <w:tcW w:w="1740" w:type="dxa"/>
            <w:vAlign w:val="center"/>
          </w:tcPr>
          <w:p w14:paraId="7014AE07" w14:textId="77777777" w:rsidR="00F263A3" w:rsidRDefault="00FE72B3">
            <w:pPr>
              <w:jc w:val="both"/>
            </w:pPr>
            <w:r>
              <w:t>September 6, 2029</w:t>
            </w:r>
          </w:p>
        </w:tc>
        <w:tc>
          <w:tcPr>
            <w:tcW w:w="1950" w:type="dxa"/>
            <w:vAlign w:val="center"/>
          </w:tcPr>
          <w:p w14:paraId="64653661" w14:textId="77777777" w:rsidR="00F263A3" w:rsidRDefault="00FE72B3">
            <w:pPr>
              <w:jc w:val="both"/>
            </w:pPr>
            <w:r>
              <w:t>March 5, 2028</w:t>
            </w:r>
          </w:p>
        </w:tc>
      </w:tr>
      <w:tr w:rsidR="00F263A3" w14:paraId="6166A438" w14:textId="77777777">
        <w:trPr>
          <w:jc w:val="center"/>
        </w:trPr>
        <w:tc>
          <w:tcPr>
            <w:tcW w:w="2085" w:type="dxa"/>
            <w:vAlign w:val="center"/>
          </w:tcPr>
          <w:p w14:paraId="5FC1779E" w14:textId="77777777" w:rsidR="00F263A3" w:rsidRDefault="00FE72B3">
            <w:pPr>
              <w:jc w:val="both"/>
            </w:pPr>
            <w:r>
              <w:rPr>
                <w:b/>
              </w:rPr>
              <w:t>Secured/Unsecured</w:t>
            </w:r>
          </w:p>
        </w:tc>
        <w:tc>
          <w:tcPr>
            <w:tcW w:w="1740" w:type="dxa"/>
            <w:vAlign w:val="center"/>
          </w:tcPr>
          <w:p w14:paraId="1C16E3A8" w14:textId="77777777" w:rsidR="00F263A3" w:rsidRDefault="00FE72B3">
            <w:pPr>
              <w:jc w:val="both"/>
            </w:pPr>
            <w:r>
              <w:t>Unsecured</w:t>
            </w:r>
          </w:p>
        </w:tc>
        <w:tc>
          <w:tcPr>
            <w:tcW w:w="1680" w:type="dxa"/>
            <w:vAlign w:val="center"/>
          </w:tcPr>
          <w:p w14:paraId="35287627" w14:textId="77777777" w:rsidR="00F263A3" w:rsidRDefault="00FE72B3">
            <w:pPr>
              <w:jc w:val="both"/>
            </w:pPr>
            <w:r>
              <w:t>Unsecured</w:t>
            </w:r>
          </w:p>
        </w:tc>
        <w:tc>
          <w:tcPr>
            <w:tcW w:w="1740" w:type="dxa"/>
            <w:vAlign w:val="center"/>
          </w:tcPr>
          <w:p w14:paraId="6C499300" w14:textId="77777777" w:rsidR="00F263A3" w:rsidRDefault="00FE72B3">
            <w:pPr>
              <w:jc w:val="both"/>
            </w:pPr>
            <w:r>
              <w:t>Unsecured</w:t>
            </w:r>
          </w:p>
        </w:tc>
        <w:tc>
          <w:tcPr>
            <w:tcW w:w="1950" w:type="dxa"/>
            <w:vAlign w:val="center"/>
          </w:tcPr>
          <w:p w14:paraId="5D996939" w14:textId="77777777" w:rsidR="00F263A3" w:rsidRDefault="00FE72B3">
            <w:pPr>
              <w:jc w:val="both"/>
            </w:pPr>
            <w:r>
              <w:t>Unsecured</w:t>
            </w:r>
          </w:p>
        </w:tc>
      </w:tr>
      <w:tr w:rsidR="00F263A3" w14:paraId="2D2F6DE8" w14:textId="77777777">
        <w:trPr>
          <w:jc w:val="center"/>
        </w:trPr>
        <w:tc>
          <w:tcPr>
            <w:tcW w:w="2085" w:type="dxa"/>
            <w:vAlign w:val="center"/>
          </w:tcPr>
          <w:p w14:paraId="39B6E37E" w14:textId="77777777" w:rsidR="00F263A3" w:rsidRDefault="00FE72B3">
            <w:pPr>
              <w:jc w:val="both"/>
            </w:pPr>
            <w:r>
              <w:rPr>
                <w:b/>
              </w:rPr>
              <w:t>Protective Covenants</w:t>
            </w:r>
          </w:p>
        </w:tc>
        <w:tc>
          <w:tcPr>
            <w:tcW w:w="1740" w:type="dxa"/>
            <w:vAlign w:val="center"/>
          </w:tcPr>
          <w:p w14:paraId="384228DF" w14:textId="77777777" w:rsidR="00F263A3" w:rsidRDefault="00FE72B3">
            <w:pPr>
              <w:jc w:val="both"/>
            </w:pPr>
            <w:r>
              <w:t>Yes (financial condition requirements)</w:t>
            </w:r>
          </w:p>
        </w:tc>
        <w:tc>
          <w:tcPr>
            <w:tcW w:w="1680" w:type="dxa"/>
            <w:vAlign w:val="center"/>
          </w:tcPr>
          <w:p w14:paraId="5D26D385" w14:textId="77777777" w:rsidR="00F263A3" w:rsidRDefault="00FE72B3">
            <w:pPr>
              <w:jc w:val="both"/>
            </w:pPr>
            <w:r>
              <w:t>Yes (financial condition requirements)</w:t>
            </w:r>
          </w:p>
        </w:tc>
        <w:tc>
          <w:tcPr>
            <w:tcW w:w="1740" w:type="dxa"/>
            <w:vAlign w:val="center"/>
          </w:tcPr>
          <w:p w14:paraId="358D6D5C" w14:textId="77777777" w:rsidR="00F263A3" w:rsidRDefault="00FE72B3">
            <w:pPr>
              <w:jc w:val="both"/>
            </w:pPr>
            <w:r>
              <w:t>Yes (financial condition requirements)</w:t>
            </w:r>
          </w:p>
        </w:tc>
        <w:tc>
          <w:tcPr>
            <w:tcW w:w="1950" w:type="dxa"/>
            <w:vAlign w:val="center"/>
          </w:tcPr>
          <w:p w14:paraId="0DA9264F" w14:textId="77777777" w:rsidR="00F263A3" w:rsidRDefault="00FE72B3">
            <w:pPr>
              <w:jc w:val="both"/>
            </w:pPr>
            <w:r>
              <w:t>Yes (financial condition requirements)</w:t>
            </w:r>
          </w:p>
        </w:tc>
      </w:tr>
      <w:tr w:rsidR="00F263A3" w14:paraId="25F9E16F" w14:textId="77777777">
        <w:trPr>
          <w:jc w:val="center"/>
        </w:trPr>
        <w:tc>
          <w:tcPr>
            <w:tcW w:w="2085" w:type="dxa"/>
            <w:vAlign w:val="center"/>
          </w:tcPr>
          <w:p w14:paraId="0F982285" w14:textId="77777777" w:rsidR="00F263A3" w:rsidRDefault="00FE72B3">
            <w:pPr>
              <w:jc w:val="both"/>
            </w:pPr>
            <w:r>
              <w:rPr>
                <w:b/>
              </w:rPr>
              <w:t>Call Features</w:t>
            </w:r>
          </w:p>
        </w:tc>
        <w:tc>
          <w:tcPr>
            <w:tcW w:w="1740" w:type="dxa"/>
            <w:vAlign w:val="center"/>
          </w:tcPr>
          <w:p w14:paraId="5A70F57F" w14:textId="77777777" w:rsidR="00F263A3" w:rsidRDefault="00FE72B3">
            <w:pPr>
              <w:jc w:val="both"/>
            </w:pPr>
            <w:r>
              <w:t>Callable</w:t>
            </w:r>
          </w:p>
        </w:tc>
        <w:tc>
          <w:tcPr>
            <w:tcW w:w="1680" w:type="dxa"/>
            <w:vAlign w:val="center"/>
          </w:tcPr>
          <w:p w14:paraId="3A86F748" w14:textId="77777777" w:rsidR="00F263A3" w:rsidRDefault="00FE72B3">
            <w:pPr>
              <w:jc w:val="both"/>
            </w:pPr>
            <w:r>
              <w:t>Callable</w:t>
            </w:r>
          </w:p>
        </w:tc>
        <w:tc>
          <w:tcPr>
            <w:tcW w:w="1740" w:type="dxa"/>
            <w:vAlign w:val="center"/>
          </w:tcPr>
          <w:p w14:paraId="66C95F71" w14:textId="77777777" w:rsidR="00F263A3" w:rsidRDefault="00FE72B3">
            <w:pPr>
              <w:jc w:val="both"/>
            </w:pPr>
            <w:r>
              <w:t>Callable</w:t>
            </w:r>
          </w:p>
        </w:tc>
        <w:tc>
          <w:tcPr>
            <w:tcW w:w="1950" w:type="dxa"/>
            <w:vAlign w:val="center"/>
          </w:tcPr>
          <w:p w14:paraId="565F6D88" w14:textId="77777777" w:rsidR="00F263A3" w:rsidRDefault="00FE72B3">
            <w:pPr>
              <w:jc w:val="both"/>
            </w:pPr>
            <w:r>
              <w:t>Callable</w:t>
            </w:r>
          </w:p>
        </w:tc>
      </w:tr>
      <w:tr w:rsidR="00F263A3" w14:paraId="663DC7AC" w14:textId="77777777">
        <w:trPr>
          <w:jc w:val="center"/>
        </w:trPr>
        <w:tc>
          <w:tcPr>
            <w:tcW w:w="2085" w:type="dxa"/>
            <w:vAlign w:val="center"/>
          </w:tcPr>
          <w:p w14:paraId="7E4A2FCB" w14:textId="77777777" w:rsidR="00F263A3" w:rsidRDefault="00FE72B3">
            <w:pPr>
              <w:jc w:val="both"/>
            </w:pPr>
            <w:r>
              <w:rPr>
                <w:b/>
              </w:rPr>
              <w:t>Conversion Features</w:t>
            </w:r>
          </w:p>
        </w:tc>
        <w:tc>
          <w:tcPr>
            <w:tcW w:w="1740" w:type="dxa"/>
            <w:vAlign w:val="center"/>
          </w:tcPr>
          <w:p w14:paraId="7F188218" w14:textId="77777777" w:rsidR="00F263A3" w:rsidRDefault="00FE72B3">
            <w:pPr>
              <w:jc w:val="both"/>
            </w:pPr>
            <w:r>
              <w:t>Not Applicable</w:t>
            </w:r>
          </w:p>
        </w:tc>
        <w:tc>
          <w:tcPr>
            <w:tcW w:w="1680" w:type="dxa"/>
            <w:vAlign w:val="center"/>
          </w:tcPr>
          <w:p w14:paraId="6A43BC97" w14:textId="77777777" w:rsidR="00F263A3" w:rsidRDefault="00FE72B3">
            <w:pPr>
              <w:jc w:val="both"/>
            </w:pPr>
            <w:r>
              <w:t>Not Applicable</w:t>
            </w:r>
          </w:p>
        </w:tc>
        <w:tc>
          <w:tcPr>
            <w:tcW w:w="1740" w:type="dxa"/>
            <w:vAlign w:val="center"/>
          </w:tcPr>
          <w:p w14:paraId="43A6E005" w14:textId="77777777" w:rsidR="00F263A3" w:rsidRDefault="00FE72B3">
            <w:pPr>
              <w:jc w:val="both"/>
            </w:pPr>
            <w:r>
              <w:t>Not Applicable</w:t>
            </w:r>
          </w:p>
        </w:tc>
        <w:tc>
          <w:tcPr>
            <w:tcW w:w="1950" w:type="dxa"/>
            <w:vAlign w:val="center"/>
          </w:tcPr>
          <w:p w14:paraId="73ED009F" w14:textId="77777777" w:rsidR="00F263A3" w:rsidRDefault="00FE72B3">
            <w:pPr>
              <w:jc w:val="both"/>
            </w:pPr>
            <w:r>
              <w:t>Not Applicable</w:t>
            </w:r>
          </w:p>
        </w:tc>
      </w:tr>
      <w:tr w:rsidR="00F263A3" w14:paraId="4D1C3559" w14:textId="77777777">
        <w:trPr>
          <w:jc w:val="center"/>
        </w:trPr>
        <w:tc>
          <w:tcPr>
            <w:tcW w:w="2085" w:type="dxa"/>
            <w:vAlign w:val="center"/>
          </w:tcPr>
          <w:p w14:paraId="6B2211AF" w14:textId="77777777" w:rsidR="00F263A3" w:rsidRDefault="00FE72B3">
            <w:pPr>
              <w:jc w:val="both"/>
            </w:pPr>
            <w:r>
              <w:rPr>
                <w:b/>
              </w:rPr>
              <w:t>Credit Rating</w:t>
            </w:r>
          </w:p>
        </w:tc>
        <w:tc>
          <w:tcPr>
            <w:tcW w:w="1740" w:type="dxa"/>
            <w:vAlign w:val="center"/>
          </w:tcPr>
          <w:p w14:paraId="150D5E9D" w14:textId="77777777" w:rsidR="00F263A3" w:rsidRDefault="00FE72B3">
            <w:pPr>
              <w:jc w:val="both"/>
            </w:pPr>
            <w:r>
              <w:t>Likely Speculative (Moody’s/S&amp;P)</w:t>
            </w:r>
          </w:p>
        </w:tc>
        <w:tc>
          <w:tcPr>
            <w:tcW w:w="1680" w:type="dxa"/>
            <w:vAlign w:val="center"/>
          </w:tcPr>
          <w:p w14:paraId="3CF36036" w14:textId="77777777" w:rsidR="00F263A3" w:rsidRDefault="00FE72B3">
            <w:pPr>
              <w:jc w:val="both"/>
            </w:pPr>
            <w:r>
              <w:t>Investment Grade (BBB or higher)</w:t>
            </w:r>
          </w:p>
        </w:tc>
        <w:tc>
          <w:tcPr>
            <w:tcW w:w="1740" w:type="dxa"/>
            <w:vAlign w:val="center"/>
          </w:tcPr>
          <w:p w14:paraId="5FBED3C7" w14:textId="77777777" w:rsidR="00F263A3" w:rsidRDefault="00FE72B3">
            <w:pPr>
              <w:jc w:val="both"/>
            </w:pPr>
            <w:r>
              <w:t>Moderate Risk (Moody’s/S&amp;P)</w:t>
            </w:r>
          </w:p>
        </w:tc>
        <w:tc>
          <w:tcPr>
            <w:tcW w:w="1950" w:type="dxa"/>
            <w:vAlign w:val="center"/>
          </w:tcPr>
          <w:p w14:paraId="36CF632B" w14:textId="77777777" w:rsidR="00F263A3" w:rsidRDefault="00FE72B3">
            <w:pPr>
              <w:jc w:val="both"/>
            </w:pPr>
            <w:r>
              <w:t>Moderate Risk (Moody’s/S&amp;P)</w:t>
            </w:r>
          </w:p>
        </w:tc>
      </w:tr>
      <w:tr w:rsidR="00F263A3" w14:paraId="15B40ABE" w14:textId="77777777">
        <w:trPr>
          <w:jc w:val="center"/>
        </w:trPr>
        <w:tc>
          <w:tcPr>
            <w:tcW w:w="2085" w:type="dxa"/>
            <w:vAlign w:val="center"/>
          </w:tcPr>
          <w:p w14:paraId="4E37712C" w14:textId="77777777" w:rsidR="00F263A3" w:rsidRDefault="00FE72B3">
            <w:pPr>
              <w:jc w:val="both"/>
            </w:pPr>
            <w:r>
              <w:rPr>
                <w:b/>
              </w:rPr>
              <w:lastRenderedPageBreak/>
              <w:t>Recent Rating Changes</w:t>
            </w:r>
          </w:p>
        </w:tc>
        <w:tc>
          <w:tcPr>
            <w:tcW w:w="1740" w:type="dxa"/>
            <w:vAlign w:val="center"/>
          </w:tcPr>
          <w:p w14:paraId="3FFD76A8" w14:textId="77777777" w:rsidR="00F263A3" w:rsidRDefault="00FE72B3">
            <w:pPr>
              <w:jc w:val="both"/>
            </w:pPr>
            <w:r>
              <w:t>Potential downgrade risk</w:t>
            </w:r>
          </w:p>
        </w:tc>
        <w:tc>
          <w:tcPr>
            <w:tcW w:w="1680" w:type="dxa"/>
            <w:vAlign w:val="center"/>
          </w:tcPr>
          <w:p w14:paraId="79BDE46B" w14:textId="77777777" w:rsidR="00F263A3" w:rsidRDefault="00FE72B3">
            <w:pPr>
              <w:jc w:val="both"/>
            </w:pPr>
            <w:r>
              <w:t>Stable rating</w:t>
            </w:r>
          </w:p>
        </w:tc>
        <w:tc>
          <w:tcPr>
            <w:tcW w:w="1740" w:type="dxa"/>
            <w:vAlign w:val="center"/>
          </w:tcPr>
          <w:p w14:paraId="04F0D177" w14:textId="77777777" w:rsidR="00F263A3" w:rsidRDefault="00FE72B3">
            <w:pPr>
              <w:jc w:val="both"/>
            </w:pPr>
            <w:r>
              <w:t>Stable rating</w:t>
            </w:r>
          </w:p>
        </w:tc>
        <w:tc>
          <w:tcPr>
            <w:tcW w:w="1950" w:type="dxa"/>
            <w:vAlign w:val="center"/>
          </w:tcPr>
          <w:p w14:paraId="25A0679F" w14:textId="77777777" w:rsidR="00F263A3" w:rsidRDefault="00FE72B3">
            <w:pPr>
              <w:jc w:val="both"/>
            </w:pPr>
            <w:r>
              <w:t>Stable rating</w:t>
            </w:r>
          </w:p>
        </w:tc>
      </w:tr>
      <w:tr w:rsidR="00F263A3" w14:paraId="2FDC2B02" w14:textId="77777777">
        <w:trPr>
          <w:jc w:val="center"/>
        </w:trPr>
        <w:tc>
          <w:tcPr>
            <w:tcW w:w="2085" w:type="dxa"/>
            <w:vAlign w:val="center"/>
          </w:tcPr>
          <w:p w14:paraId="370CD58B" w14:textId="77777777" w:rsidR="00F263A3" w:rsidRDefault="00FE72B3">
            <w:pPr>
              <w:jc w:val="both"/>
            </w:pPr>
            <w:r>
              <w:rPr>
                <w:b/>
              </w:rPr>
              <w:t>Callability Terms</w:t>
            </w:r>
          </w:p>
        </w:tc>
        <w:tc>
          <w:tcPr>
            <w:tcW w:w="1740" w:type="dxa"/>
            <w:vAlign w:val="center"/>
          </w:tcPr>
          <w:p w14:paraId="02690A05" w14:textId="77777777" w:rsidR="00F263A3" w:rsidRDefault="00FE72B3">
            <w:pPr>
              <w:jc w:val="both"/>
            </w:pPr>
            <w:r>
              <w:t>Callable before maturity</w:t>
            </w:r>
          </w:p>
        </w:tc>
        <w:tc>
          <w:tcPr>
            <w:tcW w:w="1680" w:type="dxa"/>
            <w:vAlign w:val="center"/>
          </w:tcPr>
          <w:p w14:paraId="12B21119" w14:textId="77777777" w:rsidR="00F263A3" w:rsidRDefault="00FE72B3">
            <w:pPr>
              <w:jc w:val="both"/>
            </w:pPr>
            <w:r>
              <w:t>Callable before maturity</w:t>
            </w:r>
          </w:p>
        </w:tc>
        <w:tc>
          <w:tcPr>
            <w:tcW w:w="1740" w:type="dxa"/>
            <w:vAlign w:val="center"/>
          </w:tcPr>
          <w:p w14:paraId="5446B729" w14:textId="77777777" w:rsidR="00F263A3" w:rsidRDefault="00FE72B3">
            <w:pPr>
              <w:jc w:val="both"/>
            </w:pPr>
            <w:r>
              <w:t>Callable before maturity</w:t>
            </w:r>
          </w:p>
        </w:tc>
        <w:tc>
          <w:tcPr>
            <w:tcW w:w="1950" w:type="dxa"/>
            <w:vAlign w:val="center"/>
          </w:tcPr>
          <w:p w14:paraId="37ED90E3" w14:textId="77777777" w:rsidR="00F263A3" w:rsidRDefault="00FE72B3">
            <w:pPr>
              <w:jc w:val="both"/>
            </w:pPr>
            <w:r>
              <w:t>Callable before maturity</w:t>
            </w:r>
          </w:p>
        </w:tc>
      </w:tr>
      <w:tr w:rsidR="00F263A3" w14:paraId="4CE7E711" w14:textId="77777777">
        <w:trPr>
          <w:jc w:val="center"/>
        </w:trPr>
        <w:tc>
          <w:tcPr>
            <w:tcW w:w="2085" w:type="dxa"/>
            <w:vAlign w:val="center"/>
          </w:tcPr>
          <w:p w14:paraId="2C6ABDB3" w14:textId="77777777" w:rsidR="00F263A3" w:rsidRDefault="00FE72B3">
            <w:pPr>
              <w:jc w:val="both"/>
            </w:pPr>
            <w:r>
              <w:rPr>
                <w:b/>
              </w:rPr>
              <w:t>Financial Covenants</w:t>
            </w:r>
          </w:p>
        </w:tc>
        <w:tc>
          <w:tcPr>
            <w:tcW w:w="1740" w:type="dxa"/>
            <w:vAlign w:val="center"/>
          </w:tcPr>
          <w:p w14:paraId="15FC4AEE" w14:textId="77777777" w:rsidR="00F263A3" w:rsidRDefault="00FE72B3">
            <w:pPr>
              <w:jc w:val="both"/>
            </w:pPr>
            <w:r>
              <w:t>Must maintain certain financial ratios</w:t>
            </w:r>
          </w:p>
        </w:tc>
        <w:tc>
          <w:tcPr>
            <w:tcW w:w="1680" w:type="dxa"/>
            <w:vAlign w:val="center"/>
          </w:tcPr>
          <w:p w14:paraId="0AD34A35" w14:textId="77777777" w:rsidR="00F263A3" w:rsidRDefault="00FE72B3">
            <w:pPr>
              <w:jc w:val="both"/>
            </w:pPr>
            <w:r>
              <w:t>Must maintain certain financial ratios</w:t>
            </w:r>
          </w:p>
        </w:tc>
        <w:tc>
          <w:tcPr>
            <w:tcW w:w="1740" w:type="dxa"/>
            <w:vAlign w:val="center"/>
          </w:tcPr>
          <w:p w14:paraId="66D27A24" w14:textId="77777777" w:rsidR="00F263A3" w:rsidRDefault="00FE72B3">
            <w:pPr>
              <w:jc w:val="both"/>
            </w:pPr>
            <w:r>
              <w:t>Must maintain certain financial ratios</w:t>
            </w:r>
          </w:p>
        </w:tc>
        <w:tc>
          <w:tcPr>
            <w:tcW w:w="1950" w:type="dxa"/>
            <w:vAlign w:val="center"/>
          </w:tcPr>
          <w:p w14:paraId="33A49B55" w14:textId="77777777" w:rsidR="00F263A3" w:rsidRDefault="00FE72B3">
            <w:pPr>
              <w:jc w:val="both"/>
            </w:pPr>
            <w:r>
              <w:t>Must maintain certain financial ratios</w:t>
            </w:r>
          </w:p>
        </w:tc>
      </w:tr>
      <w:tr w:rsidR="00F263A3" w14:paraId="3C77CA33" w14:textId="77777777">
        <w:trPr>
          <w:trHeight w:val="1314"/>
          <w:jc w:val="center"/>
        </w:trPr>
        <w:tc>
          <w:tcPr>
            <w:tcW w:w="2085" w:type="dxa"/>
            <w:vAlign w:val="center"/>
          </w:tcPr>
          <w:p w14:paraId="7798532F" w14:textId="77777777" w:rsidR="00F263A3" w:rsidRDefault="00FE72B3">
            <w:pPr>
              <w:jc w:val="both"/>
            </w:pPr>
            <w:r>
              <w:rPr>
                <w:b/>
              </w:rPr>
              <w:t>Remedies for Covenant Violations</w:t>
            </w:r>
          </w:p>
        </w:tc>
        <w:tc>
          <w:tcPr>
            <w:tcW w:w="1740" w:type="dxa"/>
            <w:vAlign w:val="center"/>
          </w:tcPr>
          <w:p w14:paraId="29BC3460" w14:textId="77777777" w:rsidR="00F263A3" w:rsidRDefault="00FE72B3">
            <w:pPr>
              <w:jc w:val="both"/>
            </w:pPr>
            <w:r>
              <w:t>Penalties or acceleration of payment</w:t>
            </w:r>
          </w:p>
        </w:tc>
        <w:tc>
          <w:tcPr>
            <w:tcW w:w="1680" w:type="dxa"/>
            <w:vAlign w:val="center"/>
          </w:tcPr>
          <w:p w14:paraId="34321BEB" w14:textId="77777777" w:rsidR="00F263A3" w:rsidRDefault="00FE72B3">
            <w:pPr>
              <w:jc w:val="both"/>
            </w:pPr>
            <w:r>
              <w:t>Penalties or acceleration of payment</w:t>
            </w:r>
          </w:p>
        </w:tc>
        <w:tc>
          <w:tcPr>
            <w:tcW w:w="1740" w:type="dxa"/>
            <w:vAlign w:val="center"/>
          </w:tcPr>
          <w:p w14:paraId="0165E66F" w14:textId="77777777" w:rsidR="00F263A3" w:rsidRDefault="00FE72B3">
            <w:pPr>
              <w:jc w:val="both"/>
            </w:pPr>
            <w:r>
              <w:t>Penalties or acceleration of payment</w:t>
            </w:r>
          </w:p>
        </w:tc>
        <w:tc>
          <w:tcPr>
            <w:tcW w:w="1950" w:type="dxa"/>
            <w:vAlign w:val="center"/>
          </w:tcPr>
          <w:p w14:paraId="3D45DE8E" w14:textId="77777777" w:rsidR="00F263A3" w:rsidRDefault="00FE72B3">
            <w:pPr>
              <w:jc w:val="both"/>
            </w:pPr>
            <w:r>
              <w:t>Penalties or acceleration of payment</w:t>
            </w:r>
          </w:p>
        </w:tc>
      </w:tr>
    </w:tbl>
    <w:p w14:paraId="5A94D8F2" w14:textId="77777777" w:rsidR="00F263A3" w:rsidRDefault="00FE72B3" w:rsidP="00F349FC">
      <w:pPr>
        <w:spacing w:before="280" w:after="280"/>
        <w:jc w:val="both"/>
        <w:rPr>
          <w:b/>
          <w:sz w:val="27"/>
          <w:szCs w:val="27"/>
        </w:rPr>
      </w:pPr>
      <w:r>
        <w:rPr>
          <w:b/>
          <w:sz w:val="27"/>
          <w:szCs w:val="27"/>
        </w:rPr>
        <w:t>Bond Overview:</w:t>
      </w:r>
    </w:p>
    <w:p w14:paraId="1B53B4A0" w14:textId="77777777" w:rsidR="00F263A3" w:rsidRDefault="00FE72B3" w:rsidP="00F349FC">
      <w:pPr>
        <w:numPr>
          <w:ilvl w:val="0"/>
          <w:numId w:val="25"/>
        </w:numPr>
        <w:spacing w:before="280" w:after="0" w:line="240" w:lineRule="auto"/>
        <w:jc w:val="both"/>
        <w:rPr>
          <w:sz w:val="27"/>
          <w:szCs w:val="27"/>
        </w:rPr>
      </w:pPr>
      <w:r>
        <w:rPr>
          <w:b/>
          <w:sz w:val="27"/>
          <w:szCs w:val="27"/>
        </w:rPr>
        <w:t>Coupon Rate</w:t>
      </w:r>
      <w:r>
        <w:rPr>
          <w:sz w:val="27"/>
          <w:szCs w:val="27"/>
        </w:rPr>
        <w:t>: This is the interest rate the bond pays, and it’s fixed for the life of the bond.</w:t>
      </w:r>
    </w:p>
    <w:p w14:paraId="75452980" w14:textId="77777777" w:rsidR="00F263A3" w:rsidRDefault="00FE72B3" w:rsidP="00F349FC">
      <w:pPr>
        <w:numPr>
          <w:ilvl w:val="0"/>
          <w:numId w:val="25"/>
        </w:numPr>
        <w:spacing w:after="0" w:line="240" w:lineRule="auto"/>
        <w:jc w:val="both"/>
        <w:rPr>
          <w:sz w:val="27"/>
          <w:szCs w:val="27"/>
        </w:rPr>
      </w:pPr>
      <w:r>
        <w:rPr>
          <w:b/>
          <w:sz w:val="27"/>
          <w:szCs w:val="27"/>
        </w:rPr>
        <w:t>Payment Dates</w:t>
      </w:r>
      <w:r>
        <w:rPr>
          <w:sz w:val="27"/>
          <w:szCs w:val="27"/>
        </w:rPr>
        <w:t>: Interest is paid semi-annually for each bond on the specified dates.</w:t>
      </w:r>
    </w:p>
    <w:p w14:paraId="7956095C" w14:textId="77777777" w:rsidR="00F263A3" w:rsidRDefault="00FE72B3" w:rsidP="00F349FC">
      <w:pPr>
        <w:numPr>
          <w:ilvl w:val="0"/>
          <w:numId w:val="25"/>
        </w:numPr>
        <w:spacing w:after="280" w:line="240" w:lineRule="auto"/>
        <w:jc w:val="both"/>
        <w:rPr>
          <w:sz w:val="27"/>
          <w:szCs w:val="27"/>
        </w:rPr>
      </w:pPr>
      <w:r>
        <w:rPr>
          <w:b/>
          <w:sz w:val="27"/>
          <w:szCs w:val="27"/>
        </w:rPr>
        <w:t>Maturity</w:t>
      </w:r>
      <w:r>
        <w:rPr>
          <w:sz w:val="27"/>
          <w:szCs w:val="27"/>
        </w:rPr>
        <w:t>: The bonds mature on their respective dates, at which point the principal is repaid.</w:t>
      </w:r>
    </w:p>
    <w:p w14:paraId="74B203FB" w14:textId="77777777" w:rsidR="00F263A3" w:rsidRDefault="00FE72B3" w:rsidP="00F349FC">
      <w:pPr>
        <w:spacing w:before="280" w:after="280"/>
        <w:jc w:val="both"/>
        <w:rPr>
          <w:b/>
          <w:sz w:val="27"/>
          <w:szCs w:val="27"/>
        </w:rPr>
      </w:pPr>
      <w:r>
        <w:rPr>
          <w:b/>
          <w:sz w:val="27"/>
          <w:szCs w:val="27"/>
        </w:rPr>
        <w:t>Indenture Agreement (Prospectus):</w:t>
      </w:r>
    </w:p>
    <w:p w14:paraId="6C4FB43C" w14:textId="77777777" w:rsidR="00F263A3" w:rsidRDefault="00FE72B3" w:rsidP="00F349FC">
      <w:pPr>
        <w:numPr>
          <w:ilvl w:val="0"/>
          <w:numId w:val="8"/>
        </w:numPr>
        <w:spacing w:before="280" w:after="0" w:line="240" w:lineRule="auto"/>
        <w:jc w:val="both"/>
        <w:rPr>
          <w:sz w:val="27"/>
          <w:szCs w:val="27"/>
        </w:rPr>
      </w:pPr>
      <w:r>
        <w:rPr>
          <w:b/>
          <w:sz w:val="27"/>
          <w:szCs w:val="27"/>
        </w:rPr>
        <w:t>Secured/Unsecured</w:t>
      </w:r>
      <w:r>
        <w:rPr>
          <w:sz w:val="27"/>
          <w:szCs w:val="27"/>
        </w:rPr>
        <w:t xml:space="preserve">: These bonds are </w:t>
      </w:r>
      <w:r>
        <w:rPr>
          <w:b/>
          <w:sz w:val="27"/>
          <w:szCs w:val="27"/>
        </w:rPr>
        <w:t>unsecured</w:t>
      </w:r>
      <w:r>
        <w:rPr>
          <w:sz w:val="27"/>
          <w:szCs w:val="27"/>
        </w:rPr>
        <w:t>, meaning they are not backed by specific assets or collateral.</w:t>
      </w:r>
    </w:p>
    <w:p w14:paraId="48C24BF8" w14:textId="77777777" w:rsidR="00F263A3" w:rsidRDefault="00FE72B3" w:rsidP="00F349FC">
      <w:pPr>
        <w:numPr>
          <w:ilvl w:val="0"/>
          <w:numId w:val="8"/>
        </w:numPr>
        <w:spacing w:after="0" w:line="240" w:lineRule="auto"/>
        <w:jc w:val="both"/>
        <w:rPr>
          <w:sz w:val="27"/>
          <w:szCs w:val="27"/>
        </w:rPr>
      </w:pPr>
      <w:r>
        <w:rPr>
          <w:b/>
          <w:sz w:val="27"/>
          <w:szCs w:val="27"/>
        </w:rPr>
        <w:t>Protective Covenants</w:t>
      </w:r>
      <w:r>
        <w:rPr>
          <w:sz w:val="27"/>
          <w:szCs w:val="27"/>
        </w:rPr>
        <w:t xml:space="preserve">: All bonds have </w:t>
      </w:r>
      <w:r>
        <w:rPr>
          <w:b/>
          <w:sz w:val="27"/>
          <w:szCs w:val="27"/>
        </w:rPr>
        <w:t>protective covenants</w:t>
      </w:r>
      <w:r>
        <w:rPr>
          <w:sz w:val="27"/>
          <w:szCs w:val="27"/>
        </w:rPr>
        <w:t>, which require the issuer to maintain specific financial conditions to protect bondholders.</w:t>
      </w:r>
    </w:p>
    <w:p w14:paraId="60E951C4" w14:textId="77777777" w:rsidR="00F263A3" w:rsidRDefault="00FE72B3" w:rsidP="00F349FC">
      <w:pPr>
        <w:numPr>
          <w:ilvl w:val="0"/>
          <w:numId w:val="8"/>
        </w:numPr>
        <w:spacing w:after="0" w:line="240" w:lineRule="auto"/>
        <w:jc w:val="both"/>
        <w:rPr>
          <w:sz w:val="27"/>
          <w:szCs w:val="27"/>
        </w:rPr>
      </w:pPr>
      <w:r>
        <w:rPr>
          <w:b/>
          <w:sz w:val="27"/>
          <w:szCs w:val="27"/>
        </w:rPr>
        <w:t>Call Features</w:t>
      </w:r>
      <w:r>
        <w:rPr>
          <w:sz w:val="27"/>
          <w:szCs w:val="27"/>
        </w:rPr>
        <w:t xml:space="preserve">: Bonds are </w:t>
      </w:r>
      <w:r>
        <w:rPr>
          <w:b/>
          <w:sz w:val="27"/>
          <w:szCs w:val="27"/>
        </w:rPr>
        <w:t>callable</w:t>
      </w:r>
      <w:r>
        <w:rPr>
          <w:sz w:val="27"/>
          <w:szCs w:val="27"/>
        </w:rPr>
        <w:t>, meaning the issuer can repurchase the bond before its maturity date. This can limit long-term income potential for bondholders if the issuer decides to call the bonds early.</w:t>
      </w:r>
    </w:p>
    <w:p w14:paraId="71F2C2E3" w14:textId="77777777" w:rsidR="00F263A3" w:rsidRDefault="00FE72B3" w:rsidP="00F349FC">
      <w:pPr>
        <w:numPr>
          <w:ilvl w:val="0"/>
          <w:numId w:val="8"/>
        </w:numPr>
        <w:spacing w:after="280" w:line="240" w:lineRule="auto"/>
        <w:jc w:val="both"/>
        <w:rPr>
          <w:sz w:val="27"/>
          <w:szCs w:val="27"/>
        </w:rPr>
      </w:pPr>
      <w:r>
        <w:rPr>
          <w:b/>
          <w:sz w:val="27"/>
          <w:szCs w:val="27"/>
        </w:rPr>
        <w:t>Conversion Features</w:t>
      </w:r>
      <w:r>
        <w:rPr>
          <w:sz w:val="27"/>
          <w:szCs w:val="27"/>
        </w:rPr>
        <w:t>: None of the bonds have conversion features, meaning they cannot be converted into equity.</w:t>
      </w:r>
    </w:p>
    <w:p w14:paraId="092B73E2" w14:textId="77777777" w:rsidR="00F263A3" w:rsidRDefault="00FE72B3" w:rsidP="00F349FC">
      <w:pPr>
        <w:spacing w:before="280" w:after="280"/>
        <w:jc w:val="both"/>
        <w:rPr>
          <w:b/>
          <w:sz w:val="27"/>
          <w:szCs w:val="27"/>
        </w:rPr>
      </w:pPr>
      <w:r>
        <w:rPr>
          <w:b/>
          <w:sz w:val="27"/>
          <w:szCs w:val="27"/>
        </w:rPr>
        <w:t>Credit Rating:</w:t>
      </w:r>
    </w:p>
    <w:p w14:paraId="63094A7D" w14:textId="77777777" w:rsidR="00F263A3" w:rsidRDefault="00FE72B3" w:rsidP="00F349FC">
      <w:pPr>
        <w:numPr>
          <w:ilvl w:val="0"/>
          <w:numId w:val="9"/>
        </w:numPr>
        <w:spacing w:before="280" w:after="0" w:line="240" w:lineRule="auto"/>
        <w:jc w:val="both"/>
        <w:rPr>
          <w:sz w:val="27"/>
          <w:szCs w:val="27"/>
        </w:rPr>
      </w:pPr>
      <w:r>
        <w:rPr>
          <w:b/>
          <w:sz w:val="27"/>
          <w:szCs w:val="27"/>
        </w:rPr>
        <w:t>Bond 1</w:t>
      </w:r>
      <w:r>
        <w:rPr>
          <w:sz w:val="27"/>
          <w:szCs w:val="27"/>
        </w:rPr>
        <w:t xml:space="preserve"> has a higher yield, indicating it is more speculative, possibly reflecting lower credit ratings.</w:t>
      </w:r>
    </w:p>
    <w:p w14:paraId="767B8FBF" w14:textId="77777777" w:rsidR="00F263A3" w:rsidRDefault="00FE72B3" w:rsidP="00F349FC">
      <w:pPr>
        <w:numPr>
          <w:ilvl w:val="0"/>
          <w:numId w:val="9"/>
        </w:numPr>
        <w:spacing w:after="0" w:line="240" w:lineRule="auto"/>
        <w:jc w:val="both"/>
        <w:rPr>
          <w:sz w:val="27"/>
          <w:szCs w:val="27"/>
        </w:rPr>
      </w:pPr>
      <w:r>
        <w:rPr>
          <w:b/>
          <w:sz w:val="27"/>
          <w:szCs w:val="27"/>
        </w:rPr>
        <w:t>Bond 2</w:t>
      </w:r>
      <w:r>
        <w:rPr>
          <w:sz w:val="27"/>
          <w:szCs w:val="27"/>
        </w:rPr>
        <w:t xml:space="preserve"> has a lower yield and a longer maturity, which suggests a more stable, investment-grade rating.</w:t>
      </w:r>
    </w:p>
    <w:p w14:paraId="7D4699A1" w14:textId="77777777" w:rsidR="00F263A3" w:rsidRDefault="00FE72B3" w:rsidP="00F349FC">
      <w:pPr>
        <w:numPr>
          <w:ilvl w:val="0"/>
          <w:numId w:val="9"/>
        </w:numPr>
        <w:spacing w:after="280" w:line="240" w:lineRule="auto"/>
        <w:jc w:val="both"/>
        <w:rPr>
          <w:sz w:val="27"/>
          <w:szCs w:val="27"/>
        </w:rPr>
      </w:pPr>
      <w:r>
        <w:rPr>
          <w:b/>
          <w:sz w:val="27"/>
          <w:szCs w:val="27"/>
        </w:rPr>
        <w:lastRenderedPageBreak/>
        <w:t>Bond 3</w:t>
      </w:r>
      <w:r>
        <w:rPr>
          <w:sz w:val="27"/>
          <w:szCs w:val="27"/>
        </w:rPr>
        <w:t xml:space="preserve"> and </w:t>
      </w:r>
      <w:r>
        <w:rPr>
          <w:b/>
          <w:sz w:val="27"/>
          <w:szCs w:val="27"/>
        </w:rPr>
        <w:t>Bond 4</w:t>
      </w:r>
      <w:r>
        <w:rPr>
          <w:sz w:val="27"/>
          <w:szCs w:val="27"/>
        </w:rPr>
        <w:t xml:space="preserve"> likely have moderate risk profiles and slightly higher ratings due to their shorter maturities.</w:t>
      </w:r>
    </w:p>
    <w:p w14:paraId="1880B073" w14:textId="77777777" w:rsidR="00F263A3" w:rsidRDefault="00FE72B3" w:rsidP="00F349FC">
      <w:pPr>
        <w:spacing w:before="280" w:after="280"/>
        <w:jc w:val="both"/>
        <w:rPr>
          <w:b/>
          <w:sz w:val="27"/>
          <w:szCs w:val="27"/>
        </w:rPr>
      </w:pPr>
      <w:r>
        <w:rPr>
          <w:b/>
          <w:sz w:val="27"/>
          <w:szCs w:val="27"/>
        </w:rPr>
        <w:t>Recent Rating Changes:</w:t>
      </w:r>
    </w:p>
    <w:p w14:paraId="1BFDE21A" w14:textId="77777777" w:rsidR="00F263A3" w:rsidRDefault="00FE72B3" w:rsidP="00F349FC">
      <w:pPr>
        <w:numPr>
          <w:ilvl w:val="0"/>
          <w:numId w:val="10"/>
        </w:numPr>
        <w:spacing w:before="280" w:after="0" w:line="240" w:lineRule="auto"/>
        <w:jc w:val="both"/>
        <w:rPr>
          <w:sz w:val="27"/>
          <w:szCs w:val="27"/>
        </w:rPr>
      </w:pPr>
      <w:r>
        <w:rPr>
          <w:b/>
          <w:sz w:val="27"/>
          <w:szCs w:val="27"/>
        </w:rPr>
        <w:t>Bond 1</w:t>
      </w:r>
      <w:r>
        <w:rPr>
          <w:sz w:val="27"/>
          <w:szCs w:val="27"/>
        </w:rPr>
        <w:t xml:space="preserve"> may face a </w:t>
      </w:r>
      <w:r>
        <w:rPr>
          <w:b/>
          <w:sz w:val="27"/>
          <w:szCs w:val="27"/>
        </w:rPr>
        <w:t>downgrade</w:t>
      </w:r>
      <w:r>
        <w:rPr>
          <w:sz w:val="27"/>
          <w:szCs w:val="27"/>
        </w:rPr>
        <w:t xml:space="preserve"> if the issuer's financial health deteriorates.</w:t>
      </w:r>
    </w:p>
    <w:p w14:paraId="75D7CD5E" w14:textId="77777777" w:rsidR="00F263A3" w:rsidRDefault="00FE72B3" w:rsidP="00F349FC">
      <w:pPr>
        <w:numPr>
          <w:ilvl w:val="0"/>
          <w:numId w:val="10"/>
        </w:numPr>
        <w:spacing w:after="280" w:line="240" w:lineRule="auto"/>
        <w:jc w:val="both"/>
        <w:rPr>
          <w:sz w:val="27"/>
          <w:szCs w:val="27"/>
        </w:rPr>
      </w:pPr>
      <w:r>
        <w:rPr>
          <w:b/>
          <w:sz w:val="27"/>
          <w:szCs w:val="27"/>
        </w:rPr>
        <w:t>Bond 2</w:t>
      </w:r>
      <w:r>
        <w:rPr>
          <w:sz w:val="27"/>
          <w:szCs w:val="27"/>
        </w:rPr>
        <w:t xml:space="preserve">, </w:t>
      </w:r>
      <w:r>
        <w:rPr>
          <w:b/>
          <w:sz w:val="27"/>
          <w:szCs w:val="27"/>
        </w:rPr>
        <w:t>Bond 3</w:t>
      </w:r>
      <w:r>
        <w:rPr>
          <w:sz w:val="27"/>
          <w:szCs w:val="27"/>
        </w:rPr>
        <w:t xml:space="preserve">, and </w:t>
      </w:r>
      <w:r>
        <w:rPr>
          <w:b/>
          <w:sz w:val="27"/>
          <w:szCs w:val="27"/>
        </w:rPr>
        <w:t>Bond 4</w:t>
      </w:r>
      <w:r>
        <w:rPr>
          <w:sz w:val="27"/>
          <w:szCs w:val="27"/>
        </w:rPr>
        <w:t xml:space="preserve"> have </w:t>
      </w:r>
      <w:r>
        <w:rPr>
          <w:b/>
          <w:sz w:val="27"/>
          <w:szCs w:val="27"/>
        </w:rPr>
        <w:t>stable</w:t>
      </w:r>
      <w:r>
        <w:rPr>
          <w:sz w:val="27"/>
          <w:szCs w:val="27"/>
        </w:rPr>
        <w:t xml:space="preserve"> ratings, indicating relatively low credit risk.</w:t>
      </w:r>
    </w:p>
    <w:p w14:paraId="72EE8BC0" w14:textId="77777777" w:rsidR="00F263A3" w:rsidRDefault="00FE72B3" w:rsidP="00F349FC">
      <w:pPr>
        <w:spacing w:before="280" w:after="280"/>
        <w:jc w:val="both"/>
        <w:rPr>
          <w:b/>
          <w:sz w:val="27"/>
          <w:szCs w:val="27"/>
        </w:rPr>
      </w:pPr>
      <w:r>
        <w:rPr>
          <w:b/>
          <w:sz w:val="27"/>
          <w:szCs w:val="27"/>
        </w:rPr>
        <w:t>Risks and Considerations:</w:t>
      </w:r>
    </w:p>
    <w:p w14:paraId="447447A6" w14:textId="77777777" w:rsidR="00F263A3" w:rsidRDefault="00FE72B3" w:rsidP="00F349FC">
      <w:pPr>
        <w:numPr>
          <w:ilvl w:val="0"/>
          <w:numId w:val="11"/>
        </w:numPr>
        <w:spacing w:before="280" w:after="0" w:line="240" w:lineRule="auto"/>
        <w:jc w:val="both"/>
        <w:rPr>
          <w:sz w:val="27"/>
          <w:szCs w:val="27"/>
        </w:rPr>
      </w:pPr>
      <w:r>
        <w:rPr>
          <w:b/>
          <w:sz w:val="27"/>
          <w:szCs w:val="27"/>
        </w:rPr>
        <w:t>Callable Bonds</w:t>
      </w:r>
      <w:r>
        <w:rPr>
          <w:sz w:val="27"/>
          <w:szCs w:val="27"/>
        </w:rPr>
        <w:t>: The issuer can call these bonds before maturity, which might reduce the bondholder’s expected income if interest rates fall, and the issuer refinances the debt.</w:t>
      </w:r>
    </w:p>
    <w:p w14:paraId="3BED91BB" w14:textId="77777777" w:rsidR="00F263A3" w:rsidRDefault="00FE72B3" w:rsidP="00F349FC">
      <w:pPr>
        <w:numPr>
          <w:ilvl w:val="0"/>
          <w:numId w:val="11"/>
        </w:numPr>
        <w:spacing w:after="280" w:line="240" w:lineRule="auto"/>
        <w:jc w:val="both"/>
        <w:rPr>
          <w:sz w:val="27"/>
          <w:szCs w:val="27"/>
        </w:rPr>
      </w:pPr>
      <w:r>
        <w:rPr>
          <w:b/>
          <w:sz w:val="27"/>
          <w:szCs w:val="27"/>
        </w:rPr>
        <w:t>Financial Covenants</w:t>
      </w:r>
      <w:r>
        <w:rPr>
          <w:sz w:val="27"/>
          <w:szCs w:val="27"/>
        </w:rPr>
        <w:t>: The issuer must adhere to financial covenants, maintaining specific ratios (such as debt-to-equity). If these are violated, bondholders have remedies, including penalties or the possibility of the bond being called earlier than expected.</w:t>
      </w:r>
    </w:p>
    <w:p w14:paraId="23FC9863" w14:textId="77777777" w:rsidR="00F263A3" w:rsidRDefault="00FE72B3">
      <w:pPr>
        <w:jc w:val="both"/>
        <w:rPr>
          <w:b/>
          <w:sz w:val="27"/>
          <w:szCs w:val="27"/>
        </w:rPr>
      </w:pPr>
      <w:r>
        <w:rPr>
          <w:b/>
          <w:sz w:val="27"/>
          <w:szCs w:val="27"/>
        </w:rPr>
        <w:t>Yield to Call:</w:t>
      </w:r>
    </w:p>
    <w:tbl>
      <w:tblPr>
        <w:tblStyle w:val="a5"/>
        <w:tblW w:w="9016"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ayout w:type="fixed"/>
        <w:tblLook w:val="0400" w:firstRow="0" w:lastRow="0" w:firstColumn="0" w:lastColumn="0" w:noHBand="0" w:noVBand="1"/>
      </w:tblPr>
      <w:tblGrid>
        <w:gridCol w:w="1804"/>
        <w:gridCol w:w="1803"/>
        <w:gridCol w:w="1803"/>
        <w:gridCol w:w="1803"/>
        <w:gridCol w:w="1803"/>
      </w:tblGrid>
      <w:tr w:rsidR="00F263A3" w14:paraId="524BFF86" w14:textId="77777777">
        <w:trPr>
          <w:tblHeader/>
        </w:trPr>
        <w:tc>
          <w:tcPr>
            <w:tcW w:w="1804" w:type="dxa"/>
            <w:tcBorders>
              <w:top w:val="single" w:sz="4" w:space="0" w:color="000000"/>
              <w:left w:val="single" w:sz="4" w:space="0" w:color="000000"/>
              <w:bottom w:val="single" w:sz="4" w:space="0" w:color="000000"/>
              <w:right w:val="single" w:sz="4" w:space="0" w:color="000000"/>
            </w:tcBorders>
            <w:shd w:val="clear" w:color="auto" w:fill="FFFFFF"/>
          </w:tcPr>
          <w:p w14:paraId="2C6EE58F" w14:textId="77777777" w:rsidR="00F263A3" w:rsidRDefault="00F263A3">
            <w:pPr>
              <w:jc w:val="both"/>
              <w:rPr>
                <w:b/>
                <w:color w:val="000000"/>
                <w:sz w:val="27"/>
                <w:szCs w:val="27"/>
              </w:rPr>
            </w:pPr>
          </w:p>
        </w:tc>
        <w:tc>
          <w:tcPr>
            <w:tcW w:w="1803" w:type="dxa"/>
            <w:tcBorders>
              <w:top w:val="single" w:sz="4" w:space="0" w:color="000000"/>
              <w:left w:val="single" w:sz="4" w:space="0" w:color="000000"/>
              <w:bottom w:val="single" w:sz="4" w:space="0" w:color="000000"/>
              <w:right w:val="single" w:sz="4" w:space="0" w:color="000000"/>
            </w:tcBorders>
            <w:shd w:val="clear" w:color="auto" w:fill="FFFFFF"/>
          </w:tcPr>
          <w:p w14:paraId="35695F63" w14:textId="77777777" w:rsidR="00F263A3" w:rsidRDefault="00FE72B3">
            <w:pPr>
              <w:jc w:val="both"/>
              <w:rPr>
                <w:b/>
                <w:color w:val="000000"/>
                <w:sz w:val="27"/>
                <w:szCs w:val="27"/>
              </w:rPr>
            </w:pPr>
            <w:r>
              <w:rPr>
                <w:b/>
                <w:color w:val="000000"/>
                <w:sz w:val="27"/>
                <w:szCs w:val="27"/>
              </w:rPr>
              <w:t>Bond A</w:t>
            </w:r>
          </w:p>
        </w:tc>
        <w:tc>
          <w:tcPr>
            <w:tcW w:w="1803" w:type="dxa"/>
            <w:tcBorders>
              <w:top w:val="single" w:sz="4" w:space="0" w:color="000000"/>
              <w:left w:val="single" w:sz="4" w:space="0" w:color="000000"/>
              <w:bottom w:val="single" w:sz="4" w:space="0" w:color="000000"/>
              <w:right w:val="single" w:sz="4" w:space="0" w:color="000000"/>
            </w:tcBorders>
            <w:shd w:val="clear" w:color="auto" w:fill="FFFFFF"/>
          </w:tcPr>
          <w:p w14:paraId="267D3AE6" w14:textId="77777777" w:rsidR="00F263A3" w:rsidRDefault="00FE72B3">
            <w:pPr>
              <w:jc w:val="both"/>
              <w:rPr>
                <w:b/>
                <w:color w:val="000000"/>
                <w:sz w:val="27"/>
                <w:szCs w:val="27"/>
              </w:rPr>
            </w:pPr>
            <w:r>
              <w:rPr>
                <w:b/>
                <w:color w:val="000000"/>
                <w:sz w:val="27"/>
                <w:szCs w:val="27"/>
              </w:rPr>
              <w:t>Bond B</w:t>
            </w:r>
          </w:p>
        </w:tc>
        <w:tc>
          <w:tcPr>
            <w:tcW w:w="1803" w:type="dxa"/>
            <w:tcBorders>
              <w:top w:val="single" w:sz="4" w:space="0" w:color="000000"/>
              <w:left w:val="single" w:sz="4" w:space="0" w:color="000000"/>
              <w:bottom w:val="single" w:sz="4" w:space="0" w:color="000000"/>
              <w:right w:val="single" w:sz="4" w:space="0" w:color="000000"/>
            </w:tcBorders>
            <w:shd w:val="clear" w:color="auto" w:fill="FFFFFF"/>
          </w:tcPr>
          <w:p w14:paraId="2D494C8B" w14:textId="77777777" w:rsidR="00F263A3" w:rsidRDefault="00FE72B3">
            <w:pPr>
              <w:jc w:val="both"/>
              <w:rPr>
                <w:b/>
                <w:color w:val="000000"/>
                <w:sz w:val="27"/>
                <w:szCs w:val="27"/>
              </w:rPr>
            </w:pPr>
            <w:r>
              <w:rPr>
                <w:b/>
                <w:color w:val="000000"/>
                <w:sz w:val="27"/>
                <w:szCs w:val="27"/>
              </w:rPr>
              <w:t>Bond C</w:t>
            </w:r>
          </w:p>
        </w:tc>
        <w:tc>
          <w:tcPr>
            <w:tcW w:w="1803" w:type="dxa"/>
            <w:tcBorders>
              <w:top w:val="single" w:sz="4" w:space="0" w:color="000000"/>
              <w:left w:val="single" w:sz="4" w:space="0" w:color="000000"/>
              <w:bottom w:val="single" w:sz="4" w:space="0" w:color="000000"/>
              <w:right w:val="single" w:sz="4" w:space="0" w:color="000000"/>
            </w:tcBorders>
            <w:shd w:val="clear" w:color="auto" w:fill="FFFFFF"/>
          </w:tcPr>
          <w:p w14:paraId="700A32CE" w14:textId="77777777" w:rsidR="00F263A3" w:rsidRDefault="00FE72B3">
            <w:pPr>
              <w:jc w:val="both"/>
              <w:rPr>
                <w:b/>
                <w:color w:val="000000"/>
                <w:sz w:val="27"/>
                <w:szCs w:val="27"/>
              </w:rPr>
            </w:pPr>
            <w:r>
              <w:rPr>
                <w:b/>
                <w:color w:val="000000"/>
                <w:sz w:val="27"/>
                <w:szCs w:val="27"/>
              </w:rPr>
              <w:t>Bond D</w:t>
            </w:r>
          </w:p>
        </w:tc>
      </w:tr>
      <w:tr w:rsidR="00F263A3" w14:paraId="177EB69C" w14:textId="77777777">
        <w:tc>
          <w:tcPr>
            <w:tcW w:w="1804" w:type="dxa"/>
            <w:tcBorders>
              <w:top w:val="single" w:sz="4" w:space="0" w:color="000000"/>
              <w:left w:val="single" w:sz="4" w:space="0" w:color="000000"/>
              <w:bottom w:val="single" w:sz="4" w:space="0" w:color="000000"/>
              <w:right w:val="single" w:sz="4" w:space="0" w:color="000000"/>
            </w:tcBorders>
            <w:shd w:val="clear" w:color="auto" w:fill="FFFFFF"/>
          </w:tcPr>
          <w:p w14:paraId="489686BB" w14:textId="77777777" w:rsidR="00F263A3" w:rsidRDefault="00FE72B3">
            <w:pPr>
              <w:jc w:val="both"/>
              <w:rPr>
                <w:b/>
                <w:color w:val="000000"/>
                <w:sz w:val="27"/>
                <w:szCs w:val="27"/>
              </w:rPr>
            </w:pPr>
            <w:r>
              <w:rPr>
                <w:b/>
                <w:color w:val="000000"/>
                <w:sz w:val="27"/>
                <w:szCs w:val="27"/>
              </w:rPr>
              <w:t>Coupon rate</w:t>
            </w:r>
          </w:p>
        </w:tc>
        <w:tc>
          <w:tcPr>
            <w:tcW w:w="1803" w:type="dxa"/>
            <w:tcBorders>
              <w:top w:val="single" w:sz="4" w:space="0" w:color="000000"/>
              <w:left w:val="single" w:sz="4" w:space="0" w:color="000000"/>
              <w:bottom w:val="single" w:sz="4" w:space="0" w:color="000000"/>
              <w:right w:val="single" w:sz="4" w:space="0" w:color="000000"/>
            </w:tcBorders>
            <w:shd w:val="clear" w:color="auto" w:fill="FFFFFF"/>
          </w:tcPr>
          <w:p w14:paraId="51BB7F9C" w14:textId="77777777" w:rsidR="00F263A3" w:rsidRDefault="00FE72B3">
            <w:pPr>
              <w:jc w:val="both"/>
              <w:rPr>
                <w:b/>
                <w:color w:val="000000"/>
                <w:sz w:val="27"/>
                <w:szCs w:val="27"/>
              </w:rPr>
            </w:pPr>
            <w:r>
              <w:rPr>
                <w:b/>
                <w:color w:val="000000"/>
                <w:sz w:val="27"/>
                <w:szCs w:val="27"/>
              </w:rPr>
              <w:t>5.45%</w:t>
            </w:r>
          </w:p>
        </w:tc>
        <w:tc>
          <w:tcPr>
            <w:tcW w:w="1803" w:type="dxa"/>
            <w:tcBorders>
              <w:top w:val="single" w:sz="4" w:space="0" w:color="000000"/>
              <w:left w:val="single" w:sz="4" w:space="0" w:color="000000"/>
              <w:bottom w:val="single" w:sz="4" w:space="0" w:color="000000"/>
              <w:right w:val="single" w:sz="4" w:space="0" w:color="000000"/>
            </w:tcBorders>
            <w:shd w:val="clear" w:color="auto" w:fill="FFFFFF"/>
          </w:tcPr>
          <w:p w14:paraId="211B6F0C" w14:textId="77777777" w:rsidR="00F263A3" w:rsidRDefault="00FE72B3">
            <w:pPr>
              <w:jc w:val="both"/>
              <w:rPr>
                <w:b/>
                <w:color w:val="000000"/>
                <w:sz w:val="27"/>
                <w:szCs w:val="27"/>
              </w:rPr>
            </w:pPr>
            <w:r>
              <w:rPr>
                <w:b/>
                <w:color w:val="000000"/>
                <w:sz w:val="27"/>
                <w:szCs w:val="27"/>
              </w:rPr>
              <w:t>5%</w:t>
            </w:r>
          </w:p>
        </w:tc>
        <w:tc>
          <w:tcPr>
            <w:tcW w:w="1803" w:type="dxa"/>
            <w:tcBorders>
              <w:top w:val="single" w:sz="4" w:space="0" w:color="000000"/>
              <w:left w:val="single" w:sz="4" w:space="0" w:color="000000"/>
              <w:bottom w:val="single" w:sz="4" w:space="0" w:color="000000"/>
              <w:right w:val="single" w:sz="4" w:space="0" w:color="000000"/>
            </w:tcBorders>
            <w:shd w:val="clear" w:color="auto" w:fill="FFFFFF"/>
          </w:tcPr>
          <w:p w14:paraId="347FDE00" w14:textId="77777777" w:rsidR="00F263A3" w:rsidRDefault="00FE72B3">
            <w:pPr>
              <w:jc w:val="both"/>
              <w:rPr>
                <w:b/>
                <w:color w:val="000000"/>
                <w:sz w:val="27"/>
                <w:szCs w:val="27"/>
              </w:rPr>
            </w:pPr>
            <w:r>
              <w:rPr>
                <w:b/>
                <w:color w:val="000000"/>
                <w:sz w:val="27"/>
                <w:szCs w:val="27"/>
              </w:rPr>
              <w:t>3.45%</w:t>
            </w:r>
          </w:p>
        </w:tc>
        <w:tc>
          <w:tcPr>
            <w:tcW w:w="1803" w:type="dxa"/>
            <w:tcBorders>
              <w:top w:val="single" w:sz="4" w:space="0" w:color="000000"/>
              <w:left w:val="single" w:sz="4" w:space="0" w:color="000000"/>
              <w:bottom w:val="single" w:sz="4" w:space="0" w:color="000000"/>
              <w:right w:val="single" w:sz="4" w:space="0" w:color="000000"/>
            </w:tcBorders>
            <w:shd w:val="clear" w:color="auto" w:fill="FFFFFF"/>
          </w:tcPr>
          <w:p w14:paraId="28747A25" w14:textId="77777777" w:rsidR="00F263A3" w:rsidRDefault="00FE72B3">
            <w:pPr>
              <w:jc w:val="both"/>
              <w:rPr>
                <w:b/>
                <w:color w:val="000000"/>
                <w:sz w:val="27"/>
                <w:szCs w:val="27"/>
              </w:rPr>
            </w:pPr>
            <w:r>
              <w:rPr>
                <w:b/>
                <w:color w:val="000000"/>
                <w:sz w:val="27"/>
                <w:szCs w:val="27"/>
              </w:rPr>
              <w:t>4.2%</w:t>
            </w:r>
          </w:p>
        </w:tc>
      </w:tr>
      <w:tr w:rsidR="00F263A3" w14:paraId="30CAACE3" w14:textId="77777777">
        <w:tc>
          <w:tcPr>
            <w:tcW w:w="1804" w:type="dxa"/>
            <w:tcBorders>
              <w:top w:val="single" w:sz="4" w:space="0" w:color="000000"/>
              <w:left w:val="single" w:sz="4" w:space="0" w:color="000000"/>
              <w:bottom w:val="single" w:sz="4" w:space="0" w:color="000000"/>
              <w:right w:val="single" w:sz="4" w:space="0" w:color="000000"/>
            </w:tcBorders>
            <w:shd w:val="clear" w:color="auto" w:fill="FFFFFF"/>
          </w:tcPr>
          <w:p w14:paraId="733037FD" w14:textId="77777777" w:rsidR="00F263A3" w:rsidRDefault="00FE72B3">
            <w:pPr>
              <w:jc w:val="both"/>
              <w:rPr>
                <w:b/>
                <w:color w:val="000000"/>
                <w:sz w:val="27"/>
                <w:szCs w:val="27"/>
              </w:rPr>
            </w:pPr>
            <w:r>
              <w:rPr>
                <w:b/>
                <w:color w:val="000000"/>
                <w:sz w:val="27"/>
                <w:szCs w:val="27"/>
              </w:rPr>
              <w:t>Current price</w:t>
            </w:r>
          </w:p>
        </w:tc>
        <w:tc>
          <w:tcPr>
            <w:tcW w:w="1803" w:type="dxa"/>
            <w:tcBorders>
              <w:top w:val="single" w:sz="4" w:space="0" w:color="000000"/>
              <w:left w:val="single" w:sz="4" w:space="0" w:color="000000"/>
              <w:bottom w:val="single" w:sz="4" w:space="0" w:color="000000"/>
              <w:right w:val="single" w:sz="4" w:space="0" w:color="000000"/>
            </w:tcBorders>
            <w:shd w:val="clear" w:color="auto" w:fill="FFFFFF"/>
          </w:tcPr>
          <w:p w14:paraId="1BE0E364" w14:textId="77777777" w:rsidR="00F263A3" w:rsidRDefault="00FE72B3">
            <w:pPr>
              <w:jc w:val="both"/>
              <w:rPr>
                <w:b/>
                <w:color w:val="000000"/>
                <w:sz w:val="27"/>
                <w:szCs w:val="27"/>
              </w:rPr>
            </w:pPr>
            <w:r>
              <w:rPr>
                <w:b/>
                <w:color w:val="000000"/>
                <w:sz w:val="27"/>
                <w:szCs w:val="27"/>
              </w:rPr>
              <w:t>101.43</w:t>
            </w:r>
          </w:p>
        </w:tc>
        <w:tc>
          <w:tcPr>
            <w:tcW w:w="1803" w:type="dxa"/>
            <w:tcBorders>
              <w:top w:val="single" w:sz="4" w:space="0" w:color="000000"/>
              <w:left w:val="single" w:sz="4" w:space="0" w:color="000000"/>
              <w:bottom w:val="single" w:sz="4" w:space="0" w:color="000000"/>
              <w:right w:val="single" w:sz="4" w:space="0" w:color="000000"/>
            </w:tcBorders>
            <w:shd w:val="clear" w:color="auto" w:fill="FFFFFF"/>
          </w:tcPr>
          <w:p w14:paraId="1D803E2F" w14:textId="77777777" w:rsidR="00F263A3" w:rsidRDefault="00FE72B3">
            <w:pPr>
              <w:jc w:val="both"/>
              <w:rPr>
                <w:b/>
                <w:color w:val="000000"/>
                <w:sz w:val="27"/>
                <w:szCs w:val="27"/>
              </w:rPr>
            </w:pPr>
            <w:r>
              <w:rPr>
                <w:b/>
                <w:color w:val="000000"/>
                <w:sz w:val="27"/>
                <w:szCs w:val="27"/>
              </w:rPr>
              <w:t>100.78</w:t>
            </w:r>
          </w:p>
        </w:tc>
        <w:tc>
          <w:tcPr>
            <w:tcW w:w="1803" w:type="dxa"/>
            <w:tcBorders>
              <w:top w:val="single" w:sz="4" w:space="0" w:color="000000"/>
              <w:left w:val="single" w:sz="4" w:space="0" w:color="000000"/>
              <w:bottom w:val="single" w:sz="4" w:space="0" w:color="000000"/>
              <w:right w:val="single" w:sz="4" w:space="0" w:color="000000"/>
            </w:tcBorders>
            <w:shd w:val="clear" w:color="auto" w:fill="FFFFFF"/>
          </w:tcPr>
          <w:p w14:paraId="5BDE5628" w14:textId="77777777" w:rsidR="00F263A3" w:rsidRDefault="00FE72B3">
            <w:pPr>
              <w:jc w:val="both"/>
              <w:rPr>
                <w:b/>
                <w:color w:val="000000"/>
                <w:sz w:val="27"/>
                <w:szCs w:val="27"/>
              </w:rPr>
            </w:pPr>
            <w:r>
              <w:rPr>
                <w:b/>
                <w:color w:val="000000"/>
                <w:sz w:val="27"/>
                <w:szCs w:val="27"/>
              </w:rPr>
              <w:t>94.58</w:t>
            </w:r>
          </w:p>
        </w:tc>
        <w:tc>
          <w:tcPr>
            <w:tcW w:w="1803" w:type="dxa"/>
            <w:tcBorders>
              <w:top w:val="single" w:sz="4" w:space="0" w:color="000000"/>
              <w:left w:val="single" w:sz="4" w:space="0" w:color="000000"/>
              <w:bottom w:val="single" w:sz="4" w:space="0" w:color="000000"/>
              <w:right w:val="single" w:sz="4" w:space="0" w:color="000000"/>
            </w:tcBorders>
            <w:shd w:val="clear" w:color="auto" w:fill="FFFFFF"/>
          </w:tcPr>
          <w:p w14:paraId="7B9C2880" w14:textId="77777777" w:rsidR="00F263A3" w:rsidRDefault="00FE72B3">
            <w:pPr>
              <w:jc w:val="both"/>
              <w:rPr>
                <w:b/>
                <w:color w:val="000000"/>
                <w:sz w:val="27"/>
                <w:szCs w:val="27"/>
              </w:rPr>
            </w:pPr>
            <w:r>
              <w:rPr>
                <w:b/>
                <w:color w:val="000000"/>
                <w:sz w:val="27"/>
                <w:szCs w:val="27"/>
              </w:rPr>
              <w:t>85.4</w:t>
            </w:r>
          </w:p>
        </w:tc>
      </w:tr>
      <w:tr w:rsidR="00F263A3" w14:paraId="03F6CB98" w14:textId="77777777">
        <w:tc>
          <w:tcPr>
            <w:tcW w:w="1804" w:type="dxa"/>
            <w:tcBorders>
              <w:top w:val="single" w:sz="4" w:space="0" w:color="000000"/>
              <w:left w:val="single" w:sz="4" w:space="0" w:color="000000"/>
              <w:bottom w:val="single" w:sz="4" w:space="0" w:color="000000"/>
              <w:right w:val="single" w:sz="4" w:space="0" w:color="000000"/>
            </w:tcBorders>
            <w:shd w:val="clear" w:color="auto" w:fill="FFFFFF"/>
          </w:tcPr>
          <w:p w14:paraId="6A575A00" w14:textId="77777777" w:rsidR="00F263A3" w:rsidRDefault="00FE72B3">
            <w:pPr>
              <w:jc w:val="both"/>
              <w:rPr>
                <w:b/>
                <w:color w:val="000000"/>
                <w:sz w:val="27"/>
                <w:szCs w:val="27"/>
              </w:rPr>
            </w:pPr>
            <w:r>
              <w:rPr>
                <w:b/>
                <w:color w:val="000000"/>
                <w:sz w:val="27"/>
                <w:szCs w:val="27"/>
              </w:rPr>
              <w:t>Call Price</w:t>
            </w:r>
          </w:p>
        </w:tc>
        <w:tc>
          <w:tcPr>
            <w:tcW w:w="1803" w:type="dxa"/>
            <w:tcBorders>
              <w:top w:val="single" w:sz="4" w:space="0" w:color="000000"/>
              <w:left w:val="single" w:sz="4" w:space="0" w:color="000000"/>
              <w:bottom w:val="single" w:sz="4" w:space="0" w:color="000000"/>
              <w:right w:val="single" w:sz="4" w:space="0" w:color="000000"/>
            </w:tcBorders>
            <w:shd w:val="clear" w:color="auto" w:fill="FFFFFF"/>
          </w:tcPr>
          <w:p w14:paraId="3424B487" w14:textId="77777777" w:rsidR="00F263A3" w:rsidRDefault="00FE72B3">
            <w:pPr>
              <w:jc w:val="both"/>
              <w:rPr>
                <w:b/>
                <w:color w:val="000000"/>
                <w:sz w:val="27"/>
                <w:szCs w:val="27"/>
              </w:rPr>
            </w:pPr>
            <w:r>
              <w:rPr>
                <w:b/>
                <w:color w:val="000000"/>
                <w:sz w:val="27"/>
                <w:szCs w:val="27"/>
              </w:rPr>
              <w:t>100</w:t>
            </w:r>
          </w:p>
        </w:tc>
        <w:tc>
          <w:tcPr>
            <w:tcW w:w="1803" w:type="dxa"/>
            <w:tcBorders>
              <w:top w:val="single" w:sz="4" w:space="0" w:color="000000"/>
              <w:left w:val="single" w:sz="4" w:space="0" w:color="000000"/>
              <w:bottom w:val="single" w:sz="4" w:space="0" w:color="000000"/>
              <w:right w:val="single" w:sz="4" w:space="0" w:color="000000"/>
            </w:tcBorders>
            <w:shd w:val="clear" w:color="auto" w:fill="FFFFFF"/>
          </w:tcPr>
          <w:p w14:paraId="7F2E628D" w14:textId="77777777" w:rsidR="00F263A3" w:rsidRDefault="00FE72B3">
            <w:pPr>
              <w:jc w:val="both"/>
              <w:rPr>
                <w:b/>
                <w:color w:val="000000"/>
                <w:sz w:val="27"/>
                <w:szCs w:val="27"/>
              </w:rPr>
            </w:pPr>
            <w:r>
              <w:rPr>
                <w:b/>
                <w:color w:val="000000"/>
                <w:sz w:val="27"/>
                <w:szCs w:val="27"/>
              </w:rPr>
              <w:t>100</w:t>
            </w:r>
          </w:p>
        </w:tc>
        <w:tc>
          <w:tcPr>
            <w:tcW w:w="1803" w:type="dxa"/>
            <w:tcBorders>
              <w:top w:val="single" w:sz="4" w:space="0" w:color="000000"/>
              <w:left w:val="single" w:sz="4" w:space="0" w:color="000000"/>
              <w:bottom w:val="single" w:sz="4" w:space="0" w:color="000000"/>
              <w:right w:val="single" w:sz="4" w:space="0" w:color="000000"/>
            </w:tcBorders>
            <w:shd w:val="clear" w:color="auto" w:fill="FFFFFF"/>
          </w:tcPr>
          <w:p w14:paraId="3187AE50" w14:textId="77777777" w:rsidR="00F263A3" w:rsidRDefault="00FE72B3">
            <w:pPr>
              <w:jc w:val="both"/>
              <w:rPr>
                <w:b/>
                <w:color w:val="000000"/>
                <w:sz w:val="27"/>
                <w:szCs w:val="27"/>
              </w:rPr>
            </w:pPr>
            <w:r>
              <w:rPr>
                <w:b/>
                <w:color w:val="000000"/>
                <w:sz w:val="27"/>
                <w:szCs w:val="27"/>
              </w:rPr>
              <w:t>100</w:t>
            </w:r>
          </w:p>
        </w:tc>
        <w:tc>
          <w:tcPr>
            <w:tcW w:w="1803" w:type="dxa"/>
            <w:tcBorders>
              <w:top w:val="single" w:sz="4" w:space="0" w:color="000000"/>
              <w:left w:val="single" w:sz="4" w:space="0" w:color="000000"/>
              <w:bottom w:val="single" w:sz="4" w:space="0" w:color="000000"/>
              <w:right w:val="single" w:sz="4" w:space="0" w:color="000000"/>
            </w:tcBorders>
            <w:shd w:val="clear" w:color="auto" w:fill="FFFFFF"/>
          </w:tcPr>
          <w:p w14:paraId="3D370CE7" w14:textId="77777777" w:rsidR="00F263A3" w:rsidRDefault="00FE72B3">
            <w:pPr>
              <w:jc w:val="both"/>
              <w:rPr>
                <w:b/>
                <w:color w:val="000000"/>
                <w:sz w:val="27"/>
                <w:szCs w:val="27"/>
              </w:rPr>
            </w:pPr>
            <w:r>
              <w:rPr>
                <w:b/>
                <w:color w:val="000000"/>
                <w:sz w:val="27"/>
                <w:szCs w:val="27"/>
              </w:rPr>
              <w:t>100</w:t>
            </w:r>
          </w:p>
        </w:tc>
      </w:tr>
      <w:tr w:rsidR="00F263A3" w14:paraId="50AA3170" w14:textId="77777777">
        <w:tc>
          <w:tcPr>
            <w:tcW w:w="1804" w:type="dxa"/>
            <w:tcBorders>
              <w:top w:val="single" w:sz="4" w:space="0" w:color="000000"/>
              <w:left w:val="single" w:sz="4" w:space="0" w:color="000000"/>
              <w:bottom w:val="single" w:sz="4" w:space="0" w:color="000000"/>
              <w:right w:val="single" w:sz="4" w:space="0" w:color="000000"/>
            </w:tcBorders>
            <w:shd w:val="clear" w:color="auto" w:fill="FFFFFF"/>
          </w:tcPr>
          <w:p w14:paraId="2DED393F" w14:textId="77777777" w:rsidR="00F263A3" w:rsidRDefault="00FE72B3">
            <w:pPr>
              <w:rPr>
                <w:b/>
                <w:color w:val="000000"/>
                <w:sz w:val="27"/>
                <w:szCs w:val="27"/>
              </w:rPr>
            </w:pPr>
            <w:r>
              <w:rPr>
                <w:b/>
                <w:color w:val="000000"/>
                <w:sz w:val="27"/>
                <w:szCs w:val="27"/>
              </w:rPr>
              <w:t>Next Call Date</w:t>
            </w:r>
          </w:p>
        </w:tc>
        <w:tc>
          <w:tcPr>
            <w:tcW w:w="1803" w:type="dxa"/>
            <w:tcBorders>
              <w:top w:val="single" w:sz="4" w:space="0" w:color="000000"/>
              <w:left w:val="single" w:sz="4" w:space="0" w:color="000000"/>
              <w:bottom w:val="single" w:sz="4" w:space="0" w:color="000000"/>
              <w:right w:val="single" w:sz="4" w:space="0" w:color="000000"/>
            </w:tcBorders>
            <w:shd w:val="clear" w:color="auto" w:fill="FFFFFF"/>
          </w:tcPr>
          <w:p w14:paraId="00B9F41E" w14:textId="77777777" w:rsidR="00F263A3" w:rsidRDefault="00FE72B3">
            <w:pPr>
              <w:rPr>
                <w:b/>
                <w:color w:val="000000"/>
                <w:sz w:val="27"/>
                <w:szCs w:val="27"/>
              </w:rPr>
            </w:pPr>
            <w:r>
              <w:rPr>
                <w:b/>
                <w:color w:val="000000"/>
                <w:sz w:val="27"/>
                <w:szCs w:val="27"/>
              </w:rPr>
              <w:t>January 01, 2034</w:t>
            </w:r>
          </w:p>
        </w:tc>
        <w:tc>
          <w:tcPr>
            <w:tcW w:w="1803" w:type="dxa"/>
            <w:tcBorders>
              <w:top w:val="single" w:sz="4" w:space="0" w:color="000000"/>
              <w:left w:val="single" w:sz="4" w:space="0" w:color="000000"/>
              <w:bottom w:val="single" w:sz="4" w:space="0" w:color="000000"/>
              <w:right w:val="single" w:sz="4" w:space="0" w:color="000000"/>
            </w:tcBorders>
            <w:shd w:val="clear" w:color="auto" w:fill="FFFFFF"/>
          </w:tcPr>
          <w:p w14:paraId="78D6C849" w14:textId="77777777" w:rsidR="00F263A3" w:rsidRDefault="00FE72B3">
            <w:pPr>
              <w:rPr>
                <w:b/>
                <w:color w:val="000000"/>
                <w:sz w:val="27"/>
                <w:szCs w:val="27"/>
              </w:rPr>
            </w:pPr>
            <w:r>
              <w:rPr>
                <w:b/>
                <w:color w:val="000000"/>
                <w:sz w:val="27"/>
                <w:szCs w:val="27"/>
              </w:rPr>
              <w:t>February 13,2034</w:t>
            </w:r>
          </w:p>
        </w:tc>
        <w:tc>
          <w:tcPr>
            <w:tcW w:w="1803" w:type="dxa"/>
            <w:tcBorders>
              <w:top w:val="single" w:sz="4" w:space="0" w:color="000000"/>
              <w:left w:val="single" w:sz="4" w:space="0" w:color="000000"/>
              <w:bottom w:val="single" w:sz="4" w:space="0" w:color="000000"/>
              <w:right w:val="single" w:sz="4" w:space="0" w:color="000000"/>
            </w:tcBorders>
            <w:shd w:val="clear" w:color="auto" w:fill="FFFFFF"/>
          </w:tcPr>
          <w:p w14:paraId="62CE8ADC" w14:textId="77777777" w:rsidR="00F263A3" w:rsidRDefault="00FE72B3">
            <w:pPr>
              <w:jc w:val="both"/>
              <w:rPr>
                <w:b/>
                <w:color w:val="000000"/>
                <w:sz w:val="27"/>
                <w:szCs w:val="27"/>
              </w:rPr>
            </w:pPr>
            <w:r>
              <w:rPr>
                <w:b/>
                <w:color w:val="000000"/>
                <w:sz w:val="27"/>
                <w:szCs w:val="27"/>
              </w:rPr>
              <w:t>N/A</w:t>
            </w:r>
          </w:p>
        </w:tc>
        <w:tc>
          <w:tcPr>
            <w:tcW w:w="1803" w:type="dxa"/>
            <w:tcBorders>
              <w:top w:val="single" w:sz="4" w:space="0" w:color="000000"/>
              <w:left w:val="single" w:sz="4" w:space="0" w:color="000000"/>
              <w:bottom w:val="single" w:sz="4" w:space="0" w:color="000000"/>
              <w:right w:val="single" w:sz="4" w:space="0" w:color="000000"/>
            </w:tcBorders>
            <w:shd w:val="clear" w:color="auto" w:fill="FFFFFF"/>
          </w:tcPr>
          <w:p w14:paraId="28B20658" w14:textId="77777777" w:rsidR="00F263A3" w:rsidRDefault="00FE72B3">
            <w:pPr>
              <w:jc w:val="both"/>
              <w:rPr>
                <w:b/>
                <w:color w:val="000000"/>
                <w:sz w:val="27"/>
                <w:szCs w:val="27"/>
              </w:rPr>
            </w:pPr>
            <w:r>
              <w:rPr>
                <w:b/>
                <w:color w:val="000000"/>
                <w:sz w:val="27"/>
                <w:szCs w:val="27"/>
              </w:rPr>
              <w:t>N/A</w:t>
            </w:r>
          </w:p>
        </w:tc>
      </w:tr>
      <w:tr w:rsidR="00F263A3" w14:paraId="6E71ECB2" w14:textId="77777777">
        <w:tc>
          <w:tcPr>
            <w:tcW w:w="1804" w:type="dxa"/>
            <w:tcBorders>
              <w:top w:val="single" w:sz="4" w:space="0" w:color="000000"/>
              <w:left w:val="single" w:sz="4" w:space="0" w:color="000000"/>
              <w:bottom w:val="single" w:sz="4" w:space="0" w:color="000000"/>
              <w:right w:val="single" w:sz="4" w:space="0" w:color="000000"/>
            </w:tcBorders>
            <w:shd w:val="clear" w:color="auto" w:fill="FFFFFF"/>
          </w:tcPr>
          <w:p w14:paraId="2C377CDE" w14:textId="77777777" w:rsidR="00F263A3" w:rsidRDefault="00FE72B3">
            <w:pPr>
              <w:rPr>
                <w:b/>
                <w:color w:val="000000"/>
                <w:sz w:val="27"/>
                <w:szCs w:val="27"/>
              </w:rPr>
            </w:pPr>
            <w:r>
              <w:rPr>
                <w:b/>
                <w:color w:val="000000"/>
                <w:sz w:val="27"/>
                <w:szCs w:val="27"/>
              </w:rPr>
              <w:t>Yield to next call</w:t>
            </w:r>
          </w:p>
        </w:tc>
        <w:tc>
          <w:tcPr>
            <w:tcW w:w="1803" w:type="dxa"/>
            <w:tcBorders>
              <w:top w:val="single" w:sz="4" w:space="0" w:color="000000"/>
              <w:left w:val="single" w:sz="4" w:space="0" w:color="000000"/>
              <w:bottom w:val="single" w:sz="4" w:space="0" w:color="000000"/>
              <w:right w:val="single" w:sz="4" w:space="0" w:color="000000"/>
            </w:tcBorders>
            <w:shd w:val="clear" w:color="auto" w:fill="FFFFFF"/>
          </w:tcPr>
          <w:p w14:paraId="67BE08B1" w14:textId="77777777" w:rsidR="00F263A3" w:rsidRDefault="00FE72B3">
            <w:pPr>
              <w:rPr>
                <w:b/>
                <w:color w:val="000000"/>
                <w:sz w:val="27"/>
                <w:szCs w:val="27"/>
              </w:rPr>
            </w:pPr>
            <w:r>
              <w:rPr>
                <w:b/>
                <w:color w:val="000000"/>
                <w:sz w:val="27"/>
                <w:szCs w:val="27"/>
              </w:rPr>
              <w:t>5.25%</w:t>
            </w:r>
          </w:p>
        </w:tc>
        <w:tc>
          <w:tcPr>
            <w:tcW w:w="1803" w:type="dxa"/>
            <w:tcBorders>
              <w:top w:val="single" w:sz="4" w:space="0" w:color="000000"/>
              <w:left w:val="single" w:sz="4" w:space="0" w:color="000000"/>
              <w:bottom w:val="single" w:sz="4" w:space="0" w:color="000000"/>
              <w:right w:val="single" w:sz="4" w:space="0" w:color="000000"/>
            </w:tcBorders>
            <w:shd w:val="clear" w:color="auto" w:fill="FFFFFF"/>
          </w:tcPr>
          <w:p w14:paraId="0060696A" w14:textId="77777777" w:rsidR="00F263A3" w:rsidRDefault="00FE72B3">
            <w:pPr>
              <w:rPr>
                <w:b/>
                <w:color w:val="000000"/>
                <w:sz w:val="27"/>
                <w:szCs w:val="27"/>
              </w:rPr>
            </w:pPr>
            <w:r>
              <w:rPr>
                <w:b/>
                <w:color w:val="000000"/>
                <w:sz w:val="27"/>
                <w:szCs w:val="27"/>
              </w:rPr>
              <w:t>4.8%</w:t>
            </w:r>
          </w:p>
        </w:tc>
        <w:tc>
          <w:tcPr>
            <w:tcW w:w="1803" w:type="dxa"/>
            <w:tcBorders>
              <w:top w:val="single" w:sz="4" w:space="0" w:color="000000"/>
              <w:left w:val="single" w:sz="4" w:space="0" w:color="000000"/>
              <w:bottom w:val="single" w:sz="4" w:space="0" w:color="000000"/>
              <w:right w:val="single" w:sz="4" w:space="0" w:color="000000"/>
            </w:tcBorders>
            <w:shd w:val="clear" w:color="auto" w:fill="FFFFFF"/>
          </w:tcPr>
          <w:p w14:paraId="0DB8A555" w14:textId="77777777" w:rsidR="00F263A3" w:rsidRDefault="00FE72B3">
            <w:pPr>
              <w:jc w:val="both"/>
              <w:rPr>
                <w:b/>
                <w:color w:val="000000"/>
                <w:sz w:val="27"/>
                <w:szCs w:val="27"/>
              </w:rPr>
            </w:pPr>
            <w:r>
              <w:rPr>
                <w:b/>
                <w:color w:val="000000"/>
                <w:sz w:val="27"/>
                <w:szCs w:val="27"/>
              </w:rPr>
              <w:t>N/A</w:t>
            </w:r>
          </w:p>
        </w:tc>
        <w:tc>
          <w:tcPr>
            <w:tcW w:w="1803" w:type="dxa"/>
            <w:tcBorders>
              <w:top w:val="single" w:sz="4" w:space="0" w:color="000000"/>
              <w:left w:val="single" w:sz="4" w:space="0" w:color="000000"/>
              <w:bottom w:val="single" w:sz="4" w:space="0" w:color="000000"/>
              <w:right w:val="single" w:sz="4" w:space="0" w:color="000000"/>
            </w:tcBorders>
            <w:shd w:val="clear" w:color="auto" w:fill="FFFFFF"/>
          </w:tcPr>
          <w:p w14:paraId="7FAB6C97" w14:textId="77777777" w:rsidR="00F263A3" w:rsidRDefault="00FE72B3">
            <w:pPr>
              <w:jc w:val="both"/>
              <w:rPr>
                <w:b/>
                <w:color w:val="000000"/>
                <w:sz w:val="27"/>
                <w:szCs w:val="27"/>
              </w:rPr>
            </w:pPr>
            <w:r>
              <w:rPr>
                <w:b/>
                <w:color w:val="000000"/>
                <w:sz w:val="27"/>
                <w:szCs w:val="27"/>
              </w:rPr>
              <w:t>N/A</w:t>
            </w:r>
          </w:p>
        </w:tc>
      </w:tr>
    </w:tbl>
    <w:p w14:paraId="23926738" w14:textId="77777777" w:rsidR="00F263A3" w:rsidRDefault="00F263A3">
      <w:pPr>
        <w:jc w:val="both"/>
        <w:rPr>
          <w:b/>
          <w:sz w:val="27"/>
          <w:szCs w:val="27"/>
        </w:rPr>
      </w:pPr>
    </w:p>
    <w:p w14:paraId="428EA13E" w14:textId="77777777" w:rsidR="00F263A3" w:rsidRDefault="00F263A3">
      <w:pPr>
        <w:jc w:val="both"/>
        <w:rPr>
          <w:b/>
          <w:sz w:val="27"/>
          <w:szCs w:val="27"/>
        </w:rPr>
      </w:pPr>
    </w:p>
    <w:p w14:paraId="74CC8F74" w14:textId="77777777" w:rsidR="00F263A3" w:rsidRDefault="00FE72B3">
      <w:pPr>
        <w:jc w:val="both"/>
        <w:rPr>
          <w:b/>
          <w:sz w:val="27"/>
          <w:szCs w:val="27"/>
        </w:rPr>
      </w:pPr>
      <w:r>
        <w:rPr>
          <w:b/>
          <w:sz w:val="27"/>
          <w:szCs w:val="27"/>
        </w:rPr>
        <w:t>Bond A:</w:t>
      </w:r>
    </w:p>
    <w:p w14:paraId="66A83D5D" w14:textId="77777777" w:rsidR="00F263A3" w:rsidRDefault="00FE72B3">
      <w:pPr>
        <w:jc w:val="both"/>
        <w:rPr>
          <w:sz w:val="27"/>
          <w:szCs w:val="27"/>
        </w:rPr>
      </w:pPr>
      <w:r>
        <w:rPr>
          <w:sz w:val="27"/>
          <w:szCs w:val="27"/>
        </w:rPr>
        <w:t>YTC: 5.25%</w:t>
      </w:r>
    </w:p>
    <w:p w14:paraId="5F470C19" w14:textId="77777777" w:rsidR="00F263A3" w:rsidRDefault="00FE72B3">
      <w:pPr>
        <w:jc w:val="both"/>
        <w:rPr>
          <w:sz w:val="27"/>
          <w:szCs w:val="27"/>
        </w:rPr>
      </w:pPr>
      <w:r>
        <w:rPr>
          <w:sz w:val="27"/>
          <w:szCs w:val="27"/>
        </w:rPr>
        <w:t>YTM: Not explicitly stated but assumed to be slightly lower based on typical yield calculations.</w:t>
      </w:r>
    </w:p>
    <w:p w14:paraId="43A809D3" w14:textId="77777777" w:rsidR="00F263A3" w:rsidRDefault="00FE72B3">
      <w:pPr>
        <w:jc w:val="both"/>
        <w:rPr>
          <w:sz w:val="27"/>
          <w:szCs w:val="27"/>
        </w:rPr>
      </w:pPr>
      <w:r>
        <w:rPr>
          <w:sz w:val="27"/>
          <w:szCs w:val="27"/>
        </w:rPr>
        <w:t>YTW: 5.25% (as YTC is explicitly given and is lower than YTM).</w:t>
      </w:r>
    </w:p>
    <w:p w14:paraId="65A45218" w14:textId="77777777" w:rsidR="00FE72B3" w:rsidRDefault="00FE72B3">
      <w:pPr>
        <w:jc w:val="both"/>
        <w:rPr>
          <w:b/>
          <w:sz w:val="27"/>
          <w:szCs w:val="27"/>
        </w:rPr>
      </w:pPr>
    </w:p>
    <w:p w14:paraId="2E56A2F5" w14:textId="77777777" w:rsidR="00FE72B3" w:rsidRDefault="00FE72B3">
      <w:pPr>
        <w:jc w:val="both"/>
        <w:rPr>
          <w:b/>
          <w:sz w:val="27"/>
          <w:szCs w:val="27"/>
        </w:rPr>
      </w:pPr>
    </w:p>
    <w:p w14:paraId="208DCF54" w14:textId="6BEE4193" w:rsidR="00F263A3" w:rsidRDefault="00FE72B3">
      <w:pPr>
        <w:jc w:val="both"/>
        <w:rPr>
          <w:b/>
          <w:sz w:val="27"/>
          <w:szCs w:val="27"/>
        </w:rPr>
      </w:pPr>
      <w:r>
        <w:rPr>
          <w:b/>
          <w:sz w:val="27"/>
          <w:szCs w:val="27"/>
        </w:rPr>
        <w:lastRenderedPageBreak/>
        <w:t>Bond B:</w:t>
      </w:r>
    </w:p>
    <w:p w14:paraId="7B577DAA" w14:textId="77777777" w:rsidR="00F263A3" w:rsidRDefault="00FE72B3">
      <w:pPr>
        <w:jc w:val="both"/>
        <w:rPr>
          <w:sz w:val="27"/>
          <w:szCs w:val="27"/>
        </w:rPr>
      </w:pPr>
      <w:r>
        <w:rPr>
          <w:sz w:val="27"/>
          <w:szCs w:val="27"/>
        </w:rPr>
        <w:t>YTC: 4.8%</w:t>
      </w:r>
    </w:p>
    <w:p w14:paraId="667CCCC8" w14:textId="77777777" w:rsidR="00F263A3" w:rsidRDefault="00FE72B3">
      <w:pPr>
        <w:jc w:val="both"/>
        <w:rPr>
          <w:sz w:val="27"/>
          <w:szCs w:val="27"/>
        </w:rPr>
      </w:pPr>
      <w:r>
        <w:rPr>
          <w:sz w:val="27"/>
          <w:szCs w:val="27"/>
        </w:rPr>
        <w:t>YTM: Also not provided in this table but assumed close to YTC or higher.</w:t>
      </w:r>
    </w:p>
    <w:p w14:paraId="5CC8EF65" w14:textId="77777777" w:rsidR="00F263A3" w:rsidRDefault="00FE72B3">
      <w:pPr>
        <w:jc w:val="both"/>
        <w:rPr>
          <w:sz w:val="27"/>
          <w:szCs w:val="27"/>
        </w:rPr>
      </w:pPr>
      <w:r>
        <w:rPr>
          <w:sz w:val="27"/>
          <w:szCs w:val="27"/>
        </w:rPr>
        <w:t>YTW: 4.8% (as YTC is explicitly lower).</w:t>
      </w:r>
    </w:p>
    <w:p w14:paraId="2394CE42" w14:textId="77777777" w:rsidR="00F263A3" w:rsidRDefault="00FE72B3">
      <w:pPr>
        <w:jc w:val="both"/>
        <w:rPr>
          <w:b/>
          <w:sz w:val="27"/>
          <w:szCs w:val="27"/>
        </w:rPr>
      </w:pPr>
      <w:r>
        <w:rPr>
          <w:b/>
          <w:sz w:val="27"/>
          <w:szCs w:val="27"/>
        </w:rPr>
        <w:t>Bond C:</w:t>
      </w:r>
    </w:p>
    <w:p w14:paraId="1EB98847" w14:textId="77777777" w:rsidR="00F263A3" w:rsidRDefault="00FE72B3">
      <w:pPr>
        <w:jc w:val="both"/>
        <w:rPr>
          <w:sz w:val="27"/>
          <w:szCs w:val="27"/>
        </w:rPr>
      </w:pPr>
      <w:r>
        <w:rPr>
          <w:sz w:val="27"/>
          <w:szCs w:val="27"/>
        </w:rPr>
        <w:t xml:space="preserve">YTC: </w:t>
      </w:r>
      <w:r>
        <w:rPr>
          <w:b/>
          <w:sz w:val="27"/>
          <w:szCs w:val="27"/>
        </w:rPr>
        <w:t>N/A (Not callable).</w:t>
      </w:r>
    </w:p>
    <w:p w14:paraId="4EADDE83" w14:textId="77777777" w:rsidR="00F263A3" w:rsidRDefault="00FE72B3">
      <w:pPr>
        <w:jc w:val="both"/>
        <w:rPr>
          <w:sz w:val="27"/>
          <w:szCs w:val="27"/>
        </w:rPr>
      </w:pPr>
      <w:r>
        <w:rPr>
          <w:sz w:val="27"/>
          <w:szCs w:val="27"/>
        </w:rPr>
        <w:t>YTM: This is the only available yield, so YTW = YTM.</w:t>
      </w:r>
    </w:p>
    <w:p w14:paraId="7F3E35CE" w14:textId="77777777" w:rsidR="00F263A3" w:rsidRDefault="00FE72B3">
      <w:pPr>
        <w:jc w:val="both"/>
        <w:rPr>
          <w:b/>
          <w:sz w:val="27"/>
          <w:szCs w:val="27"/>
        </w:rPr>
      </w:pPr>
      <w:r>
        <w:rPr>
          <w:b/>
          <w:sz w:val="27"/>
          <w:szCs w:val="27"/>
        </w:rPr>
        <w:t>Bond D:</w:t>
      </w:r>
    </w:p>
    <w:p w14:paraId="10A32776" w14:textId="77777777" w:rsidR="00F263A3" w:rsidRDefault="00FE72B3">
      <w:pPr>
        <w:jc w:val="both"/>
        <w:rPr>
          <w:sz w:val="27"/>
          <w:szCs w:val="27"/>
        </w:rPr>
      </w:pPr>
      <w:r>
        <w:rPr>
          <w:sz w:val="27"/>
          <w:szCs w:val="27"/>
        </w:rPr>
        <w:t xml:space="preserve">YTC: </w:t>
      </w:r>
      <w:r>
        <w:rPr>
          <w:b/>
          <w:sz w:val="27"/>
          <w:szCs w:val="27"/>
        </w:rPr>
        <w:t>N/A (Not callable).</w:t>
      </w:r>
    </w:p>
    <w:p w14:paraId="5E2D84A6" w14:textId="77777777" w:rsidR="00F263A3" w:rsidRDefault="00FE72B3">
      <w:pPr>
        <w:jc w:val="both"/>
        <w:rPr>
          <w:sz w:val="27"/>
          <w:szCs w:val="27"/>
        </w:rPr>
      </w:pPr>
      <w:r>
        <w:rPr>
          <w:sz w:val="27"/>
          <w:szCs w:val="27"/>
        </w:rPr>
        <w:t>YTM: Only yield available, so YTW = YTM.</w:t>
      </w:r>
    </w:p>
    <w:p w14:paraId="1346C9A5" w14:textId="77777777" w:rsidR="00F263A3" w:rsidRDefault="00FE72B3">
      <w:pPr>
        <w:spacing w:before="280" w:after="280"/>
        <w:jc w:val="both"/>
        <w:rPr>
          <w:b/>
          <w:sz w:val="27"/>
          <w:szCs w:val="27"/>
        </w:rPr>
      </w:pPr>
      <w:r>
        <w:rPr>
          <w:b/>
          <w:sz w:val="27"/>
          <w:szCs w:val="27"/>
        </w:rPr>
        <w:t>Yield To Maturity:</w:t>
      </w:r>
    </w:p>
    <w:tbl>
      <w:tblPr>
        <w:tblStyle w:val="a6"/>
        <w:tblW w:w="7513"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ayout w:type="fixed"/>
        <w:tblLook w:val="0400" w:firstRow="0" w:lastRow="0" w:firstColumn="0" w:lastColumn="0" w:noHBand="0" w:noVBand="1"/>
      </w:tblPr>
      <w:tblGrid>
        <w:gridCol w:w="1502"/>
        <w:gridCol w:w="1502"/>
        <w:gridCol w:w="1503"/>
        <w:gridCol w:w="1503"/>
        <w:gridCol w:w="1503"/>
      </w:tblGrid>
      <w:tr w:rsidR="00F263A3" w14:paraId="63365249" w14:textId="77777777">
        <w:tc>
          <w:tcPr>
            <w:tcW w:w="1502" w:type="dxa"/>
            <w:shd w:val="clear" w:color="auto" w:fill="FFFFFF"/>
          </w:tcPr>
          <w:p w14:paraId="1DB283A7" w14:textId="77777777" w:rsidR="00F263A3" w:rsidRDefault="00F263A3">
            <w:pPr>
              <w:jc w:val="both"/>
              <w:rPr>
                <w:b/>
                <w:color w:val="000000"/>
                <w:sz w:val="27"/>
                <w:szCs w:val="27"/>
              </w:rPr>
            </w:pPr>
          </w:p>
        </w:tc>
        <w:tc>
          <w:tcPr>
            <w:tcW w:w="1502" w:type="dxa"/>
            <w:shd w:val="clear" w:color="auto" w:fill="FFFFFF"/>
          </w:tcPr>
          <w:p w14:paraId="647166CC" w14:textId="77777777" w:rsidR="00F263A3" w:rsidRDefault="00FE72B3">
            <w:pPr>
              <w:jc w:val="both"/>
              <w:rPr>
                <w:b/>
                <w:color w:val="000000"/>
                <w:sz w:val="27"/>
                <w:szCs w:val="27"/>
              </w:rPr>
            </w:pPr>
            <w:r>
              <w:rPr>
                <w:b/>
                <w:color w:val="000000"/>
                <w:sz w:val="27"/>
                <w:szCs w:val="27"/>
              </w:rPr>
              <w:t>Bond A</w:t>
            </w:r>
          </w:p>
        </w:tc>
        <w:tc>
          <w:tcPr>
            <w:tcW w:w="1503" w:type="dxa"/>
            <w:shd w:val="clear" w:color="auto" w:fill="FFFFFF"/>
          </w:tcPr>
          <w:p w14:paraId="6D8184BC" w14:textId="77777777" w:rsidR="00F263A3" w:rsidRDefault="00FE72B3">
            <w:pPr>
              <w:jc w:val="both"/>
              <w:rPr>
                <w:b/>
                <w:color w:val="000000"/>
                <w:sz w:val="27"/>
                <w:szCs w:val="27"/>
              </w:rPr>
            </w:pPr>
            <w:r>
              <w:rPr>
                <w:b/>
                <w:color w:val="000000"/>
                <w:sz w:val="27"/>
                <w:szCs w:val="27"/>
              </w:rPr>
              <w:t>Bond B</w:t>
            </w:r>
          </w:p>
        </w:tc>
        <w:tc>
          <w:tcPr>
            <w:tcW w:w="1503" w:type="dxa"/>
            <w:shd w:val="clear" w:color="auto" w:fill="FFFFFF"/>
          </w:tcPr>
          <w:p w14:paraId="1CCE1E54" w14:textId="77777777" w:rsidR="00F263A3" w:rsidRDefault="00FE72B3">
            <w:pPr>
              <w:jc w:val="both"/>
              <w:rPr>
                <w:b/>
                <w:color w:val="000000"/>
                <w:sz w:val="27"/>
                <w:szCs w:val="27"/>
              </w:rPr>
            </w:pPr>
            <w:r>
              <w:rPr>
                <w:b/>
                <w:color w:val="000000"/>
                <w:sz w:val="27"/>
                <w:szCs w:val="27"/>
              </w:rPr>
              <w:t>Bond C</w:t>
            </w:r>
          </w:p>
        </w:tc>
        <w:tc>
          <w:tcPr>
            <w:tcW w:w="1503" w:type="dxa"/>
            <w:shd w:val="clear" w:color="auto" w:fill="FFFFFF"/>
          </w:tcPr>
          <w:p w14:paraId="2A6E4413" w14:textId="77777777" w:rsidR="00F263A3" w:rsidRDefault="00FE72B3">
            <w:pPr>
              <w:jc w:val="both"/>
              <w:rPr>
                <w:b/>
                <w:color w:val="000000"/>
                <w:sz w:val="27"/>
                <w:szCs w:val="27"/>
              </w:rPr>
            </w:pPr>
            <w:r>
              <w:rPr>
                <w:b/>
                <w:color w:val="000000"/>
                <w:sz w:val="27"/>
                <w:szCs w:val="27"/>
              </w:rPr>
              <w:t>Bond D</w:t>
            </w:r>
          </w:p>
        </w:tc>
      </w:tr>
      <w:tr w:rsidR="00F263A3" w14:paraId="0866B4DC" w14:textId="77777777">
        <w:tc>
          <w:tcPr>
            <w:tcW w:w="1502" w:type="dxa"/>
            <w:shd w:val="clear" w:color="auto" w:fill="FFFFFF"/>
          </w:tcPr>
          <w:p w14:paraId="35FF9C01" w14:textId="77777777" w:rsidR="00F263A3" w:rsidRDefault="00FE72B3">
            <w:pPr>
              <w:jc w:val="both"/>
              <w:rPr>
                <w:b/>
                <w:color w:val="000000"/>
                <w:sz w:val="27"/>
                <w:szCs w:val="27"/>
              </w:rPr>
            </w:pPr>
            <w:r>
              <w:rPr>
                <w:b/>
                <w:color w:val="000000"/>
                <w:sz w:val="27"/>
                <w:szCs w:val="27"/>
              </w:rPr>
              <w:t>Coupon Rate</w:t>
            </w:r>
          </w:p>
        </w:tc>
        <w:tc>
          <w:tcPr>
            <w:tcW w:w="1502" w:type="dxa"/>
            <w:shd w:val="clear" w:color="auto" w:fill="FFFFFF"/>
          </w:tcPr>
          <w:p w14:paraId="2A1091E7" w14:textId="77777777" w:rsidR="00F263A3" w:rsidRDefault="00FE72B3">
            <w:pPr>
              <w:jc w:val="both"/>
              <w:rPr>
                <w:b/>
                <w:color w:val="000000"/>
                <w:sz w:val="27"/>
                <w:szCs w:val="27"/>
              </w:rPr>
            </w:pPr>
            <w:r>
              <w:rPr>
                <w:b/>
                <w:color w:val="000000"/>
                <w:sz w:val="27"/>
                <w:szCs w:val="27"/>
              </w:rPr>
              <w:t>5.45%</w:t>
            </w:r>
          </w:p>
        </w:tc>
        <w:tc>
          <w:tcPr>
            <w:tcW w:w="1503" w:type="dxa"/>
            <w:shd w:val="clear" w:color="auto" w:fill="FFFFFF"/>
          </w:tcPr>
          <w:p w14:paraId="58BA25F4" w14:textId="77777777" w:rsidR="00F263A3" w:rsidRDefault="00FE72B3">
            <w:pPr>
              <w:jc w:val="both"/>
              <w:rPr>
                <w:b/>
                <w:color w:val="000000"/>
                <w:sz w:val="27"/>
                <w:szCs w:val="27"/>
              </w:rPr>
            </w:pPr>
            <w:r>
              <w:rPr>
                <w:b/>
                <w:color w:val="000000"/>
                <w:sz w:val="27"/>
                <w:szCs w:val="27"/>
              </w:rPr>
              <w:t>5%</w:t>
            </w:r>
          </w:p>
          <w:p w14:paraId="784EF613" w14:textId="77777777" w:rsidR="00F263A3" w:rsidRDefault="00F263A3">
            <w:pPr>
              <w:jc w:val="both"/>
              <w:rPr>
                <w:b/>
                <w:color w:val="000000"/>
                <w:sz w:val="27"/>
                <w:szCs w:val="27"/>
              </w:rPr>
            </w:pPr>
          </w:p>
        </w:tc>
        <w:tc>
          <w:tcPr>
            <w:tcW w:w="1503" w:type="dxa"/>
            <w:shd w:val="clear" w:color="auto" w:fill="FFFFFF"/>
          </w:tcPr>
          <w:p w14:paraId="08434173" w14:textId="77777777" w:rsidR="00F263A3" w:rsidRDefault="00FE72B3">
            <w:pPr>
              <w:jc w:val="both"/>
              <w:rPr>
                <w:b/>
                <w:color w:val="000000"/>
                <w:sz w:val="27"/>
                <w:szCs w:val="27"/>
              </w:rPr>
            </w:pPr>
            <w:r>
              <w:rPr>
                <w:b/>
                <w:color w:val="000000"/>
                <w:sz w:val="27"/>
                <w:szCs w:val="27"/>
              </w:rPr>
              <w:t>3.45%</w:t>
            </w:r>
          </w:p>
        </w:tc>
        <w:tc>
          <w:tcPr>
            <w:tcW w:w="1503" w:type="dxa"/>
            <w:shd w:val="clear" w:color="auto" w:fill="FFFFFF"/>
          </w:tcPr>
          <w:p w14:paraId="173286B6" w14:textId="77777777" w:rsidR="00F263A3" w:rsidRDefault="00FE72B3">
            <w:pPr>
              <w:jc w:val="both"/>
              <w:rPr>
                <w:b/>
                <w:color w:val="000000"/>
                <w:sz w:val="27"/>
                <w:szCs w:val="27"/>
              </w:rPr>
            </w:pPr>
            <w:r>
              <w:rPr>
                <w:b/>
                <w:color w:val="000000"/>
                <w:sz w:val="27"/>
                <w:szCs w:val="27"/>
              </w:rPr>
              <w:t>4.2%</w:t>
            </w:r>
          </w:p>
        </w:tc>
      </w:tr>
      <w:tr w:rsidR="00F263A3" w14:paraId="1F9C2B52" w14:textId="77777777">
        <w:tc>
          <w:tcPr>
            <w:tcW w:w="1502" w:type="dxa"/>
            <w:shd w:val="clear" w:color="auto" w:fill="FFFFFF"/>
          </w:tcPr>
          <w:p w14:paraId="67350CFF" w14:textId="77777777" w:rsidR="00F263A3" w:rsidRDefault="00FE72B3">
            <w:pPr>
              <w:jc w:val="both"/>
              <w:rPr>
                <w:b/>
                <w:color w:val="000000"/>
                <w:sz w:val="27"/>
                <w:szCs w:val="27"/>
              </w:rPr>
            </w:pPr>
            <w:r>
              <w:rPr>
                <w:b/>
                <w:color w:val="000000"/>
                <w:sz w:val="27"/>
                <w:szCs w:val="27"/>
              </w:rPr>
              <w:t>Current Price</w:t>
            </w:r>
          </w:p>
        </w:tc>
        <w:tc>
          <w:tcPr>
            <w:tcW w:w="1502" w:type="dxa"/>
            <w:shd w:val="clear" w:color="auto" w:fill="FFFFFF"/>
          </w:tcPr>
          <w:p w14:paraId="794091DD" w14:textId="77777777" w:rsidR="00F263A3" w:rsidRDefault="00FE72B3">
            <w:pPr>
              <w:jc w:val="both"/>
              <w:rPr>
                <w:b/>
                <w:color w:val="000000"/>
                <w:sz w:val="27"/>
                <w:szCs w:val="27"/>
              </w:rPr>
            </w:pPr>
            <w:r>
              <w:rPr>
                <w:b/>
                <w:color w:val="000000"/>
                <w:sz w:val="27"/>
                <w:szCs w:val="27"/>
              </w:rPr>
              <w:t>101.43</w:t>
            </w:r>
          </w:p>
        </w:tc>
        <w:tc>
          <w:tcPr>
            <w:tcW w:w="1503" w:type="dxa"/>
            <w:shd w:val="clear" w:color="auto" w:fill="FFFFFF"/>
          </w:tcPr>
          <w:p w14:paraId="3D28B576" w14:textId="77777777" w:rsidR="00F263A3" w:rsidRDefault="00FE72B3">
            <w:pPr>
              <w:jc w:val="both"/>
              <w:rPr>
                <w:b/>
                <w:color w:val="000000"/>
                <w:sz w:val="27"/>
                <w:szCs w:val="27"/>
              </w:rPr>
            </w:pPr>
            <w:r>
              <w:rPr>
                <w:b/>
                <w:color w:val="000000"/>
                <w:sz w:val="27"/>
                <w:szCs w:val="27"/>
              </w:rPr>
              <w:t>100.78</w:t>
            </w:r>
          </w:p>
        </w:tc>
        <w:tc>
          <w:tcPr>
            <w:tcW w:w="1503" w:type="dxa"/>
            <w:shd w:val="clear" w:color="auto" w:fill="FFFFFF"/>
          </w:tcPr>
          <w:p w14:paraId="5DC6322D" w14:textId="77777777" w:rsidR="00F263A3" w:rsidRDefault="00FE72B3">
            <w:pPr>
              <w:jc w:val="both"/>
              <w:rPr>
                <w:b/>
                <w:color w:val="000000"/>
                <w:sz w:val="27"/>
                <w:szCs w:val="27"/>
              </w:rPr>
            </w:pPr>
            <w:r>
              <w:rPr>
                <w:b/>
                <w:color w:val="000000"/>
                <w:sz w:val="27"/>
                <w:szCs w:val="27"/>
              </w:rPr>
              <w:t>94.58</w:t>
            </w:r>
          </w:p>
        </w:tc>
        <w:tc>
          <w:tcPr>
            <w:tcW w:w="1503" w:type="dxa"/>
            <w:shd w:val="clear" w:color="auto" w:fill="FFFFFF"/>
          </w:tcPr>
          <w:p w14:paraId="177FDF09" w14:textId="77777777" w:rsidR="00F263A3" w:rsidRDefault="00FE72B3">
            <w:pPr>
              <w:jc w:val="both"/>
              <w:rPr>
                <w:b/>
                <w:color w:val="000000"/>
                <w:sz w:val="27"/>
                <w:szCs w:val="27"/>
              </w:rPr>
            </w:pPr>
            <w:r>
              <w:rPr>
                <w:b/>
                <w:color w:val="000000"/>
                <w:sz w:val="27"/>
                <w:szCs w:val="27"/>
              </w:rPr>
              <w:t>85.40</w:t>
            </w:r>
          </w:p>
        </w:tc>
      </w:tr>
      <w:tr w:rsidR="00F263A3" w14:paraId="60217497" w14:textId="77777777">
        <w:trPr>
          <w:trHeight w:val="683"/>
        </w:trPr>
        <w:tc>
          <w:tcPr>
            <w:tcW w:w="1502" w:type="dxa"/>
            <w:shd w:val="clear" w:color="auto" w:fill="FFFFFF"/>
          </w:tcPr>
          <w:p w14:paraId="4536B477" w14:textId="77777777" w:rsidR="00F263A3" w:rsidRDefault="00FE72B3">
            <w:pPr>
              <w:rPr>
                <w:b/>
                <w:color w:val="000000"/>
                <w:sz w:val="27"/>
                <w:szCs w:val="27"/>
              </w:rPr>
            </w:pPr>
            <w:r>
              <w:rPr>
                <w:b/>
                <w:color w:val="000000"/>
                <w:sz w:val="27"/>
                <w:szCs w:val="27"/>
              </w:rPr>
              <w:t>Maturity</w:t>
            </w:r>
          </w:p>
        </w:tc>
        <w:tc>
          <w:tcPr>
            <w:tcW w:w="1502" w:type="dxa"/>
            <w:shd w:val="clear" w:color="auto" w:fill="FFFFFF"/>
          </w:tcPr>
          <w:p w14:paraId="5EB6249A" w14:textId="77777777" w:rsidR="00F263A3" w:rsidRDefault="00FE72B3">
            <w:pPr>
              <w:rPr>
                <w:b/>
                <w:color w:val="000000"/>
                <w:sz w:val="27"/>
                <w:szCs w:val="27"/>
              </w:rPr>
            </w:pPr>
            <w:r>
              <w:rPr>
                <w:b/>
                <w:color w:val="000000"/>
                <w:sz w:val="27"/>
                <w:szCs w:val="27"/>
              </w:rPr>
              <w:t>June 1,2034</w:t>
            </w:r>
          </w:p>
          <w:p w14:paraId="0CA70CF4" w14:textId="77777777" w:rsidR="00F263A3" w:rsidRDefault="00F263A3">
            <w:pPr>
              <w:rPr>
                <w:b/>
                <w:color w:val="000000"/>
                <w:sz w:val="27"/>
                <w:szCs w:val="27"/>
              </w:rPr>
            </w:pPr>
          </w:p>
        </w:tc>
        <w:tc>
          <w:tcPr>
            <w:tcW w:w="1503" w:type="dxa"/>
            <w:shd w:val="clear" w:color="auto" w:fill="FFFFFF"/>
          </w:tcPr>
          <w:p w14:paraId="7FA89A6B" w14:textId="77777777" w:rsidR="00F263A3" w:rsidRDefault="00FE72B3">
            <w:pPr>
              <w:rPr>
                <w:b/>
                <w:color w:val="000000"/>
                <w:sz w:val="27"/>
                <w:szCs w:val="27"/>
              </w:rPr>
            </w:pPr>
            <w:r>
              <w:rPr>
                <w:b/>
                <w:color w:val="000000"/>
                <w:sz w:val="27"/>
                <w:szCs w:val="27"/>
              </w:rPr>
              <w:t>May 13, 2034</w:t>
            </w:r>
          </w:p>
          <w:p w14:paraId="0238FA67" w14:textId="77777777" w:rsidR="00F263A3" w:rsidRDefault="00F263A3">
            <w:pPr>
              <w:rPr>
                <w:b/>
                <w:color w:val="000000"/>
                <w:sz w:val="27"/>
                <w:szCs w:val="27"/>
              </w:rPr>
            </w:pPr>
          </w:p>
        </w:tc>
        <w:tc>
          <w:tcPr>
            <w:tcW w:w="1503" w:type="dxa"/>
            <w:shd w:val="clear" w:color="auto" w:fill="FFFFFF"/>
          </w:tcPr>
          <w:p w14:paraId="5EEAFAE3" w14:textId="77777777" w:rsidR="00F263A3" w:rsidRDefault="00FE72B3">
            <w:pPr>
              <w:rPr>
                <w:b/>
                <w:color w:val="000000"/>
                <w:sz w:val="27"/>
                <w:szCs w:val="27"/>
              </w:rPr>
            </w:pPr>
            <w:r>
              <w:rPr>
                <w:b/>
                <w:color w:val="000000"/>
                <w:sz w:val="27"/>
                <w:szCs w:val="27"/>
              </w:rPr>
              <w:t>March 25,2030</w:t>
            </w:r>
          </w:p>
          <w:p w14:paraId="77A7BC84" w14:textId="77777777" w:rsidR="00F263A3" w:rsidRDefault="00F263A3">
            <w:pPr>
              <w:rPr>
                <w:b/>
                <w:color w:val="000000"/>
                <w:sz w:val="27"/>
                <w:szCs w:val="27"/>
              </w:rPr>
            </w:pPr>
          </w:p>
        </w:tc>
        <w:tc>
          <w:tcPr>
            <w:tcW w:w="1503" w:type="dxa"/>
            <w:shd w:val="clear" w:color="auto" w:fill="FFFFFF"/>
          </w:tcPr>
          <w:p w14:paraId="78F813ED" w14:textId="77777777" w:rsidR="00F263A3" w:rsidRDefault="00FE72B3">
            <w:pPr>
              <w:rPr>
                <w:b/>
                <w:color w:val="000000"/>
                <w:sz w:val="27"/>
                <w:szCs w:val="27"/>
              </w:rPr>
            </w:pPr>
            <w:r>
              <w:rPr>
                <w:b/>
                <w:color w:val="000000"/>
                <w:sz w:val="27"/>
                <w:szCs w:val="27"/>
              </w:rPr>
              <w:t>MARCH 25,2050</w:t>
            </w:r>
          </w:p>
        </w:tc>
      </w:tr>
      <w:tr w:rsidR="00F263A3" w14:paraId="2C98731F" w14:textId="77777777">
        <w:tc>
          <w:tcPr>
            <w:tcW w:w="1502" w:type="dxa"/>
            <w:shd w:val="clear" w:color="auto" w:fill="FFFFFF"/>
          </w:tcPr>
          <w:p w14:paraId="7E82AAAE" w14:textId="77777777" w:rsidR="00F263A3" w:rsidRDefault="00FE72B3">
            <w:pPr>
              <w:rPr>
                <w:b/>
                <w:color w:val="000000"/>
                <w:sz w:val="27"/>
                <w:szCs w:val="27"/>
              </w:rPr>
            </w:pPr>
            <w:r>
              <w:rPr>
                <w:b/>
                <w:color w:val="000000"/>
                <w:sz w:val="27"/>
                <w:szCs w:val="27"/>
              </w:rPr>
              <w:t>YTM</w:t>
            </w:r>
          </w:p>
        </w:tc>
        <w:tc>
          <w:tcPr>
            <w:tcW w:w="1502" w:type="dxa"/>
            <w:shd w:val="clear" w:color="auto" w:fill="FFFFFF"/>
          </w:tcPr>
          <w:p w14:paraId="75DACFA4" w14:textId="77777777" w:rsidR="00F263A3" w:rsidRDefault="00FE72B3">
            <w:pPr>
              <w:rPr>
                <w:b/>
                <w:color w:val="000000"/>
                <w:sz w:val="27"/>
                <w:szCs w:val="27"/>
              </w:rPr>
            </w:pPr>
            <w:r>
              <w:rPr>
                <w:b/>
                <w:color w:val="000000"/>
                <w:sz w:val="27"/>
                <w:szCs w:val="27"/>
              </w:rPr>
              <w:t>5.26%</w:t>
            </w:r>
          </w:p>
        </w:tc>
        <w:tc>
          <w:tcPr>
            <w:tcW w:w="1503" w:type="dxa"/>
            <w:shd w:val="clear" w:color="auto" w:fill="FFFFFF"/>
          </w:tcPr>
          <w:p w14:paraId="665CBF49" w14:textId="77777777" w:rsidR="00F263A3" w:rsidRDefault="00FE72B3">
            <w:pPr>
              <w:rPr>
                <w:b/>
                <w:color w:val="000000"/>
                <w:sz w:val="27"/>
                <w:szCs w:val="27"/>
              </w:rPr>
            </w:pPr>
            <w:r>
              <w:rPr>
                <w:b/>
                <w:color w:val="000000"/>
                <w:sz w:val="27"/>
                <w:szCs w:val="27"/>
              </w:rPr>
              <w:t>4.9%</w:t>
            </w:r>
          </w:p>
        </w:tc>
        <w:tc>
          <w:tcPr>
            <w:tcW w:w="1503" w:type="dxa"/>
            <w:shd w:val="clear" w:color="auto" w:fill="FFFFFF"/>
          </w:tcPr>
          <w:p w14:paraId="0F234557" w14:textId="77777777" w:rsidR="00F263A3" w:rsidRDefault="00FE72B3">
            <w:pPr>
              <w:rPr>
                <w:b/>
                <w:color w:val="000000"/>
                <w:sz w:val="27"/>
                <w:szCs w:val="27"/>
              </w:rPr>
            </w:pPr>
            <w:r>
              <w:rPr>
                <w:b/>
                <w:color w:val="000000"/>
                <w:sz w:val="27"/>
                <w:szCs w:val="27"/>
              </w:rPr>
              <w:t>4.49%</w:t>
            </w:r>
          </w:p>
        </w:tc>
        <w:tc>
          <w:tcPr>
            <w:tcW w:w="1503" w:type="dxa"/>
            <w:shd w:val="clear" w:color="auto" w:fill="FFFFFF"/>
          </w:tcPr>
          <w:p w14:paraId="5727CAB5" w14:textId="77777777" w:rsidR="00F263A3" w:rsidRDefault="00FE72B3">
            <w:pPr>
              <w:rPr>
                <w:b/>
                <w:color w:val="000000"/>
                <w:sz w:val="27"/>
                <w:szCs w:val="27"/>
              </w:rPr>
            </w:pPr>
            <w:r>
              <w:rPr>
                <w:b/>
                <w:color w:val="000000"/>
                <w:sz w:val="27"/>
                <w:szCs w:val="27"/>
              </w:rPr>
              <w:t>5.59%</w:t>
            </w:r>
          </w:p>
        </w:tc>
      </w:tr>
    </w:tbl>
    <w:p w14:paraId="6F853F48" w14:textId="77777777" w:rsidR="00F263A3" w:rsidRDefault="00F263A3">
      <w:pPr>
        <w:pBdr>
          <w:top w:val="nil"/>
          <w:left w:val="nil"/>
          <w:bottom w:val="nil"/>
          <w:right w:val="nil"/>
          <w:between w:val="nil"/>
        </w:pBdr>
        <w:spacing w:after="0"/>
        <w:ind w:left="720"/>
        <w:jc w:val="both"/>
        <w:rPr>
          <w:color w:val="000000"/>
        </w:rPr>
      </w:pPr>
    </w:p>
    <w:p w14:paraId="65D990E2" w14:textId="77777777" w:rsidR="00F263A3" w:rsidRDefault="00FE72B3">
      <w:pPr>
        <w:numPr>
          <w:ilvl w:val="0"/>
          <w:numId w:val="18"/>
        </w:numPr>
        <w:pBdr>
          <w:top w:val="nil"/>
          <w:left w:val="nil"/>
          <w:bottom w:val="nil"/>
          <w:right w:val="nil"/>
          <w:between w:val="nil"/>
        </w:pBdr>
        <w:spacing w:after="0"/>
        <w:jc w:val="both"/>
        <w:rPr>
          <w:color w:val="000000"/>
          <w:sz w:val="27"/>
          <w:szCs w:val="27"/>
        </w:rPr>
      </w:pPr>
      <w:r>
        <w:rPr>
          <w:color w:val="000000"/>
          <w:sz w:val="27"/>
          <w:szCs w:val="27"/>
        </w:rPr>
        <w:t>YTM is the total return an investor can expect if the bond is held to maturity, assuming all coupon payments are reinvested at the same rate as the bond's current yield.</w:t>
      </w:r>
    </w:p>
    <w:p w14:paraId="6698254F" w14:textId="77777777" w:rsidR="00F263A3" w:rsidRDefault="00FE72B3">
      <w:pPr>
        <w:numPr>
          <w:ilvl w:val="0"/>
          <w:numId w:val="18"/>
        </w:numPr>
        <w:pBdr>
          <w:top w:val="nil"/>
          <w:left w:val="nil"/>
          <w:bottom w:val="nil"/>
          <w:right w:val="nil"/>
          <w:between w:val="nil"/>
        </w:pBdr>
        <w:spacing w:after="0"/>
        <w:jc w:val="both"/>
        <w:rPr>
          <w:color w:val="000000"/>
          <w:sz w:val="27"/>
          <w:szCs w:val="27"/>
        </w:rPr>
      </w:pPr>
      <w:r>
        <w:rPr>
          <w:color w:val="000000"/>
          <w:sz w:val="27"/>
          <w:szCs w:val="27"/>
        </w:rPr>
        <w:t>Indicator of Return: It helps investors compare bonds with different maturities and coupon rates.</w:t>
      </w:r>
    </w:p>
    <w:p w14:paraId="75DC4786" w14:textId="77777777" w:rsidR="00F263A3" w:rsidRDefault="00FE72B3">
      <w:pPr>
        <w:numPr>
          <w:ilvl w:val="0"/>
          <w:numId w:val="18"/>
        </w:numPr>
        <w:pBdr>
          <w:top w:val="nil"/>
          <w:left w:val="nil"/>
          <w:bottom w:val="nil"/>
          <w:right w:val="nil"/>
          <w:between w:val="nil"/>
        </w:pBdr>
        <w:spacing w:after="0"/>
        <w:jc w:val="both"/>
        <w:rPr>
          <w:color w:val="000000"/>
          <w:sz w:val="27"/>
          <w:szCs w:val="27"/>
        </w:rPr>
      </w:pPr>
      <w:r>
        <w:rPr>
          <w:color w:val="000000"/>
          <w:sz w:val="27"/>
          <w:szCs w:val="27"/>
        </w:rPr>
        <w:t>Market Perspective: A higher YTM often indicates that the bond is priced lower than its face value (discounted bond), while a lower YTM indicates a premium-priced bond.</w:t>
      </w:r>
    </w:p>
    <w:p w14:paraId="1EB0DB3D" w14:textId="77777777" w:rsidR="00F263A3" w:rsidRDefault="00FE72B3">
      <w:pPr>
        <w:numPr>
          <w:ilvl w:val="0"/>
          <w:numId w:val="18"/>
        </w:numPr>
        <w:pBdr>
          <w:top w:val="nil"/>
          <w:left w:val="nil"/>
          <w:bottom w:val="nil"/>
          <w:right w:val="nil"/>
          <w:between w:val="nil"/>
        </w:pBdr>
        <w:spacing w:after="0"/>
        <w:jc w:val="both"/>
        <w:rPr>
          <w:color w:val="000000"/>
          <w:sz w:val="27"/>
          <w:szCs w:val="27"/>
        </w:rPr>
      </w:pPr>
      <w:r>
        <w:rPr>
          <w:color w:val="000000"/>
          <w:sz w:val="27"/>
          <w:szCs w:val="27"/>
        </w:rPr>
        <w:t>Risk Indicator: YTM indirectly reflects the issuer's credit risk. For example, higher YTM bonds may indicate higher perceived risks.</w:t>
      </w:r>
    </w:p>
    <w:p w14:paraId="01D77ADF" w14:textId="77777777" w:rsidR="00F263A3" w:rsidRDefault="00FE72B3">
      <w:pPr>
        <w:numPr>
          <w:ilvl w:val="0"/>
          <w:numId w:val="18"/>
        </w:numPr>
        <w:pBdr>
          <w:top w:val="nil"/>
          <w:left w:val="nil"/>
          <w:bottom w:val="nil"/>
          <w:right w:val="nil"/>
          <w:between w:val="nil"/>
        </w:pBdr>
        <w:jc w:val="both"/>
        <w:rPr>
          <w:color w:val="000000"/>
          <w:sz w:val="27"/>
          <w:szCs w:val="27"/>
        </w:rPr>
      </w:pPr>
      <w:r>
        <w:rPr>
          <w:color w:val="000000"/>
          <w:sz w:val="27"/>
          <w:szCs w:val="27"/>
        </w:rPr>
        <w:t>An investor assessing Bond A with a YTM of 5.26% would know their annualized return if held to maturity, helping them compare this bond against others.</w:t>
      </w:r>
    </w:p>
    <w:p w14:paraId="429169F8" w14:textId="77777777" w:rsidR="00F263A3" w:rsidRDefault="00F263A3">
      <w:pPr>
        <w:jc w:val="both"/>
        <w:rPr>
          <w:b/>
          <w:sz w:val="27"/>
          <w:szCs w:val="27"/>
        </w:rPr>
      </w:pPr>
    </w:p>
    <w:p w14:paraId="5F9B2856" w14:textId="77777777" w:rsidR="00F263A3" w:rsidRDefault="00FE72B3">
      <w:pPr>
        <w:spacing w:before="280" w:after="280"/>
        <w:jc w:val="both"/>
        <w:rPr>
          <w:b/>
          <w:sz w:val="27"/>
          <w:szCs w:val="27"/>
        </w:rPr>
      </w:pPr>
      <w:r>
        <w:rPr>
          <w:b/>
          <w:sz w:val="27"/>
          <w:szCs w:val="27"/>
        </w:rPr>
        <w:t>Sensitivity Analysis:</w:t>
      </w:r>
    </w:p>
    <w:tbl>
      <w:tblPr>
        <w:tblStyle w:val="a7"/>
        <w:tblW w:w="9000"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ayout w:type="fixed"/>
        <w:tblLook w:val="0400" w:firstRow="0" w:lastRow="0" w:firstColumn="0" w:lastColumn="0" w:noHBand="0" w:noVBand="1"/>
      </w:tblPr>
      <w:tblGrid>
        <w:gridCol w:w="1500"/>
        <w:gridCol w:w="1500"/>
        <w:gridCol w:w="1500"/>
        <w:gridCol w:w="1590"/>
        <w:gridCol w:w="1560"/>
        <w:gridCol w:w="1350"/>
      </w:tblGrid>
      <w:tr w:rsidR="00F263A3" w14:paraId="14E91E43" w14:textId="77777777">
        <w:tc>
          <w:tcPr>
            <w:tcW w:w="1500" w:type="dxa"/>
            <w:tcBorders>
              <w:top w:val="single" w:sz="4" w:space="0" w:color="000000"/>
              <w:left w:val="single" w:sz="4" w:space="0" w:color="000000"/>
              <w:bottom w:val="single" w:sz="4" w:space="0" w:color="000000"/>
              <w:right w:val="single" w:sz="4" w:space="0" w:color="000000"/>
            </w:tcBorders>
            <w:shd w:val="clear" w:color="auto" w:fill="FFFFFF"/>
          </w:tcPr>
          <w:p w14:paraId="5E674288" w14:textId="77777777" w:rsidR="00F263A3" w:rsidRDefault="00FE72B3">
            <w:pPr>
              <w:jc w:val="both"/>
              <w:rPr>
                <w:b/>
                <w:color w:val="000000"/>
                <w:sz w:val="27"/>
                <w:szCs w:val="27"/>
              </w:rPr>
            </w:pPr>
            <w:r>
              <w:rPr>
                <w:b/>
                <w:color w:val="000000"/>
                <w:sz w:val="27"/>
                <w:szCs w:val="27"/>
              </w:rPr>
              <w:t>Bond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Pr>
          <w:p w14:paraId="3A704CB3" w14:textId="77777777" w:rsidR="00F263A3" w:rsidRDefault="00FE72B3">
            <w:pPr>
              <w:jc w:val="both"/>
              <w:rPr>
                <w:b/>
                <w:color w:val="000000"/>
                <w:sz w:val="27"/>
                <w:szCs w:val="27"/>
              </w:rPr>
            </w:pPr>
            <w:r>
              <w:rPr>
                <w:b/>
                <w:color w:val="000000"/>
                <w:sz w:val="27"/>
                <w:szCs w:val="27"/>
              </w:rPr>
              <w:t>Duration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Pr>
          <w:p w14:paraId="013B3B15" w14:textId="77777777" w:rsidR="00F263A3" w:rsidRDefault="00FE72B3">
            <w:pPr>
              <w:jc w:val="both"/>
              <w:rPr>
                <w:b/>
                <w:color w:val="000000"/>
                <w:sz w:val="27"/>
                <w:szCs w:val="27"/>
              </w:rPr>
            </w:pPr>
            <w:r>
              <w:rPr>
                <w:b/>
                <w:color w:val="000000"/>
                <w:sz w:val="27"/>
                <w:szCs w:val="27"/>
              </w:rPr>
              <w:t>Modified Duration</w:t>
            </w:r>
          </w:p>
        </w:tc>
        <w:tc>
          <w:tcPr>
            <w:tcW w:w="1590" w:type="dxa"/>
            <w:tcBorders>
              <w:top w:val="single" w:sz="4" w:space="0" w:color="000000"/>
              <w:left w:val="single" w:sz="4" w:space="0" w:color="000000"/>
              <w:bottom w:val="single" w:sz="4" w:space="0" w:color="000000"/>
              <w:right w:val="single" w:sz="4" w:space="0" w:color="000000"/>
            </w:tcBorders>
            <w:shd w:val="clear" w:color="auto" w:fill="FFFFFF"/>
          </w:tcPr>
          <w:p w14:paraId="5856561D" w14:textId="77777777" w:rsidR="00F263A3" w:rsidRDefault="00FE72B3">
            <w:pPr>
              <w:jc w:val="both"/>
              <w:rPr>
                <w:b/>
                <w:color w:val="000000"/>
                <w:sz w:val="27"/>
                <w:szCs w:val="27"/>
              </w:rPr>
            </w:pPr>
            <w:r>
              <w:rPr>
                <w:b/>
                <w:color w:val="000000"/>
                <w:sz w:val="27"/>
                <w:szCs w:val="27"/>
              </w:rPr>
              <w:t>Convexity</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Pr>
          <w:p w14:paraId="03328D4D" w14:textId="77777777" w:rsidR="00F263A3" w:rsidRDefault="00FE72B3">
            <w:pPr>
              <w:spacing w:before="240" w:line="276" w:lineRule="auto"/>
              <w:jc w:val="both"/>
              <w:rPr>
                <w:b/>
                <w:color w:val="000000"/>
                <w:sz w:val="27"/>
                <w:szCs w:val="27"/>
              </w:rPr>
            </w:pPr>
            <w:r>
              <w:rPr>
                <w:rFonts w:ascii="Times New Roman" w:eastAsia="Times New Roman" w:hAnsi="Times New Roman" w:cs="Times New Roman"/>
                <w:b/>
                <w:color w:val="000000"/>
                <w:sz w:val="24"/>
                <w:szCs w:val="24"/>
              </w:rPr>
              <w:t>Sensitivity</w:t>
            </w:r>
          </w:p>
        </w:tc>
        <w:tc>
          <w:tcPr>
            <w:tcW w:w="1350" w:type="dxa"/>
            <w:tcBorders>
              <w:top w:val="nil"/>
              <w:left w:val="single" w:sz="4" w:space="0" w:color="000000"/>
              <w:bottom w:val="nil"/>
              <w:right w:val="nil"/>
            </w:tcBorders>
            <w:shd w:val="clear" w:color="auto" w:fill="FFFFFF"/>
            <w:tcMar>
              <w:top w:w="20" w:type="dxa"/>
              <w:left w:w="20" w:type="dxa"/>
              <w:bottom w:w="20" w:type="dxa"/>
              <w:right w:w="20" w:type="dxa"/>
            </w:tcMar>
          </w:tcPr>
          <w:p w14:paraId="45637E17" w14:textId="77777777" w:rsidR="00F263A3" w:rsidRDefault="00F263A3">
            <w:pPr>
              <w:spacing w:before="240" w:line="276" w:lineRule="auto"/>
              <w:jc w:val="both"/>
              <w:rPr>
                <w:rFonts w:ascii="Times New Roman" w:eastAsia="Times New Roman" w:hAnsi="Times New Roman" w:cs="Times New Roman"/>
                <w:b/>
                <w:color w:val="000000"/>
                <w:sz w:val="24"/>
                <w:szCs w:val="24"/>
              </w:rPr>
            </w:pPr>
          </w:p>
        </w:tc>
      </w:tr>
      <w:tr w:rsidR="00F263A3" w14:paraId="55B0B396" w14:textId="77777777">
        <w:tc>
          <w:tcPr>
            <w:tcW w:w="1500" w:type="dxa"/>
            <w:tcBorders>
              <w:top w:val="single" w:sz="4" w:space="0" w:color="000000"/>
              <w:left w:val="single" w:sz="4" w:space="0" w:color="000000"/>
              <w:bottom w:val="single" w:sz="4" w:space="0" w:color="000000"/>
              <w:right w:val="single" w:sz="4" w:space="0" w:color="000000"/>
            </w:tcBorders>
            <w:shd w:val="clear" w:color="auto" w:fill="FFFFFF"/>
          </w:tcPr>
          <w:p w14:paraId="4E3ABC04" w14:textId="77777777" w:rsidR="00F263A3" w:rsidRDefault="00FE72B3">
            <w:pPr>
              <w:jc w:val="both"/>
              <w:rPr>
                <w:b/>
                <w:color w:val="000000"/>
                <w:sz w:val="27"/>
                <w:szCs w:val="27"/>
              </w:rPr>
            </w:pPr>
            <w:r>
              <w:rPr>
                <w:b/>
                <w:color w:val="000000"/>
                <w:sz w:val="27"/>
                <w:szCs w:val="27"/>
              </w:rPr>
              <w:t>Bond A</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Pr>
          <w:p w14:paraId="3E4BD0D3" w14:textId="77777777" w:rsidR="00F263A3" w:rsidRDefault="00FE72B3">
            <w:pPr>
              <w:jc w:val="both"/>
              <w:rPr>
                <w:b/>
                <w:color w:val="000000"/>
                <w:sz w:val="27"/>
                <w:szCs w:val="27"/>
              </w:rPr>
            </w:pPr>
            <w:r>
              <w:rPr>
                <w:b/>
                <w:color w:val="000000"/>
                <w:sz w:val="27"/>
                <w:szCs w:val="27"/>
              </w:rPr>
              <w:t>7.77</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Pr>
          <w:p w14:paraId="7D9713A7" w14:textId="77777777" w:rsidR="00F263A3" w:rsidRDefault="00FE72B3">
            <w:pPr>
              <w:jc w:val="both"/>
              <w:rPr>
                <w:b/>
                <w:color w:val="000000"/>
                <w:sz w:val="27"/>
                <w:szCs w:val="27"/>
              </w:rPr>
            </w:pPr>
            <w:r>
              <w:rPr>
                <w:b/>
                <w:color w:val="000000"/>
                <w:sz w:val="27"/>
                <w:szCs w:val="27"/>
              </w:rPr>
              <w:t>7.57</w:t>
            </w:r>
          </w:p>
        </w:tc>
        <w:tc>
          <w:tcPr>
            <w:tcW w:w="1590" w:type="dxa"/>
            <w:tcBorders>
              <w:top w:val="single" w:sz="4" w:space="0" w:color="000000"/>
              <w:left w:val="single" w:sz="4" w:space="0" w:color="000000"/>
              <w:bottom w:val="single" w:sz="4" w:space="0" w:color="000000"/>
              <w:right w:val="single" w:sz="4" w:space="0" w:color="000000"/>
            </w:tcBorders>
            <w:shd w:val="clear" w:color="auto" w:fill="FFFFFF"/>
          </w:tcPr>
          <w:p w14:paraId="27D9E82D" w14:textId="77777777" w:rsidR="00F263A3" w:rsidRDefault="00FE72B3">
            <w:pPr>
              <w:jc w:val="both"/>
              <w:rPr>
                <w:b/>
                <w:color w:val="000000"/>
                <w:sz w:val="27"/>
                <w:szCs w:val="27"/>
              </w:rPr>
            </w:pPr>
            <w:r>
              <w:rPr>
                <w:b/>
                <w:color w:val="000000"/>
                <w:sz w:val="27"/>
                <w:szCs w:val="27"/>
              </w:rPr>
              <w:t>58.85</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Pr>
          <w:p w14:paraId="6DACDF96" w14:textId="77777777" w:rsidR="00F263A3" w:rsidRDefault="00FE72B3">
            <w:pPr>
              <w:spacing w:before="240" w:line="276" w:lineRule="auto"/>
              <w:jc w:val="both"/>
              <w:rPr>
                <w:b/>
                <w:color w:val="000000"/>
                <w:sz w:val="27"/>
                <w:szCs w:val="27"/>
              </w:rPr>
            </w:pPr>
            <w:r>
              <w:rPr>
                <w:rFonts w:ascii="Times New Roman" w:eastAsia="Times New Roman" w:hAnsi="Times New Roman" w:cs="Times New Roman"/>
                <w:b/>
                <w:color w:val="000000"/>
                <w:sz w:val="24"/>
                <w:szCs w:val="24"/>
              </w:rPr>
              <w:t>Moderate</w:t>
            </w:r>
          </w:p>
        </w:tc>
        <w:tc>
          <w:tcPr>
            <w:tcW w:w="1350" w:type="dxa"/>
            <w:tcBorders>
              <w:top w:val="nil"/>
              <w:left w:val="single" w:sz="4" w:space="0" w:color="000000"/>
              <w:bottom w:val="nil"/>
              <w:right w:val="nil"/>
            </w:tcBorders>
            <w:shd w:val="clear" w:color="auto" w:fill="FFFFFF"/>
            <w:tcMar>
              <w:top w:w="20" w:type="dxa"/>
              <w:left w:w="20" w:type="dxa"/>
              <w:bottom w:w="20" w:type="dxa"/>
              <w:right w:w="20" w:type="dxa"/>
            </w:tcMar>
          </w:tcPr>
          <w:p w14:paraId="1C0A6425" w14:textId="77777777" w:rsidR="00F263A3" w:rsidRDefault="00F263A3">
            <w:pPr>
              <w:spacing w:before="240" w:line="276" w:lineRule="auto"/>
              <w:jc w:val="both"/>
              <w:rPr>
                <w:rFonts w:ascii="Times New Roman" w:eastAsia="Times New Roman" w:hAnsi="Times New Roman" w:cs="Times New Roman"/>
                <w:b/>
                <w:color w:val="000000"/>
                <w:sz w:val="24"/>
                <w:szCs w:val="24"/>
              </w:rPr>
            </w:pPr>
          </w:p>
        </w:tc>
      </w:tr>
      <w:tr w:rsidR="00F263A3" w14:paraId="57E269BA" w14:textId="77777777">
        <w:tc>
          <w:tcPr>
            <w:tcW w:w="1500" w:type="dxa"/>
            <w:tcBorders>
              <w:top w:val="single" w:sz="4" w:space="0" w:color="000000"/>
              <w:left w:val="single" w:sz="4" w:space="0" w:color="000000"/>
              <w:bottom w:val="single" w:sz="4" w:space="0" w:color="000000"/>
              <w:right w:val="single" w:sz="4" w:space="0" w:color="000000"/>
            </w:tcBorders>
            <w:shd w:val="clear" w:color="auto" w:fill="FFFFFF"/>
          </w:tcPr>
          <w:p w14:paraId="76E65AA7" w14:textId="77777777" w:rsidR="00F263A3" w:rsidRDefault="00FE72B3">
            <w:pPr>
              <w:jc w:val="both"/>
              <w:rPr>
                <w:b/>
                <w:color w:val="000000"/>
                <w:sz w:val="27"/>
                <w:szCs w:val="27"/>
              </w:rPr>
            </w:pPr>
            <w:r>
              <w:rPr>
                <w:b/>
                <w:color w:val="000000"/>
                <w:sz w:val="27"/>
                <w:szCs w:val="27"/>
              </w:rPr>
              <w:t>Bond B</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Pr>
          <w:p w14:paraId="7E30BEB6" w14:textId="77777777" w:rsidR="00F263A3" w:rsidRDefault="00FE72B3">
            <w:pPr>
              <w:jc w:val="both"/>
              <w:rPr>
                <w:b/>
                <w:color w:val="000000"/>
                <w:sz w:val="27"/>
                <w:szCs w:val="27"/>
              </w:rPr>
            </w:pPr>
            <w:r>
              <w:rPr>
                <w:b/>
                <w:color w:val="000000"/>
                <w:sz w:val="27"/>
                <w:szCs w:val="27"/>
              </w:rPr>
              <w:t>8.06</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Pr>
          <w:p w14:paraId="2F114AAC" w14:textId="77777777" w:rsidR="00F263A3" w:rsidRDefault="00FE72B3">
            <w:pPr>
              <w:jc w:val="both"/>
              <w:rPr>
                <w:b/>
                <w:color w:val="000000"/>
                <w:sz w:val="27"/>
                <w:szCs w:val="27"/>
              </w:rPr>
            </w:pPr>
            <w:r>
              <w:rPr>
                <w:b/>
                <w:color w:val="000000"/>
                <w:sz w:val="27"/>
                <w:szCs w:val="27"/>
              </w:rPr>
              <w:t>7.87</w:t>
            </w:r>
          </w:p>
        </w:tc>
        <w:tc>
          <w:tcPr>
            <w:tcW w:w="1590" w:type="dxa"/>
            <w:tcBorders>
              <w:top w:val="single" w:sz="4" w:space="0" w:color="000000"/>
              <w:left w:val="single" w:sz="4" w:space="0" w:color="000000"/>
              <w:bottom w:val="single" w:sz="4" w:space="0" w:color="000000"/>
              <w:right w:val="single" w:sz="4" w:space="0" w:color="000000"/>
            </w:tcBorders>
            <w:shd w:val="clear" w:color="auto" w:fill="FFFFFF"/>
          </w:tcPr>
          <w:p w14:paraId="456A7A62" w14:textId="77777777" w:rsidR="00F263A3" w:rsidRDefault="00FE72B3">
            <w:pPr>
              <w:jc w:val="both"/>
              <w:rPr>
                <w:b/>
                <w:color w:val="000000"/>
                <w:sz w:val="27"/>
                <w:szCs w:val="27"/>
              </w:rPr>
            </w:pPr>
            <w:r>
              <w:rPr>
                <w:b/>
                <w:color w:val="000000"/>
                <w:sz w:val="27"/>
                <w:szCs w:val="27"/>
              </w:rPr>
              <w:t>55.72</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Pr>
          <w:p w14:paraId="20E5C989" w14:textId="77777777" w:rsidR="00F263A3" w:rsidRDefault="00FE72B3">
            <w:pPr>
              <w:spacing w:before="240" w:line="276" w:lineRule="auto"/>
              <w:jc w:val="both"/>
              <w:rPr>
                <w:b/>
                <w:color w:val="000000"/>
                <w:sz w:val="27"/>
                <w:szCs w:val="27"/>
              </w:rPr>
            </w:pPr>
            <w:r>
              <w:rPr>
                <w:rFonts w:ascii="Times New Roman" w:eastAsia="Times New Roman" w:hAnsi="Times New Roman" w:cs="Times New Roman"/>
                <w:b/>
                <w:color w:val="000000"/>
                <w:sz w:val="24"/>
                <w:szCs w:val="24"/>
              </w:rPr>
              <w:t>Moderate</w:t>
            </w:r>
          </w:p>
        </w:tc>
        <w:tc>
          <w:tcPr>
            <w:tcW w:w="1350" w:type="dxa"/>
            <w:tcBorders>
              <w:top w:val="nil"/>
              <w:left w:val="single" w:sz="4" w:space="0" w:color="000000"/>
              <w:bottom w:val="nil"/>
              <w:right w:val="nil"/>
            </w:tcBorders>
            <w:shd w:val="clear" w:color="auto" w:fill="FFFFFF"/>
            <w:tcMar>
              <w:top w:w="20" w:type="dxa"/>
              <w:left w:w="20" w:type="dxa"/>
              <w:bottom w:w="20" w:type="dxa"/>
              <w:right w:w="20" w:type="dxa"/>
            </w:tcMar>
          </w:tcPr>
          <w:p w14:paraId="2A714EA2" w14:textId="77777777" w:rsidR="00F263A3" w:rsidRDefault="00F263A3">
            <w:pPr>
              <w:spacing w:before="240" w:line="276" w:lineRule="auto"/>
              <w:jc w:val="both"/>
              <w:rPr>
                <w:rFonts w:ascii="Times New Roman" w:eastAsia="Times New Roman" w:hAnsi="Times New Roman" w:cs="Times New Roman"/>
                <w:b/>
                <w:color w:val="000000"/>
                <w:sz w:val="24"/>
                <w:szCs w:val="24"/>
              </w:rPr>
            </w:pPr>
          </w:p>
        </w:tc>
      </w:tr>
      <w:tr w:rsidR="00F263A3" w14:paraId="6A0CAD3A" w14:textId="77777777">
        <w:tc>
          <w:tcPr>
            <w:tcW w:w="1500" w:type="dxa"/>
            <w:tcBorders>
              <w:top w:val="single" w:sz="4" w:space="0" w:color="000000"/>
              <w:left w:val="single" w:sz="4" w:space="0" w:color="000000"/>
              <w:bottom w:val="single" w:sz="4" w:space="0" w:color="000000"/>
              <w:right w:val="single" w:sz="4" w:space="0" w:color="000000"/>
            </w:tcBorders>
            <w:shd w:val="clear" w:color="auto" w:fill="FFFFFF"/>
          </w:tcPr>
          <w:p w14:paraId="23FEEC59" w14:textId="77777777" w:rsidR="00F263A3" w:rsidRDefault="00FE72B3">
            <w:pPr>
              <w:jc w:val="both"/>
              <w:rPr>
                <w:b/>
                <w:color w:val="000000"/>
                <w:sz w:val="27"/>
                <w:szCs w:val="27"/>
              </w:rPr>
            </w:pPr>
            <w:r>
              <w:rPr>
                <w:b/>
                <w:color w:val="000000"/>
                <w:sz w:val="27"/>
                <w:szCs w:val="27"/>
              </w:rPr>
              <w:t>Bond C</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Pr>
          <w:p w14:paraId="05BDDBC4" w14:textId="77777777" w:rsidR="00F263A3" w:rsidRDefault="00FE72B3">
            <w:pPr>
              <w:jc w:val="both"/>
              <w:rPr>
                <w:b/>
                <w:color w:val="000000"/>
                <w:sz w:val="27"/>
                <w:szCs w:val="27"/>
              </w:rPr>
            </w:pPr>
            <w:r>
              <w:rPr>
                <w:b/>
                <w:color w:val="000000"/>
                <w:sz w:val="27"/>
                <w:szCs w:val="27"/>
              </w:rPr>
              <w:t>5.78</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Pr>
          <w:p w14:paraId="5FA4A1FA" w14:textId="77777777" w:rsidR="00F263A3" w:rsidRDefault="00FE72B3">
            <w:pPr>
              <w:jc w:val="both"/>
              <w:rPr>
                <w:b/>
                <w:color w:val="000000"/>
                <w:sz w:val="27"/>
                <w:szCs w:val="27"/>
              </w:rPr>
            </w:pPr>
            <w:r>
              <w:rPr>
                <w:b/>
                <w:color w:val="000000"/>
                <w:sz w:val="27"/>
                <w:szCs w:val="27"/>
              </w:rPr>
              <w:t>5.66</w:t>
            </w:r>
          </w:p>
        </w:tc>
        <w:tc>
          <w:tcPr>
            <w:tcW w:w="1590" w:type="dxa"/>
            <w:tcBorders>
              <w:top w:val="single" w:sz="4" w:space="0" w:color="000000"/>
              <w:left w:val="single" w:sz="4" w:space="0" w:color="000000"/>
              <w:bottom w:val="single" w:sz="4" w:space="0" w:color="000000"/>
              <w:right w:val="single" w:sz="4" w:space="0" w:color="000000"/>
            </w:tcBorders>
            <w:shd w:val="clear" w:color="auto" w:fill="FFFFFF"/>
          </w:tcPr>
          <w:p w14:paraId="49E6E15D" w14:textId="77777777" w:rsidR="00F263A3" w:rsidRDefault="00FE72B3">
            <w:pPr>
              <w:jc w:val="both"/>
              <w:rPr>
                <w:b/>
                <w:color w:val="000000"/>
                <w:sz w:val="27"/>
                <w:szCs w:val="27"/>
              </w:rPr>
            </w:pPr>
            <w:r>
              <w:rPr>
                <w:b/>
                <w:color w:val="000000"/>
                <w:sz w:val="27"/>
                <w:szCs w:val="27"/>
              </w:rPr>
              <w:t>11.32</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Pr>
          <w:p w14:paraId="39609C0E" w14:textId="77777777" w:rsidR="00F263A3" w:rsidRDefault="00FE72B3">
            <w:pPr>
              <w:spacing w:before="240" w:line="276" w:lineRule="auto"/>
              <w:jc w:val="both"/>
              <w:rPr>
                <w:b/>
                <w:color w:val="000000"/>
                <w:sz w:val="27"/>
                <w:szCs w:val="27"/>
              </w:rPr>
            </w:pPr>
            <w:r>
              <w:rPr>
                <w:rFonts w:ascii="Times New Roman" w:eastAsia="Times New Roman" w:hAnsi="Times New Roman" w:cs="Times New Roman"/>
                <w:b/>
                <w:color w:val="000000"/>
                <w:sz w:val="24"/>
                <w:szCs w:val="24"/>
              </w:rPr>
              <w:t>Low</w:t>
            </w:r>
          </w:p>
        </w:tc>
        <w:tc>
          <w:tcPr>
            <w:tcW w:w="1350" w:type="dxa"/>
            <w:tcBorders>
              <w:top w:val="nil"/>
              <w:left w:val="single" w:sz="4" w:space="0" w:color="000000"/>
              <w:bottom w:val="nil"/>
              <w:right w:val="nil"/>
            </w:tcBorders>
            <w:shd w:val="clear" w:color="auto" w:fill="FFFFFF"/>
            <w:tcMar>
              <w:top w:w="20" w:type="dxa"/>
              <w:left w:w="20" w:type="dxa"/>
              <w:bottom w:w="20" w:type="dxa"/>
              <w:right w:w="20" w:type="dxa"/>
            </w:tcMar>
          </w:tcPr>
          <w:p w14:paraId="4A4F94CF" w14:textId="77777777" w:rsidR="00F263A3" w:rsidRDefault="00F263A3">
            <w:pPr>
              <w:spacing w:before="240" w:line="276" w:lineRule="auto"/>
              <w:jc w:val="both"/>
              <w:rPr>
                <w:rFonts w:ascii="Times New Roman" w:eastAsia="Times New Roman" w:hAnsi="Times New Roman" w:cs="Times New Roman"/>
                <w:b/>
                <w:color w:val="000000"/>
                <w:sz w:val="24"/>
                <w:szCs w:val="24"/>
              </w:rPr>
            </w:pPr>
          </w:p>
        </w:tc>
      </w:tr>
      <w:tr w:rsidR="00F263A3" w14:paraId="729D80C4" w14:textId="77777777">
        <w:trPr>
          <w:trHeight w:val="615"/>
        </w:trPr>
        <w:tc>
          <w:tcPr>
            <w:tcW w:w="1500" w:type="dxa"/>
            <w:tcBorders>
              <w:top w:val="single" w:sz="4" w:space="0" w:color="000000"/>
              <w:left w:val="single" w:sz="4" w:space="0" w:color="000000"/>
              <w:bottom w:val="single" w:sz="4" w:space="0" w:color="000000"/>
              <w:right w:val="single" w:sz="4" w:space="0" w:color="000000"/>
            </w:tcBorders>
            <w:shd w:val="clear" w:color="auto" w:fill="FFFFFF"/>
          </w:tcPr>
          <w:p w14:paraId="035E76B8" w14:textId="77777777" w:rsidR="00F263A3" w:rsidRDefault="00FE72B3">
            <w:pPr>
              <w:jc w:val="both"/>
              <w:rPr>
                <w:b/>
                <w:color w:val="000000"/>
                <w:sz w:val="27"/>
                <w:szCs w:val="27"/>
              </w:rPr>
            </w:pPr>
            <w:r>
              <w:rPr>
                <w:b/>
                <w:color w:val="000000"/>
                <w:sz w:val="27"/>
                <w:szCs w:val="27"/>
              </w:rPr>
              <w:t>Bond 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Pr>
          <w:p w14:paraId="59FD32DB" w14:textId="77777777" w:rsidR="00F263A3" w:rsidRDefault="00FE72B3">
            <w:pPr>
              <w:jc w:val="both"/>
              <w:rPr>
                <w:b/>
                <w:color w:val="000000"/>
                <w:sz w:val="27"/>
                <w:szCs w:val="27"/>
              </w:rPr>
            </w:pPr>
            <w:r>
              <w:rPr>
                <w:b/>
                <w:color w:val="000000"/>
                <w:sz w:val="27"/>
                <w:szCs w:val="27"/>
              </w:rPr>
              <w:t>18.81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Pr>
          <w:p w14:paraId="6194D65F" w14:textId="77777777" w:rsidR="00F263A3" w:rsidRDefault="00FE72B3">
            <w:pPr>
              <w:jc w:val="both"/>
              <w:rPr>
                <w:b/>
                <w:color w:val="000000"/>
                <w:sz w:val="27"/>
                <w:szCs w:val="27"/>
              </w:rPr>
            </w:pPr>
            <w:r>
              <w:rPr>
                <w:b/>
                <w:color w:val="000000"/>
                <w:sz w:val="27"/>
                <w:szCs w:val="27"/>
              </w:rPr>
              <w:t>18.33</w:t>
            </w:r>
          </w:p>
        </w:tc>
        <w:tc>
          <w:tcPr>
            <w:tcW w:w="1590" w:type="dxa"/>
            <w:tcBorders>
              <w:top w:val="single" w:sz="4" w:space="0" w:color="000000"/>
              <w:left w:val="single" w:sz="4" w:space="0" w:color="000000"/>
              <w:bottom w:val="single" w:sz="4" w:space="0" w:color="000000"/>
              <w:right w:val="single" w:sz="4" w:space="0" w:color="000000"/>
            </w:tcBorders>
            <w:shd w:val="clear" w:color="auto" w:fill="FFFFFF"/>
          </w:tcPr>
          <w:p w14:paraId="25F0DA0C" w14:textId="77777777" w:rsidR="00F263A3" w:rsidRDefault="00FE72B3">
            <w:pPr>
              <w:jc w:val="both"/>
              <w:rPr>
                <w:b/>
                <w:color w:val="000000"/>
                <w:sz w:val="27"/>
                <w:szCs w:val="27"/>
              </w:rPr>
            </w:pPr>
            <w:r>
              <w:rPr>
                <w:b/>
                <w:color w:val="000000"/>
                <w:sz w:val="27"/>
                <w:szCs w:val="27"/>
              </w:rPr>
              <w:t>483.46</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Pr>
          <w:p w14:paraId="23E9C88A" w14:textId="77777777" w:rsidR="00F263A3" w:rsidRDefault="00FE72B3">
            <w:pPr>
              <w:spacing w:before="240" w:line="276" w:lineRule="auto"/>
              <w:rPr>
                <w:b/>
                <w:color w:val="000000"/>
                <w:sz w:val="27"/>
                <w:szCs w:val="27"/>
              </w:rPr>
            </w:pPr>
            <w:r>
              <w:rPr>
                <w:b/>
                <w:color w:val="000000"/>
                <w:sz w:val="27"/>
                <w:szCs w:val="27"/>
              </w:rPr>
              <w:t>High</w:t>
            </w:r>
          </w:p>
        </w:tc>
        <w:tc>
          <w:tcPr>
            <w:tcW w:w="1350" w:type="dxa"/>
            <w:tcBorders>
              <w:top w:val="nil"/>
              <w:left w:val="single" w:sz="4" w:space="0" w:color="000000"/>
              <w:bottom w:val="nil"/>
              <w:right w:val="nil"/>
            </w:tcBorders>
            <w:shd w:val="clear" w:color="auto" w:fill="FFFFFF"/>
            <w:tcMar>
              <w:top w:w="20" w:type="dxa"/>
              <w:left w:w="20" w:type="dxa"/>
              <w:bottom w:w="20" w:type="dxa"/>
              <w:right w:w="20" w:type="dxa"/>
            </w:tcMar>
          </w:tcPr>
          <w:p w14:paraId="5ABF293A" w14:textId="77777777" w:rsidR="00F263A3" w:rsidRDefault="00F263A3">
            <w:pPr>
              <w:spacing w:before="240" w:line="276" w:lineRule="auto"/>
              <w:jc w:val="both"/>
              <w:rPr>
                <w:rFonts w:ascii="Times New Roman" w:eastAsia="Times New Roman" w:hAnsi="Times New Roman" w:cs="Times New Roman"/>
                <w:b/>
                <w:color w:val="000000"/>
                <w:sz w:val="24"/>
                <w:szCs w:val="24"/>
              </w:rPr>
            </w:pPr>
          </w:p>
        </w:tc>
      </w:tr>
    </w:tbl>
    <w:p w14:paraId="1F61D238" w14:textId="77777777" w:rsidR="00F263A3" w:rsidRDefault="00F263A3">
      <w:pPr>
        <w:jc w:val="both"/>
      </w:pPr>
    </w:p>
    <w:p w14:paraId="06CA814B" w14:textId="77777777" w:rsidR="00F263A3" w:rsidRDefault="00F263A3">
      <w:pPr>
        <w:jc w:val="both"/>
      </w:pPr>
    </w:p>
    <w:p w14:paraId="21CED0A5" w14:textId="77777777" w:rsidR="00F263A3" w:rsidRDefault="00FE72B3">
      <w:pPr>
        <w:numPr>
          <w:ilvl w:val="0"/>
          <w:numId w:val="13"/>
        </w:numPr>
        <w:pBdr>
          <w:top w:val="nil"/>
          <w:left w:val="nil"/>
          <w:bottom w:val="nil"/>
          <w:right w:val="nil"/>
          <w:between w:val="nil"/>
        </w:pBdr>
        <w:spacing w:after="0"/>
        <w:jc w:val="both"/>
        <w:rPr>
          <w:b/>
          <w:color w:val="000000"/>
          <w:sz w:val="27"/>
          <w:szCs w:val="27"/>
        </w:rPr>
      </w:pPr>
      <w:r>
        <w:rPr>
          <w:b/>
          <w:color w:val="000000"/>
          <w:sz w:val="27"/>
          <w:szCs w:val="27"/>
        </w:rPr>
        <w:t>Duration:</w:t>
      </w:r>
    </w:p>
    <w:p w14:paraId="16271ED7" w14:textId="77777777" w:rsidR="00F263A3" w:rsidRDefault="00FE72B3">
      <w:pPr>
        <w:numPr>
          <w:ilvl w:val="0"/>
          <w:numId w:val="12"/>
        </w:numPr>
        <w:pBdr>
          <w:top w:val="nil"/>
          <w:left w:val="nil"/>
          <w:bottom w:val="nil"/>
          <w:right w:val="nil"/>
          <w:between w:val="nil"/>
        </w:pBdr>
        <w:spacing w:after="0"/>
        <w:jc w:val="both"/>
        <w:rPr>
          <w:color w:val="000000"/>
          <w:sz w:val="27"/>
          <w:szCs w:val="27"/>
        </w:rPr>
      </w:pPr>
      <w:r>
        <w:rPr>
          <w:color w:val="000000"/>
          <w:sz w:val="27"/>
          <w:szCs w:val="27"/>
        </w:rPr>
        <w:t>Duration measures the average time (in years) it takes for an investor to receive the bond's cash flows, weighted by their present value.</w:t>
      </w:r>
    </w:p>
    <w:p w14:paraId="75D6C9DC" w14:textId="77777777" w:rsidR="00F263A3" w:rsidRDefault="00FE72B3">
      <w:pPr>
        <w:numPr>
          <w:ilvl w:val="0"/>
          <w:numId w:val="12"/>
        </w:numPr>
        <w:pBdr>
          <w:top w:val="nil"/>
          <w:left w:val="nil"/>
          <w:bottom w:val="nil"/>
          <w:right w:val="nil"/>
          <w:between w:val="nil"/>
        </w:pBdr>
        <w:spacing w:after="0"/>
        <w:jc w:val="both"/>
        <w:rPr>
          <w:color w:val="000000"/>
          <w:sz w:val="27"/>
          <w:szCs w:val="27"/>
        </w:rPr>
      </w:pPr>
      <w:r>
        <w:rPr>
          <w:color w:val="000000"/>
          <w:sz w:val="27"/>
          <w:szCs w:val="27"/>
        </w:rPr>
        <w:t>Interest Rate Sensitivity: Duration indicates how sensitive the bond's price is to interest rate changes.</w:t>
      </w:r>
    </w:p>
    <w:p w14:paraId="4C0B001F" w14:textId="77777777" w:rsidR="00F263A3" w:rsidRDefault="00FE72B3">
      <w:pPr>
        <w:numPr>
          <w:ilvl w:val="0"/>
          <w:numId w:val="12"/>
        </w:numPr>
        <w:pBdr>
          <w:top w:val="nil"/>
          <w:left w:val="nil"/>
          <w:bottom w:val="nil"/>
          <w:right w:val="nil"/>
          <w:between w:val="nil"/>
        </w:pBdr>
        <w:spacing w:after="0"/>
        <w:jc w:val="both"/>
        <w:rPr>
          <w:color w:val="000000"/>
          <w:sz w:val="27"/>
          <w:szCs w:val="27"/>
        </w:rPr>
      </w:pPr>
      <w:r>
        <w:rPr>
          <w:color w:val="000000"/>
          <w:sz w:val="27"/>
          <w:szCs w:val="27"/>
        </w:rPr>
        <w:t>For instance, Bond D, with a duration of 18.81, is more sensitive to interest rate changes compared to Bond C, which has a duration of 5.78.</w:t>
      </w:r>
    </w:p>
    <w:p w14:paraId="5D108133" w14:textId="77777777" w:rsidR="00F263A3" w:rsidRDefault="00FE72B3">
      <w:pPr>
        <w:numPr>
          <w:ilvl w:val="0"/>
          <w:numId w:val="12"/>
        </w:numPr>
        <w:pBdr>
          <w:top w:val="nil"/>
          <w:left w:val="nil"/>
          <w:bottom w:val="nil"/>
          <w:right w:val="nil"/>
          <w:between w:val="nil"/>
        </w:pBdr>
        <w:spacing w:after="0"/>
        <w:jc w:val="both"/>
        <w:rPr>
          <w:color w:val="000000"/>
          <w:sz w:val="27"/>
          <w:szCs w:val="27"/>
        </w:rPr>
      </w:pPr>
      <w:r>
        <w:rPr>
          <w:color w:val="000000"/>
          <w:sz w:val="27"/>
          <w:szCs w:val="27"/>
        </w:rPr>
        <w:t>Investment Horizon: Investors with a short-term outlook might prefer bonds with lower durations, while long-term investors may consider bonds with higher durations.</w:t>
      </w:r>
    </w:p>
    <w:p w14:paraId="5D39567F" w14:textId="77777777" w:rsidR="00F263A3" w:rsidRDefault="00FE72B3">
      <w:pPr>
        <w:numPr>
          <w:ilvl w:val="0"/>
          <w:numId w:val="12"/>
        </w:numPr>
        <w:pBdr>
          <w:top w:val="nil"/>
          <w:left w:val="nil"/>
          <w:bottom w:val="nil"/>
          <w:right w:val="nil"/>
          <w:between w:val="nil"/>
        </w:pBdr>
        <w:jc w:val="both"/>
        <w:rPr>
          <w:color w:val="000000"/>
          <w:sz w:val="27"/>
          <w:szCs w:val="27"/>
        </w:rPr>
      </w:pPr>
      <w:r>
        <w:rPr>
          <w:color w:val="000000"/>
          <w:sz w:val="27"/>
          <w:szCs w:val="27"/>
        </w:rPr>
        <w:t>For an investor concerned about rising interest rates, Bond C with a duration of 5.78 is less risky than Bond D.</w:t>
      </w:r>
    </w:p>
    <w:p w14:paraId="7BB81F39" w14:textId="77777777" w:rsidR="00F263A3" w:rsidRDefault="00F263A3">
      <w:pPr>
        <w:jc w:val="both"/>
        <w:rPr>
          <w:b/>
          <w:sz w:val="27"/>
          <w:szCs w:val="27"/>
        </w:rPr>
      </w:pPr>
    </w:p>
    <w:p w14:paraId="6192CCC9" w14:textId="77777777" w:rsidR="00F263A3" w:rsidRDefault="00F263A3">
      <w:pPr>
        <w:pBdr>
          <w:top w:val="nil"/>
          <w:left w:val="nil"/>
          <w:bottom w:val="nil"/>
          <w:right w:val="nil"/>
          <w:between w:val="nil"/>
        </w:pBdr>
        <w:spacing w:after="0"/>
        <w:ind w:left="720"/>
        <w:jc w:val="both"/>
        <w:rPr>
          <w:b/>
          <w:color w:val="000000"/>
          <w:sz w:val="27"/>
          <w:szCs w:val="27"/>
        </w:rPr>
      </w:pPr>
    </w:p>
    <w:p w14:paraId="57C71741" w14:textId="77777777" w:rsidR="00F263A3" w:rsidRDefault="00FE72B3">
      <w:pPr>
        <w:numPr>
          <w:ilvl w:val="0"/>
          <w:numId w:val="13"/>
        </w:numPr>
        <w:pBdr>
          <w:top w:val="nil"/>
          <w:left w:val="nil"/>
          <w:bottom w:val="nil"/>
          <w:right w:val="nil"/>
          <w:between w:val="nil"/>
        </w:pBdr>
        <w:spacing w:after="0"/>
        <w:jc w:val="both"/>
        <w:rPr>
          <w:b/>
          <w:color w:val="000000"/>
          <w:sz w:val="27"/>
          <w:szCs w:val="27"/>
        </w:rPr>
      </w:pPr>
      <w:r>
        <w:rPr>
          <w:b/>
          <w:color w:val="000000"/>
          <w:sz w:val="27"/>
          <w:szCs w:val="27"/>
        </w:rPr>
        <w:t>Modified Duration:</w:t>
      </w:r>
    </w:p>
    <w:p w14:paraId="0BD40975" w14:textId="77777777" w:rsidR="00F263A3" w:rsidRDefault="00FE72B3">
      <w:pPr>
        <w:numPr>
          <w:ilvl w:val="0"/>
          <w:numId w:val="14"/>
        </w:numPr>
        <w:pBdr>
          <w:top w:val="nil"/>
          <w:left w:val="nil"/>
          <w:bottom w:val="nil"/>
          <w:right w:val="nil"/>
          <w:between w:val="nil"/>
        </w:pBdr>
        <w:spacing w:after="0"/>
        <w:jc w:val="both"/>
        <w:rPr>
          <w:color w:val="000000"/>
          <w:sz w:val="27"/>
          <w:szCs w:val="27"/>
        </w:rPr>
      </w:pPr>
      <w:r>
        <w:rPr>
          <w:color w:val="000000"/>
          <w:sz w:val="27"/>
          <w:szCs w:val="27"/>
        </w:rPr>
        <w:t>Modified duration adjusts the duration to measure the percentage change in bond price for a 1% change in interest rates.</w:t>
      </w:r>
    </w:p>
    <w:p w14:paraId="607B961C" w14:textId="77777777" w:rsidR="00F263A3" w:rsidRDefault="00FE72B3">
      <w:pPr>
        <w:numPr>
          <w:ilvl w:val="0"/>
          <w:numId w:val="14"/>
        </w:numPr>
        <w:pBdr>
          <w:top w:val="nil"/>
          <w:left w:val="nil"/>
          <w:bottom w:val="nil"/>
          <w:right w:val="nil"/>
          <w:between w:val="nil"/>
        </w:pBdr>
        <w:spacing w:after="0"/>
        <w:jc w:val="both"/>
        <w:rPr>
          <w:color w:val="000000"/>
          <w:sz w:val="27"/>
          <w:szCs w:val="27"/>
        </w:rPr>
      </w:pPr>
      <w:r>
        <w:rPr>
          <w:color w:val="000000"/>
          <w:sz w:val="27"/>
          <w:szCs w:val="27"/>
        </w:rPr>
        <w:t>Risk Management: Modified duration is a direct measure of price volatility due to interest rate changes.</w:t>
      </w:r>
    </w:p>
    <w:p w14:paraId="003A8A64" w14:textId="77777777" w:rsidR="00F263A3" w:rsidRDefault="00FE72B3">
      <w:pPr>
        <w:numPr>
          <w:ilvl w:val="0"/>
          <w:numId w:val="14"/>
        </w:numPr>
        <w:pBdr>
          <w:top w:val="nil"/>
          <w:left w:val="nil"/>
          <w:bottom w:val="nil"/>
          <w:right w:val="nil"/>
          <w:between w:val="nil"/>
        </w:pBdr>
        <w:spacing w:after="0"/>
        <w:jc w:val="both"/>
        <w:rPr>
          <w:color w:val="000000"/>
          <w:sz w:val="27"/>
          <w:szCs w:val="27"/>
        </w:rPr>
      </w:pPr>
      <w:r>
        <w:rPr>
          <w:color w:val="000000"/>
          <w:sz w:val="27"/>
          <w:szCs w:val="27"/>
        </w:rPr>
        <w:t>For example, Bond B, with a modified duration of 7.87, would experience a price decrease of approximately 7.87% if interest rates increase by 1%.</w:t>
      </w:r>
    </w:p>
    <w:p w14:paraId="60DBC61D" w14:textId="77777777" w:rsidR="00F263A3" w:rsidRDefault="00F263A3">
      <w:pPr>
        <w:pBdr>
          <w:top w:val="nil"/>
          <w:left w:val="nil"/>
          <w:bottom w:val="nil"/>
          <w:right w:val="nil"/>
          <w:between w:val="nil"/>
        </w:pBdr>
        <w:spacing w:after="0"/>
        <w:ind w:left="1080"/>
        <w:jc w:val="both"/>
        <w:rPr>
          <w:color w:val="000000"/>
          <w:sz w:val="27"/>
          <w:szCs w:val="27"/>
        </w:rPr>
      </w:pPr>
    </w:p>
    <w:p w14:paraId="0BFCFFDA" w14:textId="77777777" w:rsidR="00FE72B3" w:rsidRDefault="00FE72B3" w:rsidP="00FE72B3">
      <w:pPr>
        <w:pBdr>
          <w:top w:val="nil"/>
          <w:left w:val="nil"/>
          <w:bottom w:val="nil"/>
          <w:right w:val="nil"/>
          <w:between w:val="nil"/>
        </w:pBdr>
        <w:spacing w:after="0"/>
        <w:jc w:val="both"/>
        <w:rPr>
          <w:b/>
          <w:color w:val="000000"/>
          <w:sz w:val="27"/>
          <w:szCs w:val="27"/>
        </w:rPr>
      </w:pPr>
    </w:p>
    <w:p w14:paraId="6A4C31AF" w14:textId="4CB662E6" w:rsidR="00F263A3" w:rsidRDefault="00FE72B3">
      <w:pPr>
        <w:numPr>
          <w:ilvl w:val="0"/>
          <w:numId w:val="13"/>
        </w:numPr>
        <w:pBdr>
          <w:top w:val="nil"/>
          <w:left w:val="nil"/>
          <w:bottom w:val="nil"/>
          <w:right w:val="nil"/>
          <w:between w:val="nil"/>
        </w:pBdr>
        <w:spacing w:after="0"/>
        <w:jc w:val="both"/>
        <w:rPr>
          <w:b/>
          <w:color w:val="000000"/>
          <w:sz w:val="27"/>
          <w:szCs w:val="27"/>
        </w:rPr>
      </w:pPr>
      <w:r>
        <w:rPr>
          <w:b/>
          <w:color w:val="000000"/>
          <w:sz w:val="27"/>
          <w:szCs w:val="27"/>
        </w:rPr>
        <w:lastRenderedPageBreak/>
        <w:t>Convexity:</w:t>
      </w:r>
    </w:p>
    <w:p w14:paraId="081AE510" w14:textId="77777777" w:rsidR="00F263A3" w:rsidRDefault="00FE72B3">
      <w:pPr>
        <w:numPr>
          <w:ilvl w:val="0"/>
          <w:numId w:val="15"/>
        </w:numPr>
        <w:pBdr>
          <w:top w:val="nil"/>
          <w:left w:val="nil"/>
          <w:bottom w:val="nil"/>
          <w:right w:val="nil"/>
          <w:between w:val="nil"/>
        </w:pBdr>
        <w:spacing w:after="0"/>
        <w:jc w:val="both"/>
        <w:rPr>
          <w:color w:val="000000"/>
          <w:sz w:val="27"/>
          <w:szCs w:val="27"/>
        </w:rPr>
      </w:pPr>
      <w:r>
        <w:rPr>
          <w:color w:val="000000"/>
          <w:sz w:val="27"/>
          <w:szCs w:val="27"/>
        </w:rPr>
        <w:t>Convexity measures the rate of change of a bond's duration with respect to changes in interest rates. It captures the non-linear relationship between bond prices and interest rates.</w:t>
      </w:r>
    </w:p>
    <w:p w14:paraId="0AD24C2A" w14:textId="77777777" w:rsidR="00F263A3" w:rsidRDefault="00FE72B3">
      <w:pPr>
        <w:numPr>
          <w:ilvl w:val="0"/>
          <w:numId w:val="15"/>
        </w:numPr>
        <w:pBdr>
          <w:top w:val="nil"/>
          <w:left w:val="nil"/>
          <w:bottom w:val="nil"/>
          <w:right w:val="nil"/>
          <w:between w:val="nil"/>
        </w:pBdr>
        <w:spacing w:after="0"/>
        <w:jc w:val="both"/>
        <w:rPr>
          <w:color w:val="000000"/>
          <w:sz w:val="27"/>
          <w:szCs w:val="27"/>
        </w:rPr>
      </w:pPr>
      <w:r>
        <w:rPr>
          <w:color w:val="000000"/>
          <w:sz w:val="27"/>
          <w:szCs w:val="27"/>
        </w:rPr>
        <w:t>Accurate Price Estimation: Convexity helps refine the estimate of price changes when interest rates fluctuate significantly.</w:t>
      </w:r>
    </w:p>
    <w:p w14:paraId="40C0A752" w14:textId="77777777" w:rsidR="00F263A3" w:rsidRDefault="00FE72B3">
      <w:pPr>
        <w:numPr>
          <w:ilvl w:val="0"/>
          <w:numId w:val="15"/>
        </w:numPr>
        <w:pBdr>
          <w:top w:val="nil"/>
          <w:left w:val="nil"/>
          <w:bottom w:val="nil"/>
          <w:right w:val="nil"/>
          <w:between w:val="nil"/>
        </w:pBdr>
        <w:spacing w:after="0"/>
        <w:jc w:val="both"/>
        <w:rPr>
          <w:color w:val="000000"/>
          <w:sz w:val="27"/>
          <w:szCs w:val="27"/>
        </w:rPr>
      </w:pPr>
      <w:r>
        <w:rPr>
          <w:color w:val="000000"/>
          <w:sz w:val="27"/>
          <w:szCs w:val="27"/>
        </w:rPr>
        <w:t>For example, Bond D has a convexity of 4</w:t>
      </w:r>
      <w:r>
        <w:rPr>
          <w:sz w:val="27"/>
          <w:szCs w:val="27"/>
        </w:rPr>
        <w:t>83.46</w:t>
      </w:r>
      <w:r>
        <w:rPr>
          <w:color w:val="000000"/>
          <w:sz w:val="27"/>
          <w:szCs w:val="27"/>
        </w:rPr>
        <w:t>, meaning it offers more protection against price drops during large interest rate increases compared to Bond C, which has a convexity of 11.3</w:t>
      </w:r>
      <w:r>
        <w:rPr>
          <w:sz w:val="27"/>
          <w:szCs w:val="27"/>
        </w:rPr>
        <w:t>2</w:t>
      </w:r>
      <w:r>
        <w:rPr>
          <w:color w:val="000000"/>
          <w:sz w:val="27"/>
          <w:szCs w:val="27"/>
        </w:rPr>
        <w:t>.</w:t>
      </w:r>
    </w:p>
    <w:p w14:paraId="39DFDA3E" w14:textId="77777777" w:rsidR="00F263A3" w:rsidRDefault="00FE72B3">
      <w:pPr>
        <w:numPr>
          <w:ilvl w:val="0"/>
          <w:numId w:val="15"/>
        </w:numPr>
        <w:pBdr>
          <w:top w:val="nil"/>
          <w:left w:val="nil"/>
          <w:bottom w:val="nil"/>
          <w:right w:val="nil"/>
          <w:between w:val="nil"/>
        </w:pBdr>
        <w:spacing w:after="0"/>
        <w:jc w:val="both"/>
        <w:rPr>
          <w:color w:val="000000"/>
          <w:sz w:val="27"/>
          <w:szCs w:val="27"/>
        </w:rPr>
      </w:pPr>
      <w:r>
        <w:rPr>
          <w:color w:val="000000"/>
          <w:sz w:val="27"/>
          <w:szCs w:val="27"/>
        </w:rPr>
        <w:t>Portfolio Strategy: Investors seeking stability might prefer bonds with higher convexity, as they offer greater price stability in volatile markets.</w:t>
      </w:r>
    </w:p>
    <w:p w14:paraId="5BC4541D" w14:textId="77777777" w:rsidR="00F263A3" w:rsidRDefault="00FE72B3">
      <w:pPr>
        <w:numPr>
          <w:ilvl w:val="0"/>
          <w:numId w:val="15"/>
        </w:numPr>
        <w:pBdr>
          <w:top w:val="nil"/>
          <w:left w:val="nil"/>
          <w:bottom w:val="nil"/>
          <w:right w:val="nil"/>
          <w:between w:val="nil"/>
        </w:pBdr>
        <w:jc w:val="both"/>
        <w:rPr>
          <w:color w:val="000000"/>
          <w:sz w:val="27"/>
          <w:szCs w:val="27"/>
        </w:rPr>
      </w:pPr>
      <w:r>
        <w:rPr>
          <w:color w:val="000000"/>
          <w:sz w:val="27"/>
          <w:szCs w:val="27"/>
        </w:rPr>
        <w:t>Bonds with higher convexity, like Bond D, are more attractive in uncertain markets as they provide better protection against interest rate risk.</w:t>
      </w:r>
    </w:p>
    <w:p w14:paraId="15DBC357" w14:textId="77777777" w:rsidR="00F263A3" w:rsidRDefault="00F263A3">
      <w:pPr>
        <w:jc w:val="both"/>
        <w:rPr>
          <w:sz w:val="27"/>
          <w:szCs w:val="27"/>
        </w:rPr>
      </w:pPr>
    </w:p>
    <w:p w14:paraId="2AE19C2D" w14:textId="77777777" w:rsidR="00F263A3" w:rsidRDefault="00FE72B3">
      <w:pPr>
        <w:spacing w:before="280" w:after="280"/>
        <w:jc w:val="both"/>
        <w:rPr>
          <w:b/>
          <w:sz w:val="27"/>
          <w:szCs w:val="27"/>
        </w:rPr>
      </w:pPr>
      <w:r>
        <w:rPr>
          <w:b/>
          <w:sz w:val="27"/>
          <w:szCs w:val="27"/>
        </w:rPr>
        <w:t>Price – Yield Relationship</w:t>
      </w:r>
    </w:p>
    <w:tbl>
      <w:tblPr>
        <w:tblStyle w:val="a8"/>
        <w:tblW w:w="6015"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ayout w:type="fixed"/>
        <w:tblLook w:val="0400" w:firstRow="0" w:lastRow="0" w:firstColumn="0" w:lastColumn="0" w:noHBand="0" w:noVBand="1"/>
      </w:tblPr>
      <w:tblGrid>
        <w:gridCol w:w="2010"/>
        <w:gridCol w:w="2010"/>
        <w:gridCol w:w="1995"/>
      </w:tblGrid>
      <w:tr w:rsidR="00F263A3" w14:paraId="360D82B2" w14:textId="77777777">
        <w:trPr>
          <w:trHeight w:val="299"/>
        </w:trPr>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2C312D56" w14:textId="77777777" w:rsidR="00F263A3" w:rsidRDefault="00FE72B3">
            <w:pPr>
              <w:jc w:val="both"/>
              <w:rPr>
                <w:b/>
                <w:color w:val="000000"/>
                <w:sz w:val="27"/>
                <w:szCs w:val="27"/>
              </w:rPr>
            </w:pPr>
            <w:r>
              <w:rPr>
                <w:b/>
                <w:color w:val="000000"/>
                <w:sz w:val="27"/>
                <w:szCs w:val="27"/>
              </w:rPr>
              <w:t>YTM</w:t>
            </w:r>
          </w:p>
        </w:tc>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75A4FE8D" w14:textId="77777777" w:rsidR="00F263A3" w:rsidRDefault="00FE72B3">
            <w:pPr>
              <w:jc w:val="both"/>
              <w:rPr>
                <w:b/>
                <w:color w:val="000000"/>
                <w:sz w:val="27"/>
                <w:szCs w:val="27"/>
              </w:rPr>
            </w:pPr>
            <w:r>
              <w:rPr>
                <w:b/>
                <w:color w:val="000000"/>
                <w:sz w:val="27"/>
                <w:szCs w:val="27"/>
              </w:rPr>
              <w:t>Price</w:t>
            </w:r>
          </w:p>
        </w:tc>
        <w:tc>
          <w:tcPr>
            <w:tcW w:w="1995" w:type="dxa"/>
            <w:tcBorders>
              <w:top w:val="single" w:sz="4" w:space="0" w:color="000000"/>
              <w:left w:val="single" w:sz="4" w:space="0" w:color="000000"/>
              <w:bottom w:val="single" w:sz="4" w:space="0" w:color="000000"/>
              <w:right w:val="single" w:sz="4" w:space="0" w:color="000000"/>
            </w:tcBorders>
            <w:shd w:val="clear" w:color="auto" w:fill="FFFFFF"/>
          </w:tcPr>
          <w:p w14:paraId="55C65DE8" w14:textId="77777777" w:rsidR="00F263A3" w:rsidRDefault="00FE72B3">
            <w:pPr>
              <w:jc w:val="both"/>
              <w:rPr>
                <w:b/>
                <w:color w:val="000000"/>
                <w:sz w:val="27"/>
                <w:szCs w:val="27"/>
              </w:rPr>
            </w:pPr>
            <w:r>
              <w:rPr>
                <w:b/>
                <w:color w:val="000000"/>
                <w:sz w:val="27"/>
                <w:szCs w:val="27"/>
              </w:rPr>
              <w:t>Bond Type</w:t>
            </w:r>
          </w:p>
        </w:tc>
      </w:tr>
      <w:tr w:rsidR="00F263A3" w14:paraId="08588FCD" w14:textId="77777777">
        <w:trPr>
          <w:trHeight w:val="251"/>
        </w:trPr>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3F5BB258" w14:textId="77777777" w:rsidR="00F263A3" w:rsidRDefault="00FE72B3">
            <w:pPr>
              <w:jc w:val="both"/>
              <w:rPr>
                <w:b/>
                <w:color w:val="000000"/>
                <w:sz w:val="27"/>
                <w:szCs w:val="27"/>
              </w:rPr>
            </w:pPr>
            <w:r>
              <w:rPr>
                <w:color w:val="000000"/>
              </w:rPr>
              <w:t>1.5%</w:t>
            </w:r>
          </w:p>
        </w:tc>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3BD59EFA" w14:textId="77777777" w:rsidR="00F263A3" w:rsidRDefault="00FE72B3">
            <w:pPr>
              <w:jc w:val="both"/>
              <w:rPr>
                <w:b/>
                <w:color w:val="000000"/>
                <w:sz w:val="27"/>
                <w:szCs w:val="27"/>
              </w:rPr>
            </w:pPr>
            <w:r>
              <w:rPr>
                <w:color w:val="000000"/>
              </w:rPr>
              <w:t>121.03</w:t>
            </w:r>
          </w:p>
        </w:tc>
        <w:tc>
          <w:tcPr>
            <w:tcW w:w="1995" w:type="dxa"/>
            <w:tcBorders>
              <w:top w:val="single" w:sz="4" w:space="0" w:color="000000"/>
              <w:left w:val="single" w:sz="4" w:space="0" w:color="000000"/>
              <w:bottom w:val="single" w:sz="4" w:space="0" w:color="000000"/>
              <w:right w:val="single" w:sz="4" w:space="0" w:color="000000"/>
            </w:tcBorders>
            <w:shd w:val="clear" w:color="auto" w:fill="FFFFFF"/>
          </w:tcPr>
          <w:p w14:paraId="0D40C1D4" w14:textId="77777777" w:rsidR="00F263A3" w:rsidRDefault="00FE72B3">
            <w:pPr>
              <w:jc w:val="both"/>
              <w:rPr>
                <w:b/>
                <w:color w:val="000000"/>
                <w:sz w:val="27"/>
                <w:szCs w:val="27"/>
              </w:rPr>
            </w:pPr>
            <w:r>
              <w:rPr>
                <w:color w:val="000000"/>
              </w:rPr>
              <w:t>Bond A</w:t>
            </w:r>
          </w:p>
        </w:tc>
      </w:tr>
      <w:tr w:rsidR="00F263A3" w14:paraId="5BCC1C85" w14:textId="77777777">
        <w:trPr>
          <w:trHeight w:val="239"/>
        </w:trPr>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48915E46" w14:textId="77777777" w:rsidR="00F263A3" w:rsidRDefault="00FE72B3">
            <w:pPr>
              <w:jc w:val="both"/>
              <w:rPr>
                <w:b/>
                <w:color w:val="000000"/>
                <w:sz w:val="27"/>
                <w:szCs w:val="27"/>
              </w:rPr>
            </w:pPr>
            <w:r>
              <w:rPr>
                <w:color w:val="000000"/>
              </w:rPr>
              <w:t>2.3%</w:t>
            </w:r>
          </w:p>
        </w:tc>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0BDA831E" w14:textId="77777777" w:rsidR="00F263A3" w:rsidRDefault="00FE72B3">
            <w:pPr>
              <w:jc w:val="both"/>
              <w:rPr>
                <w:b/>
                <w:color w:val="000000"/>
                <w:sz w:val="27"/>
                <w:szCs w:val="27"/>
              </w:rPr>
            </w:pPr>
            <w:r>
              <w:rPr>
                <w:color w:val="000000"/>
              </w:rPr>
              <w:t>106.75</w:t>
            </w:r>
          </w:p>
        </w:tc>
        <w:tc>
          <w:tcPr>
            <w:tcW w:w="1995" w:type="dxa"/>
            <w:tcBorders>
              <w:top w:val="single" w:sz="4" w:space="0" w:color="000000"/>
              <w:left w:val="single" w:sz="4" w:space="0" w:color="000000"/>
              <w:bottom w:val="single" w:sz="4" w:space="0" w:color="000000"/>
              <w:right w:val="single" w:sz="4" w:space="0" w:color="000000"/>
            </w:tcBorders>
            <w:shd w:val="clear" w:color="auto" w:fill="FFFFFF"/>
          </w:tcPr>
          <w:p w14:paraId="58E4C7A6" w14:textId="77777777" w:rsidR="00F263A3" w:rsidRDefault="00FE72B3">
            <w:pPr>
              <w:jc w:val="both"/>
              <w:rPr>
                <w:b/>
                <w:color w:val="000000"/>
                <w:sz w:val="27"/>
                <w:szCs w:val="27"/>
              </w:rPr>
            </w:pPr>
            <w:r>
              <w:rPr>
                <w:color w:val="000000"/>
              </w:rPr>
              <w:t>Bond A</w:t>
            </w:r>
          </w:p>
        </w:tc>
      </w:tr>
      <w:tr w:rsidR="00F263A3" w14:paraId="6B1CE007" w14:textId="77777777">
        <w:trPr>
          <w:trHeight w:val="251"/>
        </w:trPr>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406F05C4" w14:textId="77777777" w:rsidR="00F263A3" w:rsidRDefault="00FE72B3">
            <w:pPr>
              <w:jc w:val="both"/>
              <w:rPr>
                <w:b/>
                <w:color w:val="000000"/>
                <w:sz w:val="27"/>
                <w:szCs w:val="27"/>
              </w:rPr>
            </w:pPr>
            <w:r>
              <w:rPr>
                <w:color w:val="000000"/>
              </w:rPr>
              <w:t>5.0%</w:t>
            </w:r>
          </w:p>
        </w:tc>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7E3CF5CF" w14:textId="77777777" w:rsidR="00F263A3" w:rsidRDefault="00FE72B3">
            <w:pPr>
              <w:jc w:val="both"/>
              <w:rPr>
                <w:b/>
                <w:color w:val="000000"/>
                <w:sz w:val="27"/>
                <w:szCs w:val="27"/>
              </w:rPr>
            </w:pPr>
            <w:r>
              <w:rPr>
                <w:color w:val="000000"/>
              </w:rPr>
              <w:t>79.84</w:t>
            </w:r>
          </w:p>
        </w:tc>
        <w:tc>
          <w:tcPr>
            <w:tcW w:w="1995" w:type="dxa"/>
            <w:tcBorders>
              <w:top w:val="single" w:sz="4" w:space="0" w:color="000000"/>
              <w:left w:val="single" w:sz="4" w:space="0" w:color="000000"/>
              <w:bottom w:val="single" w:sz="4" w:space="0" w:color="000000"/>
              <w:right w:val="single" w:sz="4" w:space="0" w:color="000000"/>
            </w:tcBorders>
            <w:shd w:val="clear" w:color="auto" w:fill="FFFFFF"/>
          </w:tcPr>
          <w:p w14:paraId="03AEFC97" w14:textId="77777777" w:rsidR="00F263A3" w:rsidRDefault="00FE72B3">
            <w:pPr>
              <w:jc w:val="both"/>
              <w:rPr>
                <w:b/>
                <w:color w:val="000000"/>
                <w:sz w:val="27"/>
                <w:szCs w:val="27"/>
              </w:rPr>
            </w:pPr>
            <w:r>
              <w:rPr>
                <w:color w:val="000000"/>
              </w:rPr>
              <w:t>Bond A</w:t>
            </w:r>
          </w:p>
        </w:tc>
      </w:tr>
      <w:tr w:rsidR="00F263A3" w14:paraId="20531D66" w14:textId="77777777">
        <w:trPr>
          <w:trHeight w:val="239"/>
        </w:trPr>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4DCB6F11" w14:textId="77777777" w:rsidR="00F263A3" w:rsidRDefault="00FE72B3">
            <w:pPr>
              <w:jc w:val="both"/>
              <w:rPr>
                <w:b/>
                <w:color w:val="000000"/>
                <w:sz w:val="27"/>
                <w:szCs w:val="27"/>
              </w:rPr>
            </w:pPr>
            <w:r>
              <w:rPr>
                <w:color w:val="000000"/>
              </w:rPr>
              <w:t>7.5%</w:t>
            </w:r>
          </w:p>
        </w:tc>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1070C934" w14:textId="77777777" w:rsidR="00F263A3" w:rsidRDefault="00FE72B3">
            <w:pPr>
              <w:jc w:val="both"/>
              <w:rPr>
                <w:b/>
                <w:color w:val="000000"/>
                <w:sz w:val="27"/>
                <w:szCs w:val="27"/>
              </w:rPr>
            </w:pPr>
            <w:r>
              <w:rPr>
                <w:color w:val="000000"/>
              </w:rPr>
              <w:t>37.81</w:t>
            </w:r>
          </w:p>
        </w:tc>
        <w:tc>
          <w:tcPr>
            <w:tcW w:w="1995" w:type="dxa"/>
            <w:tcBorders>
              <w:top w:val="single" w:sz="4" w:space="0" w:color="000000"/>
              <w:left w:val="single" w:sz="4" w:space="0" w:color="000000"/>
              <w:bottom w:val="single" w:sz="4" w:space="0" w:color="000000"/>
              <w:right w:val="single" w:sz="4" w:space="0" w:color="000000"/>
            </w:tcBorders>
            <w:shd w:val="clear" w:color="auto" w:fill="FFFFFF"/>
          </w:tcPr>
          <w:p w14:paraId="51E38431" w14:textId="77777777" w:rsidR="00F263A3" w:rsidRDefault="00FE72B3">
            <w:pPr>
              <w:jc w:val="both"/>
              <w:rPr>
                <w:b/>
                <w:color w:val="000000"/>
                <w:sz w:val="27"/>
                <w:szCs w:val="27"/>
              </w:rPr>
            </w:pPr>
            <w:r>
              <w:rPr>
                <w:color w:val="000000"/>
              </w:rPr>
              <w:t>Bond A</w:t>
            </w:r>
          </w:p>
        </w:tc>
      </w:tr>
      <w:tr w:rsidR="00F263A3" w14:paraId="05BE7B01" w14:textId="77777777">
        <w:trPr>
          <w:trHeight w:val="251"/>
        </w:trPr>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2F9BA47A" w14:textId="77777777" w:rsidR="00F263A3" w:rsidRDefault="00FE72B3">
            <w:pPr>
              <w:jc w:val="both"/>
              <w:rPr>
                <w:b/>
                <w:color w:val="000000"/>
                <w:sz w:val="27"/>
                <w:szCs w:val="27"/>
              </w:rPr>
            </w:pPr>
            <w:r>
              <w:rPr>
                <w:color w:val="000000"/>
              </w:rPr>
              <w:t>1.0%</w:t>
            </w:r>
          </w:p>
        </w:tc>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0101AEAC" w14:textId="77777777" w:rsidR="00F263A3" w:rsidRDefault="00FE72B3">
            <w:pPr>
              <w:jc w:val="both"/>
              <w:rPr>
                <w:b/>
                <w:color w:val="000000"/>
                <w:sz w:val="27"/>
                <w:szCs w:val="27"/>
              </w:rPr>
            </w:pPr>
            <w:r>
              <w:rPr>
                <w:color w:val="000000"/>
              </w:rPr>
              <w:t>127.07</w:t>
            </w:r>
          </w:p>
        </w:tc>
        <w:tc>
          <w:tcPr>
            <w:tcW w:w="1995" w:type="dxa"/>
            <w:tcBorders>
              <w:top w:val="single" w:sz="4" w:space="0" w:color="000000"/>
              <w:left w:val="single" w:sz="4" w:space="0" w:color="000000"/>
              <w:bottom w:val="single" w:sz="4" w:space="0" w:color="000000"/>
              <w:right w:val="single" w:sz="4" w:space="0" w:color="000000"/>
            </w:tcBorders>
            <w:shd w:val="clear" w:color="auto" w:fill="FFFFFF"/>
          </w:tcPr>
          <w:p w14:paraId="3896A180" w14:textId="77777777" w:rsidR="00F263A3" w:rsidRDefault="00FE72B3">
            <w:pPr>
              <w:jc w:val="both"/>
              <w:rPr>
                <w:b/>
                <w:color w:val="000000"/>
                <w:sz w:val="27"/>
                <w:szCs w:val="27"/>
              </w:rPr>
            </w:pPr>
            <w:r>
              <w:rPr>
                <w:color w:val="000000"/>
              </w:rPr>
              <w:t>Bond B</w:t>
            </w:r>
          </w:p>
        </w:tc>
      </w:tr>
      <w:tr w:rsidR="00F263A3" w14:paraId="5CCD01D3" w14:textId="77777777">
        <w:trPr>
          <w:trHeight w:val="239"/>
        </w:trPr>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77818996" w14:textId="77777777" w:rsidR="00F263A3" w:rsidRDefault="00FE72B3">
            <w:pPr>
              <w:jc w:val="both"/>
              <w:rPr>
                <w:b/>
                <w:color w:val="000000"/>
                <w:sz w:val="27"/>
                <w:szCs w:val="27"/>
              </w:rPr>
            </w:pPr>
            <w:r>
              <w:rPr>
                <w:color w:val="000000"/>
              </w:rPr>
              <w:t>2.8%</w:t>
            </w:r>
          </w:p>
        </w:tc>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3F88307C" w14:textId="77777777" w:rsidR="00F263A3" w:rsidRDefault="00FE72B3">
            <w:pPr>
              <w:jc w:val="both"/>
              <w:rPr>
                <w:b/>
                <w:color w:val="000000"/>
                <w:sz w:val="27"/>
                <w:szCs w:val="27"/>
              </w:rPr>
            </w:pPr>
            <w:r>
              <w:rPr>
                <w:color w:val="000000"/>
              </w:rPr>
              <w:t>95.45</w:t>
            </w:r>
          </w:p>
        </w:tc>
        <w:tc>
          <w:tcPr>
            <w:tcW w:w="1995" w:type="dxa"/>
            <w:tcBorders>
              <w:top w:val="single" w:sz="4" w:space="0" w:color="000000"/>
              <w:left w:val="single" w:sz="4" w:space="0" w:color="000000"/>
              <w:bottom w:val="single" w:sz="4" w:space="0" w:color="000000"/>
              <w:right w:val="single" w:sz="4" w:space="0" w:color="000000"/>
            </w:tcBorders>
            <w:shd w:val="clear" w:color="auto" w:fill="FFFFFF"/>
          </w:tcPr>
          <w:p w14:paraId="66B8DB96" w14:textId="77777777" w:rsidR="00F263A3" w:rsidRDefault="00FE72B3">
            <w:pPr>
              <w:jc w:val="both"/>
              <w:rPr>
                <w:b/>
                <w:color w:val="000000"/>
                <w:sz w:val="27"/>
                <w:szCs w:val="27"/>
              </w:rPr>
            </w:pPr>
            <w:r>
              <w:rPr>
                <w:color w:val="000000"/>
              </w:rPr>
              <w:t>Bond B</w:t>
            </w:r>
          </w:p>
        </w:tc>
      </w:tr>
      <w:tr w:rsidR="00F263A3" w14:paraId="69E78145" w14:textId="77777777">
        <w:trPr>
          <w:trHeight w:val="239"/>
        </w:trPr>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3FCBF0EA" w14:textId="77777777" w:rsidR="00F263A3" w:rsidRDefault="00FE72B3">
            <w:pPr>
              <w:jc w:val="both"/>
              <w:rPr>
                <w:b/>
                <w:color w:val="000000"/>
                <w:sz w:val="27"/>
                <w:szCs w:val="27"/>
              </w:rPr>
            </w:pPr>
            <w:r>
              <w:rPr>
                <w:color w:val="000000"/>
              </w:rPr>
              <w:t>3.8%</w:t>
            </w:r>
          </w:p>
        </w:tc>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0DE6251E" w14:textId="77777777" w:rsidR="00F263A3" w:rsidRDefault="00FE72B3">
            <w:pPr>
              <w:jc w:val="both"/>
              <w:rPr>
                <w:b/>
                <w:color w:val="000000"/>
                <w:sz w:val="27"/>
                <w:szCs w:val="27"/>
              </w:rPr>
            </w:pPr>
            <w:r>
              <w:rPr>
                <w:color w:val="000000"/>
              </w:rPr>
              <w:t>87.66</w:t>
            </w:r>
          </w:p>
        </w:tc>
        <w:tc>
          <w:tcPr>
            <w:tcW w:w="1995" w:type="dxa"/>
            <w:tcBorders>
              <w:top w:val="single" w:sz="4" w:space="0" w:color="000000"/>
              <w:left w:val="single" w:sz="4" w:space="0" w:color="000000"/>
              <w:bottom w:val="single" w:sz="4" w:space="0" w:color="000000"/>
              <w:right w:val="single" w:sz="4" w:space="0" w:color="000000"/>
            </w:tcBorders>
            <w:shd w:val="clear" w:color="auto" w:fill="FFFFFF"/>
          </w:tcPr>
          <w:p w14:paraId="512A96C9" w14:textId="77777777" w:rsidR="00F263A3" w:rsidRDefault="00FE72B3">
            <w:pPr>
              <w:jc w:val="both"/>
              <w:rPr>
                <w:b/>
                <w:color w:val="000000"/>
                <w:sz w:val="27"/>
                <w:szCs w:val="27"/>
              </w:rPr>
            </w:pPr>
            <w:r>
              <w:rPr>
                <w:color w:val="000000"/>
              </w:rPr>
              <w:t>Bond B</w:t>
            </w:r>
          </w:p>
        </w:tc>
      </w:tr>
      <w:tr w:rsidR="00F263A3" w14:paraId="39F3CC99" w14:textId="77777777">
        <w:trPr>
          <w:trHeight w:val="251"/>
        </w:trPr>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7157359D" w14:textId="77777777" w:rsidR="00F263A3" w:rsidRDefault="00FE72B3">
            <w:pPr>
              <w:jc w:val="both"/>
              <w:rPr>
                <w:color w:val="000000"/>
              </w:rPr>
            </w:pPr>
            <w:r>
              <w:rPr>
                <w:color w:val="000000"/>
              </w:rPr>
              <w:t>6.5%</w:t>
            </w:r>
          </w:p>
        </w:tc>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39B0CA69" w14:textId="77777777" w:rsidR="00F263A3" w:rsidRDefault="00FE72B3">
            <w:pPr>
              <w:jc w:val="both"/>
              <w:rPr>
                <w:color w:val="000000"/>
              </w:rPr>
            </w:pPr>
            <w:r>
              <w:rPr>
                <w:color w:val="000000"/>
              </w:rPr>
              <w:t>40.79</w:t>
            </w:r>
          </w:p>
        </w:tc>
        <w:tc>
          <w:tcPr>
            <w:tcW w:w="1995" w:type="dxa"/>
            <w:tcBorders>
              <w:top w:val="single" w:sz="4" w:space="0" w:color="000000"/>
              <w:left w:val="single" w:sz="4" w:space="0" w:color="000000"/>
              <w:bottom w:val="single" w:sz="4" w:space="0" w:color="000000"/>
              <w:right w:val="single" w:sz="4" w:space="0" w:color="000000"/>
            </w:tcBorders>
            <w:shd w:val="clear" w:color="auto" w:fill="FFFFFF"/>
          </w:tcPr>
          <w:p w14:paraId="4E51FA15" w14:textId="77777777" w:rsidR="00F263A3" w:rsidRDefault="00FE72B3">
            <w:pPr>
              <w:jc w:val="both"/>
              <w:rPr>
                <w:color w:val="000000"/>
              </w:rPr>
            </w:pPr>
            <w:r>
              <w:rPr>
                <w:color w:val="000000"/>
              </w:rPr>
              <w:t>Bond B</w:t>
            </w:r>
          </w:p>
        </w:tc>
      </w:tr>
      <w:tr w:rsidR="00F263A3" w14:paraId="05D2EAC3" w14:textId="77777777">
        <w:trPr>
          <w:trHeight w:val="239"/>
        </w:trPr>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58FCE2AC" w14:textId="77777777" w:rsidR="00F263A3" w:rsidRDefault="00FE72B3">
            <w:pPr>
              <w:jc w:val="both"/>
              <w:rPr>
                <w:color w:val="000000"/>
              </w:rPr>
            </w:pPr>
            <w:r>
              <w:rPr>
                <w:color w:val="000000"/>
              </w:rPr>
              <w:t>2.0%</w:t>
            </w:r>
          </w:p>
        </w:tc>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7890B932" w14:textId="77777777" w:rsidR="00F263A3" w:rsidRDefault="00FE72B3">
            <w:pPr>
              <w:jc w:val="both"/>
              <w:rPr>
                <w:color w:val="000000"/>
              </w:rPr>
            </w:pPr>
            <w:r>
              <w:rPr>
                <w:color w:val="000000"/>
              </w:rPr>
              <w:t>95.50</w:t>
            </w:r>
          </w:p>
        </w:tc>
        <w:tc>
          <w:tcPr>
            <w:tcW w:w="1995" w:type="dxa"/>
            <w:tcBorders>
              <w:top w:val="single" w:sz="4" w:space="0" w:color="000000"/>
              <w:left w:val="single" w:sz="4" w:space="0" w:color="000000"/>
              <w:bottom w:val="single" w:sz="4" w:space="0" w:color="000000"/>
              <w:right w:val="single" w:sz="4" w:space="0" w:color="000000"/>
            </w:tcBorders>
            <w:shd w:val="clear" w:color="auto" w:fill="FFFFFF"/>
          </w:tcPr>
          <w:p w14:paraId="631DB5C3" w14:textId="77777777" w:rsidR="00F263A3" w:rsidRDefault="00FE72B3">
            <w:pPr>
              <w:jc w:val="both"/>
              <w:rPr>
                <w:color w:val="000000"/>
              </w:rPr>
            </w:pPr>
            <w:r>
              <w:rPr>
                <w:color w:val="000000"/>
              </w:rPr>
              <w:t>Bond C</w:t>
            </w:r>
          </w:p>
        </w:tc>
      </w:tr>
      <w:tr w:rsidR="00F263A3" w14:paraId="4AE13F67" w14:textId="77777777">
        <w:trPr>
          <w:trHeight w:val="251"/>
        </w:trPr>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0784E40E" w14:textId="77777777" w:rsidR="00F263A3" w:rsidRDefault="00FE72B3">
            <w:pPr>
              <w:jc w:val="both"/>
              <w:rPr>
                <w:color w:val="000000"/>
              </w:rPr>
            </w:pPr>
            <w:r>
              <w:rPr>
                <w:color w:val="000000"/>
              </w:rPr>
              <w:t>3.0%</w:t>
            </w:r>
          </w:p>
        </w:tc>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102D9CD2" w14:textId="77777777" w:rsidR="00F263A3" w:rsidRDefault="00FE72B3">
            <w:pPr>
              <w:jc w:val="both"/>
              <w:rPr>
                <w:color w:val="000000"/>
              </w:rPr>
            </w:pPr>
            <w:r>
              <w:rPr>
                <w:color w:val="000000"/>
              </w:rPr>
              <w:t>81.03</w:t>
            </w:r>
          </w:p>
        </w:tc>
        <w:tc>
          <w:tcPr>
            <w:tcW w:w="1995" w:type="dxa"/>
            <w:tcBorders>
              <w:top w:val="single" w:sz="4" w:space="0" w:color="000000"/>
              <w:left w:val="single" w:sz="4" w:space="0" w:color="000000"/>
              <w:bottom w:val="single" w:sz="4" w:space="0" w:color="000000"/>
              <w:right w:val="single" w:sz="4" w:space="0" w:color="000000"/>
            </w:tcBorders>
            <w:shd w:val="clear" w:color="auto" w:fill="FFFFFF"/>
          </w:tcPr>
          <w:p w14:paraId="40E5CC73" w14:textId="77777777" w:rsidR="00F263A3" w:rsidRDefault="00FE72B3">
            <w:pPr>
              <w:jc w:val="both"/>
              <w:rPr>
                <w:color w:val="000000"/>
              </w:rPr>
            </w:pPr>
            <w:r>
              <w:rPr>
                <w:color w:val="000000"/>
              </w:rPr>
              <w:t>Bond C</w:t>
            </w:r>
          </w:p>
        </w:tc>
      </w:tr>
      <w:tr w:rsidR="00F263A3" w14:paraId="737F2E95" w14:textId="77777777">
        <w:trPr>
          <w:trHeight w:val="239"/>
        </w:trPr>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3E4A3446" w14:textId="77777777" w:rsidR="00F263A3" w:rsidRDefault="00FE72B3">
            <w:pPr>
              <w:jc w:val="both"/>
              <w:rPr>
                <w:color w:val="000000"/>
              </w:rPr>
            </w:pPr>
            <w:r>
              <w:rPr>
                <w:color w:val="000000"/>
              </w:rPr>
              <w:t>5.8%</w:t>
            </w:r>
          </w:p>
        </w:tc>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3FC443D0" w14:textId="77777777" w:rsidR="00F263A3" w:rsidRDefault="00FE72B3">
            <w:pPr>
              <w:jc w:val="both"/>
              <w:rPr>
                <w:color w:val="000000"/>
              </w:rPr>
            </w:pPr>
            <w:r>
              <w:rPr>
                <w:color w:val="000000"/>
              </w:rPr>
              <w:t>65.45</w:t>
            </w:r>
          </w:p>
        </w:tc>
        <w:tc>
          <w:tcPr>
            <w:tcW w:w="1995" w:type="dxa"/>
            <w:tcBorders>
              <w:top w:val="single" w:sz="4" w:space="0" w:color="000000"/>
              <w:left w:val="single" w:sz="4" w:space="0" w:color="000000"/>
              <w:bottom w:val="single" w:sz="4" w:space="0" w:color="000000"/>
              <w:right w:val="single" w:sz="4" w:space="0" w:color="000000"/>
            </w:tcBorders>
            <w:shd w:val="clear" w:color="auto" w:fill="FFFFFF"/>
          </w:tcPr>
          <w:p w14:paraId="676A48FE" w14:textId="77777777" w:rsidR="00F263A3" w:rsidRDefault="00FE72B3">
            <w:pPr>
              <w:jc w:val="both"/>
              <w:rPr>
                <w:color w:val="000000"/>
              </w:rPr>
            </w:pPr>
            <w:r>
              <w:rPr>
                <w:color w:val="000000"/>
              </w:rPr>
              <w:t>Bond C</w:t>
            </w:r>
          </w:p>
        </w:tc>
      </w:tr>
      <w:tr w:rsidR="00F263A3" w14:paraId="48CB273E" w14:textId="77777777">
        <w:trPr>
          <w:trHeight w:val="251"/>
        </w:trPr>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712B030F" w14:textId="77777777" w:rsidR="00F263A3" w:rsidRDefault="00FE72B3">
            <w:pPr>
              <w:jc w:val="both"/>
              <w:rPr>
                <w:color w:val="000000"/>
              </w:rPr>
            </w:pPr>
            <w:r>
              <w:rPr>
                <w:color w:val="000000"/>
              </w:rPr>
              <w:t>8.0%</w:t>
            </w:r>
          </w:p>
        </w:tc>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1A215D3F" w14:textId="77777777" w:rsidR="00F263A3" w:rsidRDefault="00FE72B3">
            <w:pPr>
              <w:jc w:val="both"/>
              <w:rPr>
                <w:color w:val="000000"/>
              </w:rPr>
            </w:pPr>
            <w:r>
              <w:rPr>
                <w:color w:val="000000"/>
              </w:rPr>
              <w:t>23.00</w:t>
            </w:r>
          </w:p>
        </w:tc>
        <w:tc>
          <w:tcPr>
            <w:tcW w:w="1995" w:type="dxa"/>
            <w:tcBorders>
              <w:top w:val="single" w:sz="4" w:space="0" w:color="000000"/>
              <w:left w:val="single" w:sz="4" w:space="0" w:color="000000"/>
              <w:bottom w:val="single" w:sz="4" w:space="0" w:color="000000"/>
              <w:right w:val="single" w:sz="4" w:space="0" w:color="000000"/>
            </w:tcBorders>
            <w:shd w:val="clear" w:color="auto" w:fill="FFFFFF"/>
          </w:tcPr>
          <w:p w14:paraId="0D030B0A" w14:textId="77777777" w:rsidR="00F263A3" w:rsidRDefault="00FE72B3">
            <w:pPr>
              <w:jc w:val="both"/>
              <w:rPr>
                <w:color w:val="000000"/>
              </w:rPr>
            </w:pPr>
            <w:r>
              <w:rPr>
                <w:color w:val="000000"/>
              </w:rPr>
              <w:t>Bond C</w:t>
            </w:r>
          </w:p>
        </w:tc>
      </w:tr>
      <w:tr w:rsidR="00F263A3" w14:paraId="7FC77F20" w14:textId="77777777">
        <w:trPr>
          <w:trHeight w:val="239"/>
        </w:trPr>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34AD6099" w14:textId="77777777" w:rsidR="00F263A3" w:rsidRDefault="00FE72B3">
            <w:pPr>
              <w:jc w:val="both"/>
              <w:rPr>
                <w:color w:val="000000"/>
              </w:rPr>
            </w:pPr>
            <w:r>
              <w:rPr>
                <w:color w:val="000000"/>
              </w:rPr>
              <w:t>3.8%</w:t>
            </w:r>
          </w:p>
        </w:tc>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7A5F96B5" w14:textId="77777777" w:rsidR="00F263A3" w:rsidRDefault="00FE72B3">
            <w:pPr>
              <w:jc w:val="both"/>
              <w:rPr>
                <w:color w:val="000000"/>
              </w:rPr>
            </w:pPr>
            <w:r>
              <w:rPr>
                <w:color w:val="000000"/>
              </w:rPr>
              <w:t>76.48</w:t>
            </w:r>
          </w:p>
        </w:tc>
        <w:tc>
          <w:tcPr>
            <w:tcW w:w="1995" w:type="dxa"/>
            <w:tcBorders>
              <w:top w:val="single" w:sz="4" w:space="0" w:color="000000"/>
              <w:left w:val="single" w:sz="4" w:space="0" w:color="000000"/>
              <w:bottom w:val="single" w:sz="4" w:space="0" w:color="000000"/>
              <w:right w:val="single" w:sz="4" w:space="0" w:color="000000"/>
            </w:tcBorders>
            <w:shd w:val="clear" w:color="auto" w:fill="FFFFFF"/>
          </w:tcPr>
          <w:p w14:paraId="4025A8BF" w14:textId="77777777" w:rsidR="00F263A3" w:rsidRDefault="00FE72B3">
            <w:pPr>
              <w:jc w:val="both"/>
              <w:rPr>
                <w:color w:val="000000"/>
              </w:rPr>
            </w:pPr>
            <w:r>
              <w:rPr>
                <w:color w:val="000000"/>
              </w:rPr>
              <w:t>Bond D</w:t>
            </w:r>
          </w:p>
        </w:tc>
      </w:tr>
      <w:tr w:rsidR="00F263A3" w14:paraId="0E686AA7" w14:textId="77777777">
        <w:trPr>
          <w:trHeight w:val="251"/>
        </w:trPr>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2364E35E" w14:textId="77777777" w:rsidR="00F263A3" w:rsidRDefault="00FE72B3">
            <w:pPr>
              <w:jc w:val="both"/>
              <w:rPr>
                <w:color w:val="000000"/>
              </w:rPr>
            </w:pPr>
            <w:r>
              <w:rPr>
                <w:color w:val="000000"/>
              </w:rPr>
              <w:t>5.3%</w:t>
            </w:r>
          </w:p>
        </w:tc>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7073409F" w14:textId="77777777" w:rsidR="00F263A3" w:rsidRDefault="00FE72B3">
            <w:pPr>
              <w:jc w:val="both"/>
              <w:rPr>
                <w:color w:val="000000"/>
              </w:rPr>
            </w:pPr>
            <w:r>
              <w:rPr>
                <w:color w:val="000000"/>
              </w:rPr>
              <w:t>61.12</w:t>
            </w:r>
          </w:p>
        </w:tc>
        <w:tc>
          <w:tcPr>
            <w:tcW w:w="1995" w:type="dxa"/>
            <w:tcBorders>
              <w:top w:val="single" w:sz="4" w:space="0" w:color="000000"/>
              <w:left w:val="single" w:sz="4" w:space="0" w:color="000000"/>
              <w:bottom w:val="single" w:sz="4" w:space="0" w:color="000000"/>
              <w:right w:val="single" w:sz="4" w:space="0" w:color="000000"/>
            </w:tcBorders>
            <w:shd w:val="clear" w:color="auto" w:fill="FFFFFF"/>
          </w:tcPr>
          <w:p w14:paraId="10830BCD" w14:textId="77777777" w:rsidR="00F263A3" w:rsidRDefault="00FE72B3">
            <w:pPr>
              <w:jc w:val="both"/>
              <w:rPr>
                <w:color w:val="000000"/>
              </w:rPr>
            </w:pPr>
            <w:r>
              <w:rPr>
                <w:color w:val="000000"/>
              </w:rPr>
              <w:t>Bond D</w:t>
            </w:r>
          </w:p>
        </w:tc>
      </w:tr>
      <w:tr w:rsidR="00F263A3" w14:paraId="6BF8069B" w14:textId="77777777">
        <w:trPr>
          <w:trHeight w:val="239"/>
        </w:trPr>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56D03E77" w14:textId="77777777" w:rsidR="00F263A3" w:rsidRDefault="00FE72B3">
            <w:pPr>
              <w:jc w:val="both"/>
              <w:rPr>
                <w:color w:val="000000"/>
              </w:rPr>
            </w:pPr>
            <w:r>
              <w:rPr>
                <w:color w:val="000000"/>
              </w:rPr>
              <w:t>7.0%</w:t>
            </w:r>
          </w:p>
        </w:tc>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0DF9451C" w14:textId="77777777" w:rsidR="00F263A3" w:rsidRDefault="00FE72B3">
            <w:pPr>
              <w:jc w:val="both"/>
              <w:rPr>
                <w:color w:val="000000"/>
              </w:rPr>
            </w:pPr>
            <w:r>
              <w:rPr>
                <w:color w:val="000000"/>
              </w:rPr>
              <w:t>61.08</w:t>
            </w:r>
          </w:p>
        </w:tc>
        <w:tc>
          <w:tcPr>
            <w:tcW w:w="1995" w:type="dxa"/>
            <w:tcBorders>
              <w:top w:val="single" w:sz="4" w:space="0" w:color="000000"/>
              <w:left w:val="single" w:sz="4" w:space="0" w:color="000000"/>
              <w:bottom w:val="single" w:sz="4" w:space="0" w:color="000000"/>
              <w:right w:val="single" w:sz="4" w:space="0" w:color="000000"/>
            </w:tcBorders>
            <w:shd w:val="clear" w:color="auto" w:fill="FFFFFF"/>
          </w:tcPr>
          <w:p w14:paraId="2EDCE989" w14:textId="77777777" w:rsidR="00F263A3" w:rsidRDefault="00FE72B3">
            <w:pPr>
              <w:jc w:val="both"/>
              <w:rPr>
                <w:color w:val="000000"/>
              </w:rPr>
            </w:pPr>
            <w:r>
              <w:rPr>
                <w:color w:val="000000"/>
              </w:rPr>
              <w:t>Bond D</w:t>
            </w:r>
          </w:p>
        </w:tc>
      </w:tr>
      <w:tr w:rsidR="00F263A3" w14:paraId="2E874BD7" w14:textId="77777777">
        <w:trPr>
          <w:trHeight w:val="239"/>
        </w:trPr>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25226058" w14:textId="77777777" w:rsidR="00F263A3" w:rsidRDefault="00FE72B3">
            <w:pPr>
              <w:jc w:val="both"/>
              <w:rPr>
                <w:color w:val="000000"/>
              </w:rPr>
            </w:pPr>
            <w:r>
              <w:rPr>
                <w:color w:val="000000"/>
              </w:rPr>
              <w:t>8.5%</w:t>
            </w:r>
          </w:p>
        </w:tc>
        <w:tc>
          <w:tcPr>
            <w:tcW w:w="2010" w:type="dxa"/>
            <w:tcBorders>
              <w:top w:val="single" w:sz="4" w:space="0" w:color="000000"/>
              <w:left w:val="single" w:sz="4" w:space="0" w:color="000000"/>
              <w:bottom w:val="single" w:sz="4" w:space="0" w:color="000000"/>
              <w:right w:val="single" w:sz="4" w:space="0" w:color="000000"/>
            </w:tcBorders>
            <w:shd w:val="clear" w:color="auto" w:fill="FFFFFF"/>
          </w:tcPr>
          <w:p w14:paraId="32D6E982" w14:textId="77777777" w:rsidR="00F263A3" w:rsidRDefault="00FE72B3">
            <w:pPr>
              <w:jc w:val="both"/>
              <w:rPr>
                <w:color w:val="000000"/>
              </w:rPr>
            </w:pPr>
            <w:r>
              <w:rPr>
                <w:color w:val="000000"/>
              </w:rPr>
              <w:t>25.79</w:t>
            </w:r>
          </w:p>
        </w:tc>
        <w:tc>
          <w:tcPr>
            <w:tcW w:w="1995" w:type="dxa"/>
            <w:tcBorders>
              <w:top w:val="single" w:sz="4" w:space="0" w:color="000000"/>
              <w:left w:val="single" w:sz="4" w:space="0" w:color="000000"/>
              <w:bottom w:val="single" w:sz="4" w:space="0" w:color="000000"/>
              <w:right w:val="single" w:sz="4" w:space="0" w:color="000000"/>
            </w:tcBorders>
            <w:shd w:val="clear" w:color="auto" w:fill="FFFFFF"/>
          </w:tcPr>
          <w:p w14:paraId="79C8FC63" w14:textId="77777777" w:rsidR="00F263A3" w:rsidRDefault="00FE72B3">
            <w:pPr>
              <w:jc w:val="both"/>
              <w:rPr>
                <w:color w:val="000000"/>
              </w:rPr>
            </w:pPr>
            <w:r>
              <w:rPr>
                <w:color w:val="000000"/>
              </w:rPr>
              <w:t>Bond D</w:t>
            </w:r>
          </w:p>
        </w:tc>
      </w:tr>
    </w:tbl>
    <w:p w14:paraId="177543E9" w14:textId="77777777" w:rsidR="00F263A3" w:rsidRDefault="00FE72B3">
      <w:pPr>
        <w:jc w:val="both"/>
      </w:pPr>
      <w:r>
        <w:rPr>
          <w:noProof/>
        </w:rPr>
        <w:lastRenderedPageBreak/>
        <w:drawing>
          <wp:inline distT="0" distB="0" distL="0" distR="0" wp14:anchorId="73C935F6" wp14:editId="092822C5">
            <wp:extent cx="5718551" cy="3797625"/>
            <wp:effectExtent l="0" t="0" r="0" b="0"/>
            <wp:docPr id="1375038064" name="image4.png" descr="A graph of a pric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graph of a price&#10;&#10;Description automatically generated"/>
                    <pic:cNvPicPr preferRelativeResize="0"/>
                  </pic:nvPicPr>
                  <pic:blipFill>
                    <a:blip r:embed="rId8"/>
                    <a:srcRect/>
                    <a:stretch>
                      <a:fillRect/>
                    </a:stretch>
                  </pic:blipFill>
                  <pic:spPr>
                    <a:xfrm>
                      <a:off x="0" y="0"/>
                      <a:ext cx="5718551" cy="3797625"/>
                    </a:xfrm>
                    <a:prstGeom prst="rect">
                      <a:avLst/>
                    </a:prstGeom>
                    <a:ln/>
                  </pic:spPr>
                </pic:pic>
              </a:graphicData>
            </a:graphic>
          </wp:inline>
        </w:drawing>
      </w:r>
    </w:p>
    <w:p w14:paraId="08BAFC18" w14:textId="77777777" w:rsidR="00F263A3" w:rsidRDefault="00FE72B3">
      <w:pPr>
        <w:numPr>
          <w:ilvl w:val="0"/>
          <w:numId w:val="15"/>
        </w:numPr>
        <w:pBdr>
          <w:top w:val="nil"/>
          <w:left w:val="nil"/>
          <w:bottom w:val="nil"/>
          <w:right w:val="nil"/>
          <w:between w:val="nil"/>
        </w:pBdr>
        <w:spacing w:after="0"/>
        <w:jc w:val="both"/>
        <w:rPr>
          <w:color w:val="000000"/>
          <w:sz w:val="27"/>
          <w:szCs w:val="27"/>
        </w:rPr>
      </w:pPr>
      <w:r>
        <w:rPr>
          <w:color w:val="000000"/>
          <w:sz w:val="27"/>
          <w:szCs w:val="27"/>
        </w:rPr>
        <w:t>The chart above displays the price-yield curves for Bonds A, B, C, and D. Each curve illustrates the inverse relationship between the bond's price and its yield to maturity (YTM).</w:t>
      </w:r>
    </w:p>
    <w:p w14:paraId="0865CBE9" w14:textId="77777777" w:rsidR="00F263A3" w:rsidRDefault="00FE72B3">
      <w:pPr>
        <w:numPr>
          <w:ilvl w:val="0"/>
          <w:numId w:val="15"/>
        </w:numPr>
        <w:pBdr>
          <w:top w:val="nil"/>
          <w:left w:val="nil"/>
          <w:bottom w:val="nil"/>
          <w:right w:val="nil"/>
          <w:between w:val="nil"/>
        </w:pBdr>
        <w:spacing w:after="0"/>
        <w:jc w:val="both"/>
        <w:rPr>
          <w:color w:val="000000"/>
          <w:sz w:val="27"/>
          <w:szCs w:val="27"/>
        </w:rPr>
      </w:pPr>
      <w:r>
        <w:rPr>
          <w:color w:val="000000"/>
          <w:sz w:val="27"/>
          <w:szCs w:val="27"/>
        </w:rPr>
        <w:t>As the YTM increases, the bond price decreases, reflecting the reduced present value of the bond's cash flows.</w:t>
      </w:r>
    </w:p>
    <w:p w14:paraId="444C5D0C" w14:textId="77777777" w:rsidR="00F263A3" w:rsidRDefault="00FE72B3">
      <w:pPr>
        <w:numPr>
          <w:ilvl w:val="0"/>
          <w:numId w:val="15"/>
        </w:numPr>
        <w:pBdr>
          <w:top w:val="nil"/>
          <w:left w:val="nil"/>
          <w:bottom w:val="nil"/>
          <w:right w:val="nil"/>
          <w:between w:val="nil"/>
        </w:pBdr>
        <w:spacing w:after="0"/>
        <w:jc w:val="both"/>
        <w:rPr>
          <w:color w:val="000000"/>
          <w:sz w:val="27"/>
          <w:szCs w:val="27"/>
        </w:rPr>
      </w:pPr>
      <w:r>
        <w:rPr>
          <w:color w:val="000000"/>
          <w:sz w:val="27"/>
          <w:szCs w:val="27"/>
        </w:rPr>
        <w:t>Bonds with longer maturities (e.g., Bond D) or lower coupon rates (e.g., Bond C) are more sensitive to yield changes. This is evident from the steeper slope of their price-yield curves.</w:t>
      </w:r>
    </w:p>
    <w:p w14:paraId="409A6010" w14:textId="77777777" w:rsidR="00F263A3" w:rsidRDefault="00FE72B3">
      <w:pPr>
        <w:numPr>
          <w:ilvl w:val="0"/>
          <w:numId w:val="15"/>
        </w:numPr>
        <w:pBdr>
          <w:top w:val="nil"/>
          <w:left w:val="nil"/>
          <w:bottom w:val="nil"/>
          <w:right w:val="nil"/>
          <w:between w:val="nil"/>
        </w:pBdr>
        <w:jc w:val="both"/>
        <w:rPr>
          <w:color w:val="000000"/>
          <w:sz w:val="27"/>
          <w:szCs w:val="27"/>
        </w:rPr>
      </w:pPr>
      <w:r>
        <w:rPr>
          <w:color w:val="000000"/>
          <w:sz w:val="27"/>
          <w:szCs w:val="27"/>
        </w:rPr>
        <w:t>Bonds with shorter maturities or higher coupon rates (e.g., Bonds A and B) are less sensitive, resulting in flatter price-yield curves.</w:t>
      </w:r>
    </w:p>
    <w:p w14:paraId="552BCAE4" w14:textId="77777777" w:rsidR="00FE72B3" w:rsidRDefault="00FE72B3">
      <w:pPr>
        <w:spacing w:before="280" w:after="280"/>
        <w:jc w:val="both"/>
        <w:rPr>
          <w:sz w:val="25"/>
          <w:szCs w:val="25"/>
        </w:rPr>
      </w:pPr>
    </w:p>
    <w:p w14:paraId="5F61FF46" w14:textId="77777777" w:rsidR="00FE72B3" w:rsidRDefault="00FE72B3">
      <w:pPr>
        <w:spacing w:before="280" w:after="280"/>
        <w:jc w:val="both"/>
        <w:rPr>
          <w:sz w:val="25"/>
          <w:szCs w:val="25"/>
        </w:rPr>
      </w:pPr>
    </w:p>
    <w:p w14:paraId="6AE615C0" w14:textId="77777777" w:rsidR="00FE72B3" w:rsidRDefault="00FE72B3">
      <w:pPr>
        <w:spacing w:before="280" w:after="280"/>
        <w:jc w:val="both"/>
        <w:rPr>
          <w:sz w:val="25"/>
          <w:szCs w:val="25"/>
        </w:rPr>
      </w:pPr>
    </w:p>
    <w:p w14:paraId="1F8AA104" w14:textId="77777777" w:rsidR="00FE72B3" w:rsidRDefault="00FE72B3">
      <w:pPr>
        <w:spacing w:before="280" w:after="280"/>
        <w:jc w:val="both"/>
        <w:rPr>
          <w:sz w:val="25"/>
          <w:szCs w:val="25"/>
        </w:rPr>
      </w:pPr>
    </w:p>
    <w:p w14:paraId="273B7C05" w14:textId="77777777" w:rsidR="00FE72B3" w:rsidRDefault="00FE72B3">
      <w:pPr>
        <w:spacing w:before="280" w:after="280"/>
        <w:jc w:val="both"/>
        <w:rPr>
          <w:sz w:val="25"/>
          <w:szCs w:val="25"/>
        </w:rPr>
      </w:pPr>
    </w:p>
    <w:p w14:paraId="2B360772" w14:textId="77777777" w:rsidR="00FE72B3" w:rsidRDefault="00FE72B3">
      <w:pPr>
        <w:spacing w:before="280" w:after="280"/>
        <w:jc w:val="both"/>
        <w:rPr>
          <w:sz w:val="25"/>
          <w:szCs w:val="25"/>
        </w:rPr>
      </w:pPr>
    </w:p>
    <w:p w14:paraId="05ABF502" w14:textId="3011855D" w:rsidR="00F263A3" w:rsidRDefault="00FE72B3">
      <w:pPr>
        <w:spacing w:before="280" w:after="280"/>
        <w:jc w:val="both"/>
        <w:rPr>
          <w:b/>
          <w:sz w:val="27"/>
          <w:szCs w:val="27"/>
        </w:rPr>
      </w:pPr>
      <w:r>
        <w:rPr>
          <w:b/>
          <w:sz w:val="27"/>
          <w:szCs w:val="27"/>
        </w:rPr>
        <w:lastRenderedPageBreak/>
        <w:t>Yield and Maturity Relationship -</w:t>
      </w:r>
    </w:p>
    <w:p w14:paraId="30E2F6B7" w14:textId="77777777" w:rsidR="00F263A3" w:rsidRDefault="00FE72B3">
      <w:pPr>
        <w:jc w:val="both"/>
        <w:rPr>
          <w:b/>
          <w:u w:val="single"/>
        </w:rPr>
      </w:pPr>
      <w:r>
        <w:rPr>
          <w:noProof/>
        </w:rPr>
        <w:drawing>
          <wp:inline distT="0" distB="0" distL="0" distR="0" wp14:anchorId="63CA918B" wp14:editId="6D3E6141">
            <wp:extent cx="6153682" cy="3352800"/>
            <wp:effectExtent l="0" t="0" r="0" b="0"/>
            <wp:docPr id="1375038061" name="Chart 137503806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E1F8BAC" w14:textId="77777777" w:rsidR="00F263A3" w:rsidRDefault="00F263A3">
      <w:pPr>
        <w:jc w:val="both"/>
      </w:pPr>
    </w:p>
    <w:p w14:paraId="6B3DFA02" w14:textId="77777777" w:rsidR="00F263A3" w:rsidRDefault="00FE72B3">
      <w:pPr>
        <w:numPr>
          <w:ilvl w:val="0"/>
          <w:numId w:val="16"/>
        </w:numPr>
        <w:pBdr>
          <w:top w:val="nil"/>
          <w:left w:val="nil"/>
          <w:bottom w:val="nil"/>
          <w:right w:val="nil"/>
          <w:between w:val="nil"/>
        </w:pBdr>
        <w:spacing w:after="0"/>
        <w:jc w:val="both"/>
        <w:rPr>
          <w:color w:val="000000"/>
          <w:sz w:val="27"/>
          <w:szCs w:val="27"/>
        </w:rPr>
      </w:pPr>
      <w:r>
        <w:rPr>
          <w:color w:val="000000"/>
          <w:sz w:val="27"/>
          <w:szCs w:val="27"/>
        </w:rPr>
        <w:t>This bar chart highlights the relationship between Yield to Maturity (YTM) and Modified Duration for different bonds.</w:t>
      </w:r>
    </w:p>
    <w:p w14:paraId="43AD053B" w14:textId="77777777" w:rsidR="00F263A3" w:rsidRDefault="00FE72B3">
      <w:pPr>
        <w:numPr>
          <w:ilvl w:val="0"/>
          <w:numId w:val="16"/>
        </w:numPr>
        <w:pBdr>
          <w:top w:val="nil"/>
          <w:left w:val="nil"/>
          <w:bottom w:val="nil"/>
          <w:right w:val="nil"/>
          <w:between w:val="nil"/>
        </w:pBdr>
        <w:spacing w:after="0"/>
        <w:jc w:val="both"/>
        <w:rPr>
          <w:color w:val="000000"/>
          <w:sz w:val="27"/>
          <w:szCs w:val="27"/>
        </w:rPr>
      </w:pPr>
      <w:r>
        <w:rPr>
          <w:color w:val="000000"/>
          <w:sz w:val="27"/>
          <w:szCs w:val="27"/>
        </w:rPr>
        <w:t>Bond A: Moderate YTM (5.30%) and duration (7.57) make it suitable for investors seeking a balance between return and sensitivity to rate changes.</w:t>
      </w:r>
    </w:p>
    <w:p w14:paraId="5FAE6E7D" w14:textId="77777777" w:rsidR="00F263A3" w:rsidRDefault="00FE72B3">
      <w:pPr>
        <w:numPr>
          <w:ilvl w:val="0"/>
          <w:numId w:val="16"/>
        </w:numPr>
        <w:pBdr>
          <w:top w:val="nil"/>
          <w:left w:val="nil"/>
          <w:bottom w:val="nil"/>
          <w:right w:val="nil"/>
          <w:between w:val="nil"/>
        </w:pBdr>
        <w:spacing w:after="0"/>
        <w:jc w:val="both"/>
        <w:rPr>
          <w:color w:val="000000"/>
          <w:sz w:val="27"/>
          <w:szCs w:val="27"/>
        </w:rPr>
      </w:pPr>
      <w:r>
        <w:rPr>
          <w:color w:val="000000"/>
          <w:sz w:val="27"/>
          <w:szCs w:val="27"/>
        </w:rPr>
        <w:t>Bond B: Slightly lower YTM (4.91%) and moderate duration (7.87) indicate it is similar to Bond A but with slightly lower return potential.</w:t>
      </w:r>
    </w:p>
    <w:p w14:paraId="41D1AB3E" w14:textId="77777777" w:rsidR="00F263A3" w:rsidRDefault="00FE72B3">
      <w:pPr>
        <w:numPr>
          <w:ilvl w:val="0"/>
          <w:numId w:val="16"/>
        </w:numPr>
        <w:pBdr>
          <w:top w:val="nil"/>
          <w:left w:val="nil"/>
          <w:bottom w:val="nil"/>
          <w:right w:val="nil"/>
          <w:between w:val="nil"/>
        </w:pBdr>
        <w:spacing w:after="0"/>
        <w:jc w:val="both"/>
        <w:rPr>
          <w:color w:val="000000"/>
          <w:sz w:val="27"/>
          <w:szCs w:val="27"/>
        </w:rPr>
      </w:pPr>
      <w:r>
        <w:rPr>
          <w:color w:val="000000"/>
          <w:sz w:val="27"/>
          <w:szCs w:val="27"/>
        </w:rPr>
        <w:t>Bond C: Low YTM (4.49%) and the lowest duration (5.66) make it ideal for conservative investors who prioritize stability over returns.</w:t>
      </w:r>
    </w:p>
    <w:p w14:paraId="23A350B4" w14:textId="77777777" w:rsidR="00F263A3" w:rsidRDefault="00FE72B3">
      <w:pPr>
        <w:numPr>
          <w:ilvl w:val="0"/>
          <w:numId w:val="16"/>
        </w:numPr>
        <w:pBdr>
          <w:top w:val="nil"/>
          <w:left w:val="nil"/>
          <w:bottom w:val="nil"/>
          <w:right w:val="nil"/>
          <w:between w:val="nil"/>
        </w:pBdr>
        <w:spacing w:after="0"/>
        <w:jc w:val="both"/>
        <w:rPr>
          <w:color w:val="000000"/>
          <w:sz w:val="27"/>
          <w:szCs w:val="27"/>
        </w:rPr>
      </w:pPr>
      <w:r>
        <w:rPr>
          <w:color w:val="000000"/>
          <w:sz w:val="27"/>
          <w:szCs w:val="27"/>
        </w:rPr>
        <w:t>Bond D: High YTM (5.23%) and the highest duration (18.33) indicate significant sensitivity to rate changes, making it suitable for aggressive investors expecting declining interest rates.</w:t>
      </w:r>
    </w:p>
    <w:p w14:paraId="4B5BC170" w14:textId="77777777" w:rsidR="00F263A3" w:rsidRDefault="00F263A3">
      <w:pPr>
        <w:jc w:val="both"/>
        <w:rPr>
          <w:b/>
          <w:sz w:val="27"/>
          <w:szCs w:val="27"/>
        </w:rPr>
      </w:pPr>
    </w:p>
    <w:p w14:paraId="1A18BA6F" w14:textId="77777777" w:rsidR="00F263A3" w:rsidRDefault="00FE72B3">
      <w:pPr>
        <w:jc w:val="both"/>
        <w:rPr>
          <w:b/>
          <w:sz w:val="27"/>
          <w:szCs w:val="27"/>
        </w:rPr>
      </w:pPr>
      <w:r>
        <w:rPr>
          <w:b/>
          <w:sz w:val="27"/>
          <w:szCs w:val="27"/>
        </w:rPr>
        <w:t>Tangent Line and Convexity:</w:t>
      </w:r>
    </w:p>
    <w:p w14:paraId="41B4F882" w14:textId="77777777" w:rsidR="00F263A3" w:rsidRDefault="00FE72B3">
      <w:pPr>
        <w:jc w:val="both"/>
        <w:rPr>
          <w:sz w:val="27"/>
          <w:szCs w:val="27"/>
        </w:rPr>
      </w:pPr>
      <w:r>
        <w:rPr>
          <w:sz w:val="27"/>
          <w:szCs w:val="27"/>
        </w:rPr>
        <w:t xml:space="preserve">The tangent line on the price-yield curve provides a linear approximation of the bond's price sensitivity for small changes in yield. However, due to the bond's convexity, this linear approximation becomes less accurate for larger yield changes. </w:t>
      </w:r>
    </w:p>
    <w:p w14:paraId="56AE784E" w14:textId="77777777" w:rsidR="00F263A3" w:rsidRDefault="00FE72B3">
      <w:pPr>
        <w:jc w:val="both"/>
        <w:rPr>
          <w:b/>
          <w:sz w:val="27"/>
          <w:szCs w:val="27"/>
        </w:rPr>
      </w:pPr>
      <w:r>
        <w:rPr>
          <w:b/>
          <w:sz w:val="27"/>
          <w:szCs w:val="27"/>
        </w:rPr>
        <w:lastRenderedPageBreak/>
        <w:t xml:space="preserve"> Bond A (Current YTM: 5.26%, Modified Duration: 7.57, Current Price: 101.43)</w:t>
      </w:r>
      <w:r>
        <w:rPr>
          <w:b/>
          <w:noProof/>
          <w:sz w:val="27"/>
          <w:szCs w:val="27"/>
        </w:rPr>
        <w:drawing>
          <wp:inline distT="114300" distB="114300" distL="114300" distR="114300" wp14:anchorId="0D25D9B3" wp14:editId="001D6ED7">
            <wp:extent cx="5731200" cy="3441700"/>
            <wp:effectExtent l="0" t="0" r="0" b="0"/>
            <wp:docPr id="137503806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31200" cy="3441700"/>
                    </a:xfrm>
                    <a:prstGeom prst="rect">
                      <a:avLst/>
                    </a:prstGeom>
                    <a:ln/>
                  </pic:spPr>
                </pic:pic>
              </a:graphicData>
            </a:graphic>
          </wp:inline>
        </w:drawing>
      </w:r>
    </w:p>
    <w:p w14:paraId="306EDB46" w14:textId="77777777" w:rsidR="00F263A3" w:rsidRDefault="00F263A3">
      <w:pPr>
        <w:jc w:val="both"/>
        <w:rPr>
          <w:b/>
          <w:sz w:val="27"/>
          <w:szCs w:val="27"/>
        </w:rPr>
      </w:pPr>
    </w:p>
    <w:p w14:paraId="3B359CAD" w14:textId="77777777" w:rsidR="00F349FC" w:rsidRDefault="00F349FC">
      <w:pPr>
        <w:jc w:val="both"/>
        <w:rPr>
          <w:b/>
          <w:sz w:val="27"/>
          <w:szCs w:val="27"/>
        </w:rPr>
      </w:pPr>
    </w:p>
    <w:p w14:paraId="27DED017" w14:textId="77777777" w:rsidR="00F263A3" w:rsidRDefault="00FE72B3">
      <w:pPr>
        <w:jc w:val="both"/>
        <w:rPr>
          <w:b/>
          <w:sz w:val="27"/>
          <w:szCs w:val="27"/>
        </w:rPr>
      </w:pPr>
      <w:r>
        <w:rPr>
          <w:b/>
          <w:sz w:val="27"/>
          <w:szCs w:val="27"/>
        </w:rPr>
        <w:t>Bond B (Current YTM: 4.90%, Modified Duration: 7.87, Current Price: 100.78)</w:t>
      </w:r>
    </w:p>
    <w:p w14:paraId="29E1DD05" w14:textId="77777777" w:rsidR="00F263A3" w:rsidRDefault="00FE72B3">
      <w:pPr>
        <w:jc w:val="both"/>
        <w:rPr>
          <w:b/>
          <w:sz w:val="27"/>
          <w:szCs w:val="27"/>
        </w:rPr>
      </w:pPr>
      <w:r>
        <w:rPr>
          <w:b/>
          <w:noProof/>
          <w:sz w:val="27"/>
          <w:szCs w:val="27"/>
        </w:rPr>
        <w:drawing>
          <wp:inline distT="114300" distB="114300" distL="114300" distR="114300" wp14:anchorId="0431D42C" wp14:editId="06A559F5">
            <wp:extent cx="5731200" cy="3441700"/>
            <wp:effectExtent l="0" t="0" r="0" b="0"/>
            <wp:docPr id="137503806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31200" cy="3441700"/>
                    </a:xfrm>
                    <a:prstGeom prst="rect">
                      <a:avLst/>
                    </a:prstGeom>
                    <a:ln/>
                  </pic:spPr>
                </pic:pic>
              </a:graphicData>
            </a:graphic>
          </wp:inline>
        </w:drawing>
      </w:r>
    </w:p>
    <w:p w14:paraId="58E8DA6A" w14:textId="77777777" w:rsidR="00F263A3" w:rsidRDefault="00F263A3">
      <w:pPr>
        <w:jc w:val="both"/>
        <w:rPr>
          <w:b/>
          <w:sz w:val="27"/>
          <w:szCs w:val="27"/>
        </w:rPr>
      </w:pPr>
    </w:p>
    <w:p w14:paraId="780FE6ED" w14:textId="77777777" w:rsidR="00F263A3" w:rsidRDefault="00F263A3">
      <w:pPr>
        <w:jc w:val="both"/>
        <w:rPr>
          <w:b/>
          <w:sz w:val="27"/>
          <w:szCs w:val="27"/>
        </w:rPr>
      </w:pPr>
    </w:p>
    <w:p w14:paraId="151B0ACF" w14:textId="77777777" w:rsidR="00F263A3" w:rsidRDefault="00FE72B3">
      <w:pPr>
        <w:jc w:val="both"/>
        <w:rPr>
          <w:b/>
          <w:sz w:val="27"/>
          <w:szCs w:val="27"/>
        </w:rPr>
      </w:pPr>
      <w:r>
        <w:rPr>
          <w:b/>
          <w:sz w:val="27"/>
          <w:szCs w:val="27"/>
        </w:rPr>
        <w:t>Bond C (Current YTM: 4.49%, Modified Duration: 5.66, Current Price: 94.58)</w:t>
      </w:r>
    </w:p>
    <w:p w14:paraId="497A72A7" w14:textId="77777777" w:rsidR="00F263A3" w:rsidRDefault="00FE72B3">
      <w:pPr>
        <w:jc w:val="both"/>
        <w:rPr>
          <w:b/>
          <w:sz w:val="27"/>
          <w:szCs w:val="27"/>
        </w:rPr>
      </w:pPr>
      <w:r>
        <w:rPr>
          <w:b/>
          <w:noProof/>
          <w:sz w:val="27"/>
          <w:szCs w:val="27"/>
        </w:rPr>
        <w:drawing>
          <wp:inline distT="114300" distB="114300" distL="114300" distR="114300" wp14:anchorId="1078AFCF" wp14:editId="00FD546A">
            <wp:extent cx="5731200" cy="3048000"/>
            <wp:effectExtent l="0" t="0" r="0" b="0"/>
            <wp:docPr id="137503806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31200" cy="3048000"/>
                    </a:xfrm>
                    <a:prstGeom prst="rect">
                      <a:avLst/>
                    </a:prstGeom>
                    <a:ln/>
                  </pic:spPr>
                </pic:pic>
              </a:graphicData>
            </a:graphic>
          </wp:inline>
        </w:drawing>
      </w:r>
    </w:p>
    <w:p w14:paraId="798D4722" w14:textId="77777777" w:rsidR="00F263A3" w:rsidRDefault="00F263A3">
      <w:pPr>
        <w:jc w:val="both"/>
        <w:rPr>
          <w:b/>
          <w:sz w:val="27"/>
          <w:szCs w:val="27"/>
        </w:rPr>
      </w:pPr>
    </w:p>
    <w:p w14:paraId="3BEED4B8" w14:textId="77777777" w:rsidR="00F263A3" w:rsidRDefault="00F263A3">
      <w:pPr>
        <w:jc w:val="both"/>
        <w:rPr>
          <w:b/>
          <w:sz w:val="27"/>
          <w:szCs w:val="27"/>
        </w:rPr>
      </w:pPr>
    </w:p>
    <w:p w14:paraId="546369F0" w14:textId="77777777" w:rsidR="00F263A3" w:rsidRDefault="00FE72B3">
      <w:pPr>
        <w:jc w:val="both"/>
        <w:rPr>
          <w:b/>
          <w:sz w:val="27"/>
          <w:szCs w:val="27"/>
        </w:rPr>
      </w:pPr>
      <w:r>
        <w:rPr>
          <w:b/>
          <w:sz w:val="27"/>
          <w:szCs w:val="27"/>
        </w:rPr>
        <w:t>Bond D (Current YTM: 5.59%, Modified Duration: 18.33, Current Price: 85.40)</w:t>
      </w:r>
    </w:p>
    <w:p w14:paraId="04E406E4" w14:textId="77777777" w:rsidR="00F263A3" w:rsidRDefault="00FE72B3">
      <w:pPr>
        <w:jc w:val="both"/>
        <w:rPr>
          <w:b/>
          <w:sz w:val="27"/>
          <w:szCs w:val="27"/>
        </w:rPr>
      </w:pPr>
      <w:r>
        <w:rPr>
          <w:b/>
          <w:noProof/>
          <w:sz w:val="27"/>
          <w:szCs w:val="27"/>
        </w:rPr>
        <w:drawing>
          <wp:inline distT="114300" distB="114300" distL="114300" distR="114300" wp14:anchorId="119C0C72" wp14:editId="2A961999">
            <wp:extent cx="5731200" cy="3009900"/>
            <wp:effectExtent l="0" t="0" r="0" b="0"/>
            <wp:docPr id="137503806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731200" cy="3009900"/>
                    </a:xfrm>
                    <a:prstGeom prst="rect">
                      <a:avLst/>
                    </a:prstGeom>
                    <a:ln/>
                  </pic:spPr>
                </pic:pic>
              </a:graphicData>
            </a:graphic>
          </wp:inline>
        </w:drawing>
      </w:r>
      <w:r>
        <w:rPr>
          <w:b/>
          <w:sz w:val="27"/>
          <w:szCs w:val="27"/>
        </w:rPr>
        <w:t xml:space="preserve">  </w:t>
      </w:r>
    </w:p>
    <w:p w14:paraId="3AE8FF1E" w14:textId="77777777" w:rsidR="00F263A3" w:rsidRDefault="00FE72B3">
      <w:pPr>
        <w:numPr>
          <w:ilvl w:val="0"/>
          <w:numId w:val="26"/>
        </w:numPr>
        <w:spacing w:after="0"/>
        <w:jc w:val="both"/>
        <w:rPr>
          <w:b/>
          <w:sz w:val="27"/>
          <w:szCs w:val="27"/>
        </w:rPr>
      </w:pPr>
      <w:r>
        <w:rPr>
          <w:sz w:val="27"/>
          <w:szCs w:val="27"/>
        </w:rPr>
        <w:t xml:space="preserve">Bond D exhibits the highest sensitivity to interest rate changes, as evidenced by its steep price-yield curve and the highest modified duration (18.33). Additionally, its high convexity (428.99) suggests that its price fluctuations are more pronounced for larger changes in interest rates.  </w:t>
      </w:r>
    </w:p>
    <w:p w14:paraId="178FF4C6" w14:textId="77777777" w:rsidR="00F263A3" w:rsidRDefault="00FE72B3">
      <w:pPr>
        <w:numPr>
          <w:ilvl w:val="0"/>
          <w:numId w:val="26"/>
        </w:numPr>
        <w:spacing w:after="0"/>
        <w:jc w:val="both"/>
        <w:rPr>
          <w:b/>
          <w:sz w:val="27"/>
          <w:szCs w:val="27"/>
        </w:rPr>
      </w:pPr>
      <w:r>
        <w:rPr>
          <w:sz w:val="27"/>
          <w:szCs w:val="27"/>
        </w:rPr>
        <w:lastRenderedPageBreak/>
        <w:t xml:space="preserve">Bonds A and B display moderate sensitivity, with modified durations of 7.57 and 7.87, respectively. Their convexities are also moderate, indicating a less dramatic response to significant interest rate changes.  </w:t>
      </w:r>
    </w:p>
    <w:p w14:paraId="08ADFF5D" w14:textId="77777777" w:rsidR="00F263A3" w:rsidRDefault="00FE72B3">
      <w:pPr>
        <w:numPr>
          <w:ilvl w:val="0"/>
          <w:numId w:val="26"/>
        </w:numPr>
        <w:jc w:val="both"/>
        <w:rPr>
          <w:b/>
          <w:sz w:val="27"/>
          <w:szCs w:val="27"/>
        </w:rPr>
      </w:pPr>
      <w:r>
        <w:rPr>
          <w:sz w:val="27"/>
          <w:szCs w:val="27"/>
        </w:rPr>
        <w:t>Bond C shows the lowest sensitivity, with the lowest modified duration (5.66) and convexity (110.35). Its price-yield curve is the least steep, indicating lower price volatility in response to interest rate movements</w:t>
      </w:r>
    </w:p>
    <w:p w14:paraId="162A4571" w14:textId="77777777" w:rsidR="00F263A3" w:rsidRDefault="00F263A3">
      <w:pPr>
        <w:jc w:val="both"/>
        <w:rPr>
          <w:b/>
          <w:sz w:val="27"/>
          <w:szCs w:val="27"/>
        </w:rPr>
      </w:pPr>
    </w:p>
    <w:p w14:paraId="6EB6AB6F" w14:textId="77777777" w:rsidR="00F263A3" w:rsidRDefault="00FE72B3">
      <w:pPr>
        <w:jc w:val="both"/>
        <w:rPr>
          <w:b/>
          <w:sz w:val="27"/>
          <w:szCs w:val="27"/>
        </w:rPr>
      </w:pPr>
      <w:r>
        <w:rPr>
          <w:b/>
          <w:sz w:val="27"/>
          <w:szCs w:val="27"/>
        </w:rPr>
        <w:t>Conclusion:</w:t>
      </w:r>
    </w:p>
    <w:p w14:paraId="70DBA1AE" w14:textId="77777777" w:rsidR="00F263A3" w:rsidRPr="00F349FC" w:rsidRDefault="00FE72B3" w:rsidP="00F349FC">
      <w:pPr>
        <w:pStyle w:val="ListParagraph"/>
        <w:numPr>
          <w:ilvl w:val="0"/>
          <w:numId w:val="29"/>
        </w:numPr>
        <w:jc w:val="both"/>
        <w:rPr>
          <w:b/>
          <w:sz w:val="27"/>
          <w:szCs w:val="27"/>
        </w:rPr>
      </w:pPr>
      <w:r w:rsidRPr="00F349FC">
        <w:rPr>
          <w:b/>
          <w:sz w:val="27"/>
          <w:szCs w:val="27"/>
        </w:rPr>
        <w:t>Investment Recommendation: Hold</w:t>
      </w:r>
    </w:p>
    <w:p w14:paraId="34D680D4" w14:textId="77777777" w:rsidR="00F263A3" w:rsidRDefault="00FE72B3">
      <w:pPr>
        <w:jc w:val="both"/>
        <w:rPr>
          <w:b/>
          <w:sz w:val="27"/>
          <w:szCs w:val="27"/>
        </w:rPr>
      </w:pPr>
      <w:r>
        <w:rPr>
          <w:b/>
          <w:sz w:val="27"/>
          <w:szCs w:val="27"/>
        </w:rPr>
        <w:t>Justification:</w:t>
      </w:r>
    </w:p>
    <w:p w14:paraId="24191F28" w14:textId="77777777" w:rsidR="00F263A3" w:rsidRDefault="00FE72B3">
      <w:pPr>
        <w:jc w:val="both"/>
        <w:rPr>
          <w:b/>
          <w:sz w:val="27"/>
          <w:szCs w:val="27"/>
        </w:rPr>
      </w:pPr>
      <w:r>
        <w:rPr>
          <w:b/>
          <w:sz w:val="27"/>
          <w:szCs w:val="27"/>
        </w:rPr>
        <w:t>Bond Yields</w:t>
      </w:r>
    </w:p>
    <w:p w14:paraId="72CD08B6" w14:textId="77777777" w:rsidR="00F263A3" w:rsidRDefault="00FE72B3">
      <w:pPr>
        <w:jc w:val="both"/>
        <w:rPr>
          <w:b/>
          <w:sz w:val="27"/>
          <w:szCs w:val="27"/>
        </w:rPr>
      </w:pPr>
      <w:r>
        <w:rPr>
          <w:b/>
          <w:sz w:val="27"/>
          <w:szCs w:val="27"/>
        </w:rPr>
        <w:t>Yield-to-Maturity (YTM):</w:t>
      </w:r>
    </w:p>
    <w:p w14:paraId="3ED41D63" w14:textId="77777777" w:rsidR="00F263A3" w:rsidRDefault="00FE72B3">
      <w:pPr>
        <w:numPr>
          <w:ilvl w:val="0"/>
          <w:numId w:val="27"/>
        </w:numPr>
        <w:spacing w:after="0"/>
        <w:jc w:val="both"/>
        <w:rPr>
          <w:b/>
          <w:sz w:val="27"/>
          <w:szCs w:val="27"/>
        </w:rPr>
      </w:pPr>
      <w:r>
        <w:rPr>
          <w:sz w:val="27"/>
          <w:szCs w:val="27"/>
        </w:rPr>
        <w:t>Bond A (5.26%) and Bond B (4.9%): Offer competitive returns for their maturities, appealing for stable income generation.</w:t>
      </w:r>
    </w:p>
    <w:p w14:paraId="6A782EC3" w14:textId="77777777" w:rsidR="00F263A3" w:rsidRDefault="00FE72B3">
      <w:pPr>
        <w:numPr>
          <w:ilvl w:val="0"/>
          <w:numId w:val="27"/>
        </w:numPr>
        <w:spacing w:after="0"/>
        <w:jc w:val="both"/>
        <w:rPr>
          <w:b/>
          <w:sz w:val="27"/>
          <w:szCs w:val="27"/>
        </w:rPr>
      </w:pPr>
      <w:r>
        <w:rPr>
          <w:sz w:val="27"/>
          <w:szCs w:val="27"/>
        </w:rPr>
        <w:t>Bond C (4.49%): The lowest YTM, less attractive in a rising interest rate environment.</w:t>
      </w:r>
    </w:p>
    <w:p w14:paraId="1FA6D9D7" w14:textId="77777777" w:rsidR="00F263A3" w:rsidRDefault="00FE72B3">
      <w:pPr>
        <w:numPr>
          <w:ilvl w:val="0"/>
          <w:numId w:val="27"/>
        </w:numPr>
        <w:jc w:val="both"/>
        <w:rPr>
          <w:b/>
          <w:sz w:val="27"/>
          <w:szCs w:val="27"/>
        </w:rPr>
      </w:pPr>
      <w:r>
        <w:rPr>
          <w:sz w:val="27"/>
          <w:szCs w:val="27"/>
        </w:rPr>
        <w:t>Bond D (5.59%): The highest YTM, reflecting potential higher returns but significant sensitivity to interest rate fluctuations.</w:t>
      </w:r>
    </w:p>
    <w:p w14:paraId="5EFFCF44" w14:textId="77777777" w:rsidR="00F263A3" w:rsidRDefault="00FE72B3">
      <w:pPr>
        <w:jc w:val="both"/>
        <w:rPr>
          <w:b/>
          <w:sz w:val="27"/>
          <w:szCs w:val="27"/>
        </w:rPr>
      </w:pPr>
      <w:r>
        <w:rPr>
          <w:b/>
          <w:sz w:val="27"/>
          <w:szCs w:val="27"/>
        </w:rPr>
        <w:t>Yield-to-Call (YTC):</w:t>
      </w:r>
    </w:p>
    <w:p w14:paraId="16BF4C75" w14:textId="77777777" w:rsidR="00F263A3" w:rsidRDefault="00FE72B3">
      <w:pPr>
        <w:numPr>
          <w:ilvl w:val="0"/>
          <w:numId w:val="4"/>
        </w:numPr>
        <w:jc w:val="both"/>
        <w:rPr>
          <w:b/>
          <w:sz w:val="27"/>
          <w:szCs w:val="27"/>
        </w:rPr>
      </w:pPr>
      <w:r>
        <w:rPr>
          <w:sz w:val="27"/>
          <w:szCs w:val="27"/>
        </w:rPr>
        <w:t>Callable bonds A (5.25%) and B (4.8%) have slightly lower returns if called, limiting long-term income potential, especially in a declining interest rate environment.</w:t>
      </w:r>
    </w:p>
    <w:p w14:paraId="43E4D56F" w14:textId="77777777" w:rsidR="00F263A3" w:rsidRDefault="00F263A3">
      <w:pPr>
        <w:jc w:val="both"/>
        <w:rPr>
          <w:sz w:val="27"/>
          <w:szCs w:val="27"/>
        </w:rPr>
      </w:pPr>
    </w:p>
    <w:p w14:paraId="3CDCCE41" w14:textId="77777777" w:rsidR="00F263A3" w:rsidRDefault="00FE72B3">
      <w:pPr>
        <w:jc w:val="both"/>
        <w:rPr>
          <w:b/>
          <w:sz w:val="27"/>
          <w:szCs w:val="27"/>
        </w:rPr>
      </w:pPr>
      <w:r>
        <w:rPr>
          <w:b/>
          <w:sz w:val="27"/>
          <w:szCs w:val="27"/>
        </w:rPr>
        <w:t>Duration and Interest Rate Sensitivity</w:t>
      </w:r>
    </w:p>
    <w:p w14:paraId="7DE15FA9" w14:textId="77777777" w:rsidR="00F263A3" w:rsidRDefault="00FE72B3">
      <w:pPr>
        <w:numPr>
          <w:ilvl w:val="0"/>
          <w:numId w:val="6"/>
        </w:numPr>
        <w:spacing w:after="0"/>
        <w:jc w:val="both"/>
        <w:rPr>
          <w:sz w:val="27"/>
          <w:szCs w:val="27"/>
        </w:rPr>
      </w:pPr>
      <w:r>
        <w:rPr>
          <w:sz w:val="27"/>
          <w:szCs w:val="27"/>
        </w:rPr>
        <w:t>Bond D (18.81 duration): Highly sensitive to interest rate changes, making it risky in a volatile rate environment but attractive if rates are expected to decrease.</w:t>
      </w:r>
    </w:p>
    <w:p w14:paraId="4A1FE49C" w14:textId="77777777" w:rsidR="00F263A3" w:rsidRDefault="00FE72B3">
      <w:pPr>
        <w:numPr>
          <w:ilvl w:val="0"/>
          <w:numId w:val="6"/>
        </w:numPr>
        <w:spacing w:after="0"/>
        <w:jc w:val="both"/>
        <w:rPr>
          <w:sz w:val="27"/>
          <w:szCs w:val="27"/>
        </w:rPr>
      </w:pPr>
      <w:r>
        <w:rPr>
          <w:sz w:val="27"/>
          <w:szCs w:val="27"/>
        </w:rPr>
        <w:t>Bond C (5.78 duration): Least sensitive, ideal for investors seeking stability.</w:t>
      </w:r>
    </w:p>
    <w:p w14:paraId="44920538" w14:textId="77777777" w:rsidR="00F263A3" w:rsidRDefault="00FE72B3">
      <w:pPr>
        <w:numPr>
          <w:ilvl w:val="0"/>
          <w:numId w:val="6"/>
        </w:numPr>
        <w:jc w:val="both"/>
        <w:rPr>
          <w:sz w:val="27"/>
          <w:szCs w:val="27"/>
        </w:rPr>
      </w:pPr>
      <w:r>
        <w:rPr>
          <w:sz w:val="27"/>
          <w:szCs w:val="27"/>
        </w:rPr>
        <w:t>Bond A (7.77 duration) and Bond B (8.06 duration): Offer balanced exposure to rate changes, suitable for moderate-risk investors.</w:t>
      </w:r>
    </w:p>
    <w:p w14:paraId="30DF194D" w14:textId="77777777" w:rsidR="00F263A3" w:rsidRDefault="00F263A3">
      <w:pPr>
        <w:jc w:val="both"/>
        <w:rPr>
          <w:b/>
          <w:sz w:val="27"/>
          <w:szCs w:val="27"/>
        </w:rPr>
      </w:pPr>
    </w:p>
    <w:p w14:paraId="108DC488" w14:textId="77777777" w:rsidR="00F349FC" w:rsidRDefault="00F349FC">
      <w:pPr>
        <w:jc w:val="both"/>
        <w:rPr>
          <w:b/>
          <w:sz w:val="27"/>
          <w:szCs w:val="27"/>
        </w:rPr>
      </w:pPr>
    </w:p>
    <w:p w14:paraId="79DA5E49" w14:textId="0B427BA3" w:rsidR="00F263A3" w:rsidRDefault="00FE72B3">
      <w:pPr>
        <w:jc w:val="both"/>
        <w:rPr>
          <w:b/>
          <w:sz w:val="27"/>
          <w:szCs w:val="27"/>
        </w:rPr>
      </w:pPr>
      <w:r>
        <w:rPr>
          <w:b/>
          <w:sz w:val="27"/>
          <w:szCs w:val="27"/>
        </w:rPr>
        <w:lastRenderedPageBreak/>
        <w:t>Company Risk</w:t>
      </w:r>
    </w:p>
    <w:p w14:paraId="49600304" w14:textId="7AD94E51" w:rsidR="00F263A3" w:rsidRDefault="00FE72B3">
      <w:pPr>
        <w:numPr>
          <w:ilvl w:val="0"/>
          <w:numId w:val="5"/>
        </w:numPr>
        <w:spacing w:after="0"/>
        <w:jc w:val="both"/>
        <w:rPr>
          <w:sz w:val="27"/>
          <w:szCs w:val="27"/>
        </w:rPr>
      </w:pPr>
      <w:r>
        <w:rPr>
          <w:sz w:val="27"/>
          <w:szCs w:val="27"/>
        </w:rPr>
        <w:t xml:space="preserve">Credit Ratings: Coca-Cola holds investment-grade ratings (A1 by Moody’s, A+ by S&amp;P), </w:t>
      </w:r>
      <w:r w:rsidR="006D0689">
        <w:rPr>
          <w:sz w:val="27"/>
          <w:szCs w:val="27"/>
        </w:rPr>
        <w:t>signalling</w:t>
      </w:r>
      <w:r>
        <w:rPr>
          <w:sz w:val="27"/>
          <w:szCs w:val="27"/>
        </w:rPr>
        <w:t xml:space="preserve"> strong financial health and low default risk.</w:t>
      </w:r>
    </w:p>
    <w:p w14:paraId="03608AE5" w14:textId="77777777" w:rsidR="00F263A3" w:rsidRDefault="00FE72B3">
      <w:pPr>
        <w:numPr>
          <w:ilvl w:val="0"/>
          <w:numId w:val="5"/>
        </w:numPr>
        <w:spacing w:after="0"/>
        <w:jc w:val="both"/>
        <w:rPr>
          <w:sz w:val="27"/>
          <w:szCs w:val="27"/>
        </w:rPr>
      </w:pPr>
      <w:r>
        <w:rPr>
          <w:sz w:val="27"/>
          <w:szCs w:val="27"/>
        </w:rPr>
        <w:t>Debt Profile: Debt-to-equity ratio of 2.03 indicates high leverage, but strong interest coverage (10.4x EBIT/interest) and consistent cash flow mitigate risks.</w:t>
      </w:r>
    </w:p>
    <w:p w14:paraId="29BD2FE3" w14:textId="77777777" w:rsidR="00F263A3" w:rsidRDefault="00FE72B3">
      <w:pPr>
        <w:numPr>
          <w:ilvl w:val="0"/>
          <w:numId w:val="5"/>
        </w:numPr>
        <w:jc w:val="both"/>
        <w:rPr>
          <w:sz w:val="27"/>
          <w:szCs w:val="27"/>
        </w:rPr>
      </w:pPr>
      <w:r>
        <w:rPr>
          <w:sz w:val="27"/>
          <w:szCs w:val="27"/>
        </w:rPr>
        <w:t>Profitability: High operating margins (21.2%) and stable revenue growth support confidence in Coca-Cola’s ability to meet bond obligations.</w:t>
      </w:r>
    </w:p>
    <w:p w14:paraId="59E2CFE2" w14:textId="77777777" w:rsidR="00F263A3" w:rsidRDefault="00F263A3">
      <w:pPr>
        <w:jc w:val="both"/>
        <w:rPr>
          <w:sz w:val="27"/>
          <w:szCs w:val="27"/>
        </w:rPr>
      </w:pPr>
    </w:p>
    <w:p w14:paraId="6D4E08AF" w14:textId="77777777" w:rsidR="00F263A3" w:rsidRDefault="00FE72B3">
      <w:pPr>
        <w:jc w:val="both"/>
        <w:rPr>
          <w:b/>
          <w:sz w:val="27"/>
          <w:szCs w:val="27"/>
        </w:rPr>
      </w:pPr>
      <w:r>
        <w:rPr>
          <w:b/>
          <w:sz w:val="27"/>
          <w:szCs w:val="27"/>
        </w:rPr>
        <w:t>Default Risk</w:t>
      </w:r>
    </w:p>
    <w:p w14:paraId="65B01DE1" w14:textId="77777777" w:rsidR="00F263A3" w:rsidRDefault="00FE72B3">
      <w:pPr>
        <w:numPr>
          <w:ilvl w:val="0"/>
          <w:numId w:val="28"/>
        </w:numPr>
        <w:jc w:val="both"/>
        <w:rPr>
          <w:sz w:val="27"/>
          <w:szCs w:val="27"/>
        </w:rPr>
      </w:pPr>
      <w:r>
        <w:rPr>
          <w:sz w:val="27"/>
          <w:szCs w:val="27"/>
        </w:rPr>
        <w:t>Coca-Cola’s consistent operating cash flow, robust credit ratings, and diversified global business model significantly reduce default risk. Investment-grade ratings reinforce its reliability as a bond issuer.</w:t>
      </w:r>
    </w:p>
    <w:p w14:paraId="307727C4" w14:textId="77777777" w:rsidR="00F263A3" w:rsidRDefault="00F263A3">
      <w:pPr>
        <w:jc w:val="both"/>
        <w:rPr>
          <w:sz w:val="27"/>
          <w:szCs w:val="27"/>
        </w:rPr>
      </w:pPr>
    </w:p>
    <w:p w14:paraId="663D5AAD" w14:textId="77777777" w:rsidR="00F263A3" w:rsidRDefault="00FE72B3">
      <w:pPr>
        <w:jc w:val="both"/>
        <w:rPr>
          <w:b/>
          <w:sz w:val="27"/>
          <w:szCs w:val="27"/>
        </w:rPr>
      </w:pPr>
      <w:r>
        <w:rPr>
          <w:b/>
          <w:sz w:val="27"/>
          <w:szCs w:val="27"/>
        </w:rPr>
        <w:t>Interest Rate Environment</w:t>
      </w:r>
    </w:p>
    <w:p w14:paraId="5ACC7BD5" w14:textId="77777777" w:rsidR="00F263A3" w:rsidRDefault="00FE72B3">
      <w:pPr>
        <w:numPr>
          <w:ilvl w:val="0"/>
          <w:numId w:val="2"/>
        </w:numPr>
        <w:spacing w:after="0"/>
        <w:jc w:val="both"/>
        <w:rPr>
          <w:sz w:val="27"/>
          <w:szCs w:val="27"/>
        </w:rPr>
      </w:pPr>
      <w:r>
        <w:rPr>
          <w:sz w:val="27"/>
          <w:szCs w:val="27"/>
        </w:rPr>
        <w:t>Current Scenario: Elevated interest rates have suppressed bond prices. Longer-duration bonds like D are more sensitive to further increases, while shorter-duration bonds offer better price stability.</w:t>
      </w:r>
    </w:p>
    <w:p w14:paraId="71B7842D" w14:textId="77777777" w:rsidR="00F263A3" w:rsidRDefault="00FE72B3">
      <w:pPr>
        <w:numPr>
          <w:ilvl w:val="0"/>
          <w:numId w:val="2"/>
        </w:numPr>
        <w:jc w:val="both"/>
        <w:rPr>
          <w:sz w:val="27"/>
          <w:szCs w:val="27"/>
        </w:rPr>
      </w:pPr>
      <w:r>
        <w:rPr>
          <w:sz w:val="27"/>
          <w:szCs w:val="27"/>
        </w:rPr>
        <w:t>Future Projections: Potential stabilization or gradual rate cuts in the future may support price recovery, especially for long-duration bonds like D.</w:t>
      </w:r>
    </w:p>
    <w:p w14:paraId="28569E79" w14:textId="77777777" w:rsidR="00F263A3" w:rsidRDefault="00F263A3">
      <w:pPr>
        <w:jc w:val="both"/>
        <w:rPr>
          <w:sz w:val="27"/>
          <w:szCs w:val="27"/>
        </w:rPr>
      </w:pPr>
    </w:p>
    <w:p w14:paraId="1E0A3FA2" w14:textId="77777777" w:rsidR="00F263A3" w:rsidRDefault="00FE72B3">
      <w:pPr>
        <w:jc w:val="both"/>
        <w:rPr>
          <w:b/>
          <w:sz w:val="27"/>
          <w:szCs w:val="27"/>
        </w:rPr>
      </w:pPr>
      <w:r>
        <w:rPr>
          <w:b/>
          <w:sz w:val="27"/>
          <w:szCs w:val="27"/>
        </w:rPr>
        <w:t>Market Comparison</w:t>
      </w:r>
    </w:p>
    <w:p w14:paraId="0A37DBC2" w14:textId="77777777" w:rsidR="00F263A3" w:rsidRDefault="00FE72B3">
      <w:pPr>
        <w:numPr>
          <w:ilvl w:val="0"/>
          <w:numId w:val="3"/>
        </w:numPr>
        <w:jc w:val="both"/>
        <w:rPr>
          <w:sz w:val="27"/>
          <w:szCs w:val="27"/>
        </w:rPr>
      </w:pPr>
      <w:r>
        <w:rPr>
          <w:sz w:val="27"/>
          <w:szCs w:val="27"/>
        </w:rPr>
        <w:t>Coca-Cola bonds' yields are competitive within the investment-grade market segment, but they do not offer substantial advantages over peers. Bond D stands out for aggressive investors due to its high YTM and significant price discount.</w:t>
      </w:r>
    </w:p>
    <w:p w14:paraId="1BF653E8" w14:textId="77777777" w:rsidR="00F263A3" w:rsidRDefault="00F263A3">
      <w:pPr>
        <w:jc w:val="both"/>
        <w:rPr>
          <w:sz w:val="27"/>
          <w:szCs w:val="27"/>
        </w:rPr>
      </w:pPr>
    </w:p>
    <w:p w14:paraId="53FDA81F" w14:textId="77777777" w:rsidR="00F263A3" w:rsidRDefault="00FE72B3">
      <w:pPr>
        <w:jc w:val="both"/>
        <w:rPr>
          <w:b/>
          <w:sz w:val="27"/>
          <w:szCs w:val="27"/>
        </w:rPr>
      </w:pPr>
      <w:r>
        <w:rPr>
          <w:b/>
          <w:sz w:val="27"/>
          <w:szCs w:val="27"/>
        </w:rPr>
        <w:t>Summary:</w:t>
      </w:r>
    </w:p>
    <w:p w14:paraId="452799FC" w14:textId="77777777" w:rsidR="00F263A3" w:rsidRDefault="00FE72B3">
      <w:pPr>
        <w:jc w:val="both"/>
        <w:rPr>
          <w:sz w:val="27"/>
          <w:szCs w:val="27"/>
        </w:rPr>
      </w:pPr>
      <w:r>
        <w:rPr>
          <w:sz w:val="27"/>
          <w:szCs w:val="27"/>
        </w:rPr>
        <w:t>A Hold recommendation reflects Coca-Cola’s bonds’ robust credit profile, moderate yields, and balanced risk-return profile. Specifically:</w:t>
      </w:r>
    </w:p>
    <w:p w14:paraId="1B4B2188" w14:textId="77777777" w:rsidR="00F263A3" w:rsidRDefault="00FE72B3">
      <w:pPr>
        <w:numPr>
          <w:ilvl w:val="0"/>
          <w:numId w:val="1"/>
        </w:numPr>
        <w:spacing w:after="0"/>
        <w:jc w:val="both"/>
        <w:rPr>
          <w:sz w:val="27"/>
          <w:szCs w:val="27"/>
        </w:rPr>
      </w:pPr>
      <w:r>
        <w:rPr>
          <w:sz w:val="27"/>
          <w:szCs w:val="27"/>
        </w:rPr>
        <w:t>Bond A and Bond B: Offer moderate yields and durations, ideal for steady income with controlled interest rate risk.</w:t>
      </w:r>
    </w:p>
    <w:p w14:paraId="2C520EBD" w14:textId="77777777" w:rsidR="00F263A3" w:rsidRDefault="00FE72B3">
      <w:pPr>
        <w:numPr>
          <w:ilvl w:val="0"/>
          <w:numId w:val="1"/>
        </w:numPr>
        <w:spacing w:after="0"/>
        <w:jc w:val="both"/>
        <w:rPr>
          <w:sz w:val="27"/>
          <w:szCs w:val="27"/>
        </w:rPr>
      </w:pPr>
      <w:r>
        <w:rPr>
          <w:sz w:val="27"/>
          <w:szCs w:val="27"/>
        </w:rPr>
        <w:lastRenderedPageBreak/>
        <w:t>Bond C: Suitable for conservative investors prioritizing price stability over returns.</w:t>
      </w:r>
    </w:p>
    <w:p w14:paraId="630C2234" w14:textId="77777777" w:rsidR="00F263A3" w:rsidRDefault="00FE72B3">
      <w:pPr>
        <w:numPr>
          <w:ilvl w:val="0"/>
          <w:numId w:val="1"/>
        </w:numPr>
        <w:jc w:val="both"/>
        <w:rPr>
          <w:sz w:val="27"/>
          <w:szCs w:val="27"/>
        </w:rPr>
      </w:pPr>
      <w:r>
        <w:rPr>
          <w:sz w:val="27"/>
          <w:szCs w:val="27"/>
        </w:rPr>
        <w:t>Bond D: Suitable only for aggressive investors anticipating declining interest rates. Its high duration and YTM make it risky in the current environment.</w:t>
      </w:r>
    </w:p>
    <w:p w14:paraId="638911E9" w14:textId="77777777" w:rsidR="00F263A3" w:rsidRDefault="00FE72B3">
      <w:pPr>
        <w:jc w:val="both"/>
        <w:rPr>
          <w:b/>
          <w:sz w:val="27"/>
          <w:szCs w:val="27"/>
        </w:rPr>
      </w:pPr>
      <w:r>
        <w:rPr>
          <w:sz w:val="27"/>
          <w:szCs w:val="27"/>
        </w:rPr>
        <w:t>Overall, the bonds are attractive for holding, but not for new purchases unless there is a clear shift in interest rate or credit market dynamics.</w:t>
      </w:r>
    </w:p>
    <w:p w14:paraId="1C80FC80" w14:textId="77777777" w:rsidR="00F263A3" w:rsidRDefault="00F263A3">
      <w:pPr>
        <w:jc w:val="both"/>
        <w:rPr>
          <w:b/>
          <w:sz w:val="27"/>
          <w:szCs w:val="27"/>
        </w:rPr>
      </w:pPr>
    </w:p>
    <w:p w14:paraId="1B6380B6" w14:textId="77777777" w:rsidR="00F263A3" w:rsidRDefault="00FE72B3">
      <w:pPr>
        <w:jc w:val="both"/>
        <w:rPr>
          <w:b/>
          <w:sz w:val="25"/>
          <w:szCs w:val="25"/>
        </w:rPr>
      </w:pPr>
      <w:r>
        <w:rPr>
          <w:b/>
          <w:sz w:val="27"/>
          <w:szCs w:val="27"/>
        </w:rPr>
        <w:t>The Four Cs of Bond Analysis for Coca Cola:</w:t>
      </w:r>
    </w:p>
    <w:p w14:paraId="534D8129" w14:textId="77777777" w:rsidR="00F263A3" w:rsidRDefault="00FE72B3">
      <w:pPr>
        <w:jc w:val="both"/>
        <w:rPr>
          <w:sz w:val="25"/>
          <w:szCs w:val="25"/>
        </w:rPr>
      </w:pPr>
      <w:r>
        <w:rPr>
          <w:sz w:val="25"/>
          <w:szCs w:val="25"/>
        </w:rPr>
        <w:t>To analyze Coca-Cola's bonds using the "Four Cs of Credit Analysis" framework, we can evaluate the following factors:</w:t>
      </w:r>
    </w:p>
    <w:p w14:paraId="5F60E0D4" w14:textId="77777777" w:rsidR="00F263A3" w:rsidRDefault="00FE72B3">
      <w:pPr>
        <w:jc w:val="both"/>
        <w:rPr>
          <w:b/>
          <w:sz w:val="25"/>
          <w:szCs w:val="25"/>
        </w:rPr>
      </w:pPr>
      <w:r>
        <w:rPr>
          <w:b/>
          <w:sz w:val="25"/>
          <w:szCs w:val="25"/>
        </w:rPr>
        <w:t>1) Character:</w:t>
      </w:r>
    </w:p>
    <w:p w14:paraId="229E042D" w14:textId="77777777" w:rsidR="00F263A3" w:rsidRDefault="00FE72B3">
      <w:pPr>
        <w:jc w:val="both"/>
        <w:rPr>
          <w:sz w:val="25"/>
          <w:szCs w:val="25"/>
        </w:rPr>
      </w:pPr>
      <w:r>
        <w:rPr>
          <w:sz w:val="25"/>
          <w:szCs w:val="25"/>
        </w:rPr>
        <w:t xml:space="preserve">Management Quality and Strategy: Coca-Cola's management team is highly experienced and has a history of responsible financial management.  Their strategic plans focus on sustainable growth and innovation.    </w:t>
      </w:r>
    </w:p>
    <w:p w14:paraId="2313000D" w14:textId="77777777" w:rsidR="00F263A3" w:rsidRDefault="00FE72B3">
      <w:pPr>
        <w:jc w:val="both"/>
        <w:rPr>
          <w:sz w:val="25"/>
          <w:szCs w:val="25"/>
        </w:rPr>
      </w:pPr>
      <w:r>
        <w:rPr>
          <w:sz w:val="25"/>
          <w:szCs w:val="25"/>
        </w:rPr>
        <w:t xml:space="preserve">Dividend Policy: Coca-Cola's dividend policy is sustainable, leaving ample room for debt repayment.    </w:t>
      </w:r>
    </w:p>
    <w:p w14:paraId="2AF5B410" w14:textId="77777777" w:rsidR="00F263A3" w:rsidRDefault="00FE72B3">
      <w:pPr>
        <w:jc w:val="both"/>
        <w:rPr>
          <w:sz w:val="25"/>
          <w:szCs w:val="25"/>
        </w:rPr>
      </w:pPr>
      <w:r>
        <w:rPr>
          <w:sz w:val="25"/>
          <w:szCs w:val="25"/>
        </w:rPr>
        <w:t xml:space="preserve">Financial Reporting: Coca-Cola's financial reports and disclosures are transparent and easy to understand, with no red flags.    </w:t>
      </w:r>
    </w:p>
    <w:p w14:paraId="2F098C46" w14:textId="77777777" w:rsidR="00F263A3" w:rsidRDefault="00FE72B3">
      <w:pPr>
        <w:jc w:val="both"/>
        <w:rPr>
          <w:b/>
          <w:sz w:val="25"/>
          <w:szCs w:val="25"/>
        </w:rPr>
      </w:pPr>
      <w:r>
        <w:rPr>
          <w:b/>
          <w:sz w:val="25"/>
          <w:szCs w:val="25"/>
        </w:rPr>
        <w:t>2) Capacity:</w:t>
      </w:r>
    </w:p>
    <w:p w14:paraId="1C5737B1" w14:textId="77777777" w:rsidR="00F263A3" w:rsidRDefault="00FE72B3">
      <w:pPr>
        <w:jc w:val="both"/>
        <w:rPr>
          <w:sz w:val="25"/>
          <w:szCs w:val="25"/>
        </w:rPr>
      </w:pPr>
      <w:r>
        <w:rPr>
          <w:sz w:val="25"/>
          <w:szCs w:val="25"/>
        </w:rPr>
        <w:t xml:space="preserve">Leverage Ratios: Coca-Cola's debt-to-equity ratio is 2.03, which is slightly above the industry average of 1.8.  This indicates moderate reliance on debt for growth and strategic initiatives.    </w:t>
      </w:r>
    </w:p>
    <w:p w14:paraId="5900481B" w14:textId="77777777" w:rsidR="00F263A3" w:rsidRDefault="00FE72B3">
      <w:pPr>
        <w:jc w:val="both"/>
        <w:rPr>
          <w:sz w:val="25"/>
          <w:szCs w:val="25"/>
        </w:rPr>
      </w:pPr>
      <w:r>
        <w:rPr>
          <w:sz w:val="25"/>
          <w:szCs w:val="25"/>
        </w:rPr>
        <w:t xml:space="preserve">Coverage Ratios: Coca-Cola's EBITDA-to-interest coverage ratio is 12.0x, demonstrating a strong ability to cover interest payments.  Their EBIT-to-interest coverage ratio is 10.4x, also showcasing robust operational performance.    </w:t>
      </w:r>
    </w:p>
    <w:p w14:paraId="7ADB2698" w14:textId="77777777" w:rsidR="00F263A3" w:rsidRDefault="00FE72B3">
      <w:pPr>
        <w:jc w:val="both"/>
        <w:rPr>
          <w:sz w:val="25"/>
          <w:szCs w:val="25"/>
        </w:rPr>
      </w:pPr>
      <w:r>
        <w:rPr>
          <w:sz w:val="25"/>
          <w:szCs w:val="25"/>
        </w:rPr>
        <w:t xml:space="preserve">Profitability and Cash Flow: Coca-Cola exhibits strong profitability margins (21.2% GAAP operating margin) and generates significant cash flow, enabling them to cover operating expenses, capital expenditures, and debt payments. </w:t>
      </w:r>
    </w:p>
    <w:p w14:paraId="44649FE9" w14:textId="77777777" w:rsidR="00F263A3" w:rsidRDefault="00FE72B3">
      <w:pPr>
        <w:jc w:val="both"/>
        <w:rPr>
          <w:b/>
          <w:sz w:val="25"/>
          <w:szCs w:val="25"/>
        </w:rPr>
      </w:pPr>
      <w:r>
        <w:rPr>
          <w:b/>
          <w:sz w:val="25"/>
          <w:szCs w:val="25"/>
        </w:rPr>
        <w:t>3) Collateral:</w:t>
      </w:r>
    </w:p>
    <w:p w14:paraId="63578FE0" w14:textId="77777777" w:rsidR="00F263A3" w:rsidRDefault="00FE72B3">
      <w:pPr>
        <w:jc w:val="both"/>
        <w:rPr>
          <w:sz w:val="25"/>
          <w:szCs w:val="25"/>
        </w:rPr>
      </w:pPr>
      <w:r>
        <w:rPr>
          <w:sz w:val="25"/>
          <w:szCs w:val="25"/>
        </w:rPr>
        <w:t xml:space="preserve">Asset Base: Although Coca-Cola's bonds are unsecured, they have a valuable brand, property, and other assets that could indirectly support their debt.    </w:t>
      </w:r>
    </w:p>
    <w:p w14:paraId="3137633C" w14:textId="77777777" w:rsidR="00F263A3" w:rsidRDefault="00FE72B3">
      <w:pPr>
        <w:jc w:val="both"/>
        <w:rPr>
          <w:sz w:val="25"/>
          <w:szCs w:val="25"/>
        </w:rPr>
      </w:pPr>
      <w:r>
        <w:rPr>
          <w:sz w:val="25"/>
          <w:szCs w:val="25"/>
        </w:rPr>
        <w:t xml:space="preserve">Credit Ratings: Coca-Cola maintains investment-grade credit ratings (A1 from Moody's and A+ from S&amp;P), indicating low default risk.    </w:t>
      </w:r>
    </w:p>
    <w:p w14:paraId="7D7CA8AD" w14:textId="77777777" w:rsidR="00AD4CF3" w:rsidRDefault="00AD4CF3">
      <w:pPr>
        <w:jc w:val="both"/>
        <w:rPr>
          <w:b/>
          <w:sz w:val="25"/>
          <w:szCs w:val="25"/>
        </w:rPr>
      </w:pPr>
    </w:p>
    <w:p w14:paraId="34E6CCFD" w14:textId="524D6085" w:rsidR="00F263A3" w:rsidRDefault="00FE72B3">
      <w:pPr>
        <w:jc w:val="both"/>
        <w:rPr>
          <w:b/>
          <w:sz w:val="25"/>
          <w:szCs w:val="25"/>
        </w:rPr>
      </w:pPr>
      <w:r>
        <w:rPr>
          <w:b/>
          <w:sz w:val="25"/>
          <w:szCs w:val="25"/>
        </w:rPr>
        <w:lastRenderedPageBreak/>
        <w:t>4) Conditions:</w:t>
      </w:r>
    </w:p>
    <w:p w14:paraId="1552D7BC" w14:textId="77777777" w:rsidR="00F263A3" w:rsidRDefault="00FE72B3">
      <w:pPr>
        <w:jc w:val="both"/>
        <w:rPr>
          <w:sz w:val="25"/>
          <w:szCs w:val="25"/>
        </w:rPr>
      </w:pPr>
      <w:r>
        <w:rPr>
          <w:sz w:val="25"/>
          <w:szCs w:val="25"/>
        </w:rPr>
        <w:t xml:space="preserve">Industry Outlook: The beverage industry is experiencing growth in developing nations and the functional beverage sector.  However, there are challenges from health trends and environmental concerns.    </w:t>
      </w:r>
    </w:p>
    <w:p w14:paraId="262B0843" w14:textId="77777777" w:rsidR="00F263A3" w:rsidRDefault="00FE72B3">
      <w:pPr>
        <w:jc w:val="both"/>
        <w:rPr>
          <w:sz w:val="25"/>
          <w:szCs w:val="25"/>
        </w:rPr>
      </w:pPr>
      <w:r>
        <w:rPr>
          <w:sz w:val="25"/>
          <w:szCs w:val="25"/>
        </w:rPr>
        <w:t xml:space="preserve">Economic Conditions: Coca-Cola's business could be impacted by interest rates, inflation, and economic growth.    </w:t>
      </w:r>
    </w:p>
    <w:p w14:paraId="5BE8B852" w14:textId="77777777" w:rsidR="00F263A3" w:rsidRDefault="00FE72B3">
      <w:pPr>
        <w:jc w:val="both"/>
        <w:rPr>
          <w:b/>
          <w:sz w:val="25"/>
          <w:szCs w:val="25"/>
        </w:rPr>
      </w:pPr>
      <w:r>
        <w:rPr>
          <w:sz w:val="25"/>
          <w:szCs w:val="25"/>
        </w:rPr>
        <w:t>Competition: Coca-Cola faces strong competition from PepsiCo, Nestlé, and Red Bull.  However, their market leadership and diverse portfolio provide resilience.</w:t>
      </w:r>
    </w:p>
    <w:p w14:paraId="09F414A8" w14:textId="77777777" w:rsidR="00F263A3" w:rsidRDefault="00F263A3">
      <w:pPr>
        <w:jc w:val="both"/>
        <w:rPr>
          <w:b/>
          <w:sz w:val="25"/>
          <w:szCs w:val="25"/>
        </w:rPr>
      </w:pPr>
    </w:p>
    <w:sectPr w:rsidR="00F263A3">
      <w:headerReference w:type="default" r:id="rId1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B472D2" w14:textId="77777777" w:rsidR="0086745D" w:rsidRDefault="0086745D">
      <w:pPr>
        <w:spacing w:after="0" w:line="240" w:lineRule="auto"/>
      </w:pPr>
      <w:r>
        <w:separator/>
      </w:r>
    </w:p>
  </w:endnote>
  <w:endnote w:type="continuationSeparator" w:id="0">
    <w:p w14:paraId="33B25044" w14:textId="77777777" w:rsidR="0086745D" w:rsidRDefault="00867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608FA07A-51C8-4326-9DA2-9FBB25AAF0A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952418D7-128A-4B0C-999A-860DACFA326E}"/>
    <w:embedBold r:id="rId3" w:fontKey="{111F56E3-3457-4966-BBF2-617C0D231925}"/>
    <w:embedItalic r:id="rId4" w:fontKey="{9728AFA1-47E8-4586-BFA0-C4FFA1D623FF}"/>
  </w:font>
  <w:font w:name="Calibri Light">
    <w:panose1 w:val="020F0302020204030204"/>
    <w:charset w:val="00"/>
    <w:family w:val="swiss"/>
    <w:pitch w:val="variable"/>
    <w:sig w:usb0="E4002EFF" w:usb1="C200247B" w:usb2="00000009" w:usb3="00000000" w:csb0="000001FF" w:csb1="00000000"/>
    <w:embedRegular r:id="rId5" w:fontKey="{5C3C4F38-CE1B-4E67-8F89-7303DDB97EAF}"/>
    <w:embedItalic r:id="rId6" w:fontKey="{AC5BAA13-B885-4861-8D2E-20D12E897DF1}"/>
  </w:font>
  <w:font w:name="Georgia">
    <w:panose1 w:val="02040502050405020303"/>
    <w:charset w:val="00"/>
    <w:family w:val="roman"/>
    <w:pitch w:val="variable"/>
    <w:sig w:usb0="00000287" w:usb1="00000000" w:usb2="00000000" w:usb3="00000000" w:csb0="0000009F" w:csb1="00000000"/>
    <w:embedRegular r:id="rId7" w:fontKey="{F47879B4-D6DD-4C86-BC9E-C063A79ADC8D}"/>
    <w:embedItalic r:id="rId8" w:fontKey="{9AFE1079-6DD7-45D8-983D-0F814707F16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A7AF59" w14:textId="77777777" w:rsidR="0086745D" w:rsidRDefault="0086745D">
      <w:pPr>
        <w:spacing w:after="0" w:line="240" w:lineRule="auto"/>
      </w:pPr>
      <w:r>
        <w:separator/>
      </w:r>
    </w:p>
  </w:footnote>
  <w:footnote w:type="continuationSeparator" w:id="0">
    <w:p w14:paraId="0535EDDA" w14:textId="77777777" w:rsidR="0086745D" w:rsidRDefault="008674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263A57" w14:textId="77777777" w:rsidR="00F263A3" w:rsidRDefault="00F263A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6F1782"/>
    <w:multiLevelType w:val="multilevel"/>
    <w:tmpl w:val="0F822B6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 w15:restartNumberingAfterBreak="0">
    <w:nsid w:val="0F781B25"/>
    <w:multiLevelType w:val="multilevel"/>
    <w:tmpl w:val="46D4B2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2D3598D"/>
    <w:multiLevelType w:val="multilevel"/>
    <w:tmpl w:val="7B0AB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D22C41"/>
    <w:multiLevelType w:val="multilevel"/>
    <w:tmpl w:val="F078BA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C787020"/>
    <w:multiLevelType w:val="multilevel"/>
    <w:tmpl w:val="BA24A4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EC514A"/>
    <w:multiLevelType w:val="multilevel"/>
    <w:tmpl w:val="9200AF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EDE6C1D"/>
    <w:multiLevelType w:val="multilevel"/>
    <w:tmpl w:val="D4DA6D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2A5F2F5F"/>
    <w:multiLevelType w:val="multilevel"/>
    <w:tmpl w:val="0F7C69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BBB69D1"/>
    <w:multiLevelType w:val="multilevel"/>
    <w:tmpl w:val="9A204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BC432FC"/>
    <w:multiLevelType w:val="hybridMultilevel"/>
    <w:tmpl w:val="40209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2F4225"/>
    <w:multiLevelType w:val="multilevel"/>
    <w:tmpl w:val="93E068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E8D5FB9"/>
    <w:multiLevelType w:val="multilevel"/>
    <w:tmpl w:val="00341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8DC68CC"/>
    <w:multiLevelType w:val="multilevel"/>
    <w:tmpl w:val="62DC27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99B04A3"/>
    <w:multiLevelType w:val="multilevel"/>
    <w:tmpl w:val="40242C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4661761"/>
    <w:multiLevelType w:val="multilevel"/>
    <w:tmpl w:val="34ECC6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551708BE"/>
    <w:multiLevelType w:val="multilevel"/>
    <w:tmpl w:val="499EB4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A885560"/>
    <w:multiLevelType w:val="multilevel"/>
    <w:tmpl w:val="29BEA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D24782D"/>
    <w:multiLevelType w:val="multilevel"/>
    <w:tmpl w:val="3A7C33A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6BA56D57"/>
    <w:multiLevelType w:val="multilevel"/>
    <w:tmpl w:val="016CD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CB65592"/>
    <w:multiLevelType w:val="multilevel"/>
    <w:tmpl w:val="0D468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D634DA3"/>
    <w:multiLevelType w:val="multilevel"/>
    <w:tmpl w:val="78F60A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716A3DE2"/>
    <w:multiLevelType w:val="multilevel"/>
    <w:tmpl w:val="76E25B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1813F23"/>
    <w:multiLevelType w:val="multilevel"/>
    <w:tmpl w:val="D3200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44A1E9F"/>
    <w:multiLevelType w:val="multilevel"/>
    <w:tmpl w:val="DE54E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44C64C1"/>
    <w:multiLevelType w:val="multilevel"/>
    <w:tmpl w:val="3C5272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51C05CB"/>
    <w:multiLevelType w:val="multilevel"/>
    <w:tmpl w:val="EDD6D0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7E2F2135"/>
    <w:multiLevelType w:val="multilevel"/>
    <w:tmpl w:val="42620E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E4200D2"/>
    <w:multiLevelType w:val="multilevel"/>
    <w:tmpl w:val="5F4A1E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7FD26E4F"/>
    <w:multiLevelType w:val="multilevel"/>
    <w:tmpl w:val="2AF09E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40187299">
    <w:abstractNumId w:val="23"/>
  </w:num>
  <w:num w:numId="2" w16cid:durableId="1514343340">
    <w:abstractNumId w:val="16"/>
  </w:num>
  <w:num w:numId="3" w16cid:durableId="2091274942">
    <w:abstractNumId w:val="22"/>
  </w:num>
  <w:num w:numId="4" w16cid:durableId="1598250701">
    <w:abstractNumId w:val="2"/>
  </w:num>
  <w:num w:numId="5" w16cid:durableId="1238595211">
    <w:abstractNumId w:val="19"/>
  </w:num>
  <w:num w:numId="6" w16cid:durableId="794567318">
    <w:abstractNumId w:val="4"/>
  </w:num>
  <w:num w:numId="7" w16cid:durableId="1185094776">
    <w:abstractNumId w:val="20"/>
  </w:num>
  <w:num w:numId="8" w16cid:durableId="1566720132">
    <w:abstractNumId w:val="26"/>
  </w:num>
  <w:num w:numId="9" w16cid:durableId="591398072">
    <w:abstractNumId w:val="14"/>
  </w:num>
  <w:num w:numId="10" w16cid:durableId="1201824811">
    <w:abstractNumId w:val="15"/>
  </w:num>
  <w:num w:numId="11" w16cid:durableId="1214267485">
    <w:abstractNumId w:val="28"/>
  </w:num>
  <w:num w:numId="12" w16cid:durableId="279998029">
    <w:abstractNumId w:val="5"/>
  </w:num>
  <w:num w:numId="13" w16cid:durableId="1507328613">
    <w:abstractNumId w:val="10"/>
  </w:num>
  <w:num w:numId="14" w16cid:durableId="1620254732">
    <w:abstractNumId w:val="13"/>
  </w:num>
  <w:num w:numId="15" w16cid:durableId="1404333677">
    <w:abstractNumId w:val="24"/>
  </w:num>
  <w:num w:numId="16" w16cid:durableId="1074622604">
    <w:abstractNumId w:val="6"/>
  </w:num>
  <w:num w:numId="17" w16cid:durableId="247422015">
    <w:abstractNumId w:val="7"/>
  </w:num>
  <w:num w:numId="18" w16cid:durableId="192424609">
    <w:abstractNumId w:val="21"/>
  </w:num>
  <w:num w:numId="19" w16cid:durableId="1271158695">
    <w:abstractNumId w:val="17"/>
  </w:num>
  <w:num w:numId="20" w16cid:durableId="1213034612">
    <w:abstractNumId w:val="27"/>
  </w:num>
  <w:num w:numId="21" w16cid:durableId="1969387030">
    <w:abstractNumId w:val="12"/>
  </w:num>
  <w:num w:numId="22" w16cid:durableId="505874352">
    <w:abstractNumId w:val="25"/>
  </w:num>
  <w:num w:numId="23" w16cid:durableId="663361909">
    <w:abstractNumId w:val="1"/>
  </w:num>
  <w:num w:numId="24" w16cid:durableId="1569001758">
    <w:abstractNumId w:val="0"/>
  </w:num>
  <w:num w:numId="25" w16cid:durableId="1102069798">
    <w:abstractNumId w:val="3"/>
  </w:num>
  <w:num w:numId="26" w16cid:durableId="51737566">
    <w:abstractNumId w:val="11"/>
  </w:num>
  <w:num w:numId="27" w16cid:durableId="217667902">
    <w:abstractNumId w:val="8"/>
  </w:num>
  <w:num w:numId="28" w16cid:durableId="672996775">
    <w:abstractNumId w:val="18"/>
  </w:num>
  <w:num w:numId="29" w16cid:durableId="9502378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3A3"/>
    <w:rsid w:val="000C3286"/>
    <w:rsid w:val="001D37A6"/>
    <w:rsid w:val="001E16B6"/>
    <w:rsid w:val="002F107A"/>
    <w:rsid w:val="0044522C"/>
    <w:rsid w:val="00456866"/>
    <w:rsid w:val="005D4CB5"/>
    <w:rsid w:val="006D0689"/>
    <w:rsid w:val="00820533"/>
    <w:rsid w:val="00854FE2"/>
    <w:rsid w:val="0086745D"/>
    <w:rsid w:val="008E1DD8"/>
    <w:rsid w:val="00913575"/>
    <w:rsid w:val="00AD4CF3"/>
    <w:rsid w:val="00F263A3"/>
    <w:rsid w:val="00F349FC"/>
    <w:rsid w:val="00FE7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C1B89"/>
  <w15:docId w15:val="{283A9DA0-D5EE-4082-849E-E84F88F58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1F19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F19A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3-Accent5">
    <w:name w:val="Grid Table 3 Accent 5"/>
    <w:basedOn w:val="TableNormal"/>
    <w:uiPriority w:val="48"/>
    <w:rsid w:val="00580DC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2">
    <w:name w:val="Grid Table 3 Accent 2"/>
    <w:basedOn w:val="TableNormal"/>
    <w:uiPriority w:val="48"/>
    <w:rsid w:val="00580DC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1">
    <w:name w:val="Grid Table 3 Accent 1"/>
    <w:basedOn w:val="TableNormal"/>
    <w:uiPriority w:val="48"/>
    <w:rsid w:val="00580DC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4">
    <w:name w:val="Grid Table 4"/>
    <w:basedOn w:val="TableNormal"/>
    <w:uiPriority w:val="49"/>
    <w:rsid w:val="00580DC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580DC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3-Accent5">
    <w:name w:val="List Table 3 Accent 5"/>
    <w:basedOn w:val="TableNormal"/>
    <w:uiPriority w:val="48"/>
    <w:rsid w:val="0028170F"/>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4-Accent6">
    <w:name w:val="List Table 4 Accent 6"/>
    <w:basedOn w:val="TableNormal"/>
    <w:uiPriority w:val="49"/>
    <w:rsid w:val="0028170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Accent6">
    <w:name w:val="List Table 5 Dark Accent 6"/>
    <w:basedOn w:val="TableNormal"/>
    <w:uiPriority w:val="50"/>
    <w:rsid w:val="0028170F"/>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Accent6">
    <w:name w:val="List Table 6 Colorful Accent 6"/>
    <w:basedOn w:val="TableNormal"/>
    <w:uiPriority w:val="51"/>
    <w:rsid w:val="0028170F"/>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Accent6">
    <w:name w:val="List Table 7 Colorful Accent 6"/>
    <w:basedOn w:val="TableNormal"/>
    <w:uiPriority w:val="52"/>
    <w:rsid w:val="0028170F"/>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4">
    <w:name w:val="Grid Table 4 Accent 4"/>
    <w:basedOn w:val="TableNormal"/>
    <w:uiPriority w:val="49"/>
    <w:rsid w:val="0028170F"/>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1">
    <w:name w:val="Grid Table 4 Accent 1"/>
    <w:basedOn w:val="TableNormal"/>
    <w:uiPriority w:val="49"/>
    <w:rsid w:val="0028170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5">
    <w:name w:val="List Table 4 Accent 5"/>
    <w:basedOn w:val="TableNormal"/>
    <w:uiPriority w:val="49"/>
    <w:rsid w:val="001C6E9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5Dark-Accent5">
    <w:name w:val="List Table 5 Dark Accent 5"/>
    <w:basedOn w:val="TableNormal"/>
    <w:uiPriority w:val="50"/>
    <w:rsid w:val="001C6E9A"/>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4-Accent5">
    <w:name w:val="Grid Table 4 Accent 5"/>
    <w:basedOn w:val="TableNormal"/>
    <w:uiPriority w:val="49"/>
    <w:rsid w:val="00947A8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Strong">
    <w:name w:val="Strong"/>
    <w:basedOn w:val="DefaultParagraphFont"/>
    <w:uiPriority w:val="22"/>
    <w:qFormat/>
    <w:rsid w:val="007A71D4"/>
    <w:rPr>
      <w:b/>
      <w:bCs/>
    </w:rPr>
  </w:style>
  <w:style w:type="paragraph" w:styleId="ListParagraph">
    <w:name w:val="List Paragraph"/>
    <w:basedOn w:val="Normal"/>
    <w:uiPriority w:val="34"/>
    <w:qFormat/>
    <w:rsid w:val="005972A9"/>
    <w:pPr>
      <w:ind w:left="720"/>
      <w:contextualSpacing/>
    </w:pPr>
  </w:style>
  <w:style w:type="paragraph" w:styleId="Header">
    <w:name w:val="header"/>
    <w:basedOn w:val="Normal"/>
    <w:link w:val="HeaderChar"/>
    <w:uiPriority w:val="99"/>
    <w:unhideWhenUsed/>
    <w:rsid w:val="002C5D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5D66"/>
  </w:style>
  <w:style w:type="paragraph" w:styleId="Footer">
    <w:name w:val="footer"/>
    <w:basedOn w:val="Normal"/>
    <w:link w:val="FooterChar"/>
    <w:uiPriority w:val="99"/>
    <w:unhideWhenUsed/>
    <w:rsid w:val="002C5D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5D6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color w:val="FFFFFF"/>
    </w:rPr>
    <w:tblPr>
      <w:tblStyleRowBandSize w:val="1"/>
      <w:tblStyleColBandSize w:val="1"/>
      <w:tblCellMar>
        <w:left w:w="115" w:type="dxa"/>
        <w:right w:w="115" w:type="dxa"/>
      </w:tblCellMar>
    </w:tblPr>
    <w:tcPr>
      <w:shd w:val="clear" w:color="auto" w:fill="5B9BD5"/>
    </w:tc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pPr>
      <w:spacing w:after="0" w:line="240" w:lineRule="auto"/>
    </w:pPr>
    <w:rPr>
      <w:color w:val="FFFFFF"/>
    </w:rPr>
    <w:tblPr>
      <w:tblStyleRowBandSize w:val="1"/>
      <w:tblStyleColBandSize w:val="1"/>
      <w:tblCellMar>
        <w:left w:w="115" w:type="dxa"/>
        <w:right w:w="115" w:type="dxa"/>
      </w:tblCellMar>
    </w:tblPr>
    <w:tcPr>
      <w:shd w:val="clear" w:color="auto" w:fill="5B9BD5"/>
    </w:tcPr>
  </w:style>
  <w:style w:type="table" w:customStyle="1" w:styleId="a6">
    <w:basedOn w:val="TableNormal"/>
    <w:pPr>
      <w:spacing w:after="0" w:line="240" w:lineRule="auto"/>
    </w:pPr>
    <w:rPr>
      <w:color w:val="FFFFFF"/>
    </w:rPr>
    <w:tblPr>
      <w:tblStyleRowBandSize w:val="1"/>
      <w:tblStyleColBandSize w:val="1"/>
      <w:tblCellMar>
        <w:left w:w="115" w:type="dxa"/>
        <w:right w:w="115" w:type="dxa"/>
      </w:tblCellMar>
    </w:tblPr>
    <w:tcPr>
      <w:shd w:val="clear" w:color="auto" w:fill="5B9BD5"/>
    </w:tcPr>
  </w:style>
  <w:style w:type="table" w:customStyle="1" w:styleId="a7">
    <w:basedOn w:val="TableNormal"/>
    <w:pPr>
      <w:spacing w:after="0" w:line="240" w:lineRule="auto"/>
    </w:pPr>
    <w:rPr>
      <w:color w:val="FFFFFF"/>
    </w:rPr>
    <w:tblPr>
      <w:tblStyleRowBandSize w:val="1"/>
      <w:tblStyleColBandSize w:val="1"/>
      <w:tblCellMar>
        <w:left w:w="115" w:type="dxa"/>
        <w:right w:w="115" w:type="dxa"/>
      </w:tblCellMar>
    </w:tblPr>
    <w:tcPr>
      <w:shd w:val="clear" w:color="auto" w:fill="5B9BD5"/>
    </w:tcPr>
  </w:style>
  <w:style w:type="table" w:customStyle="1" w:styleId="a8">
    <w:basedOn w:val="TableNormal"/>
    <w:pPr>
      <w:spacing w:after="0" w:line="240" w:lineRule="auto"/>
    </w:pPr>
    <w:rPr>
      <w:color w:val="FFFFFF"/>
    </w:rPr>
    <w:tblPr>
      <w:tblStyleRowBandSize w:val="1"/>
      <w:tblStyleColBandSize w:val="1"/>
      <w:tblCellMar>
        <w:left w:w="115" w:type="dxa"/>
        <w:right w:w="115" w:type="dxa"/>
      </w:tblCellMar>
    </w:tblPr>
    <w:tcPr>
      <w:shd w:val="clear" w:color="auto" w:fill="5B9BD5"/>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92ecded0c44668af/Desktop/Niket/FI/Project/Calculatio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Yield and Maturity Duration Relationship </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0"/>
          <c:order val="0"/>
          <c:tx>
            <c:strRef>
              <c:f>'YTM &amp; Dur'!$B$2</c:f>
              <c:strCache>
                <c:ptCount val="1"/>
                <c:pt idx="0">
                  <c:v>YTM</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multiLvlStrRef>
              <c:f>[1]Sheet1!$B$1:$E$1</c:f>
              <c:extLst/>
            </c:multiLvlStrRef>
          </c:cat>
          <c:val>
            <c:numRef>
              <c:f>'YTM &amp; Dur'!$B$3:$B$6</c:f>
              <c:numCache>
                <c:formatCode>0.00</c:formatCode>
                <c:ptCount val="4"/>
                <c:pt idx="0">
                  <c:v>5.2949999999999999</c:v>
                </c:pt>
                <c:pt idx="1">
                  <c:v>4.9059999999999997</c:v>
                </c:pt>
                <c:pt idx="2">
                  <c:v>4.49</c:v>
                </c:pt>
                <c:pt idx="3">
                  <c:v>5.234</c:v>
                </c:pt>
              </c:numCache>
              <c:extLst/>
            </c:numRef>
          </c:val>
          <c:extLst>
            <c:ext xmlns:c16="http://schemas.microsoft.com/office/drawing/2014/chart" uri="{C3380CC4-5D6E-409C-BE32-E72D297353CC}">
              <c16:uniqueId val="{00000000-6470-4D07-907F-334F13DAEA86}"/>
            </c:ext>
          </c:extLst>
        </c:ser>
        <c:ser>
          <c:idx val="1"/>
          <c:order val="1"/>
          <c:tx>
            <c:strRef>
              <c:f>'YTM &amp; Dur'!$C$2</c:f>
              <c:strCache>
                <c:ptCount val="1"/>
                <c:pt idx="0">
                  <c:v>Modified Duration</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multiLvlStrRef>
              <c:f>[1]Sheet1!$B$1:$E$1</c:f>
              <c:extLst/>
            </c:multiLvlStrRef>
          </c:cat>
          <c:val>
            <c:numRef>
              <c:f>'YTM &amp; Dur'!$C$3:$C$6</c:f>
              <c:numCache>
                <c:formatCode>0.00</c:formatCode>
                <c:ptCount val="4"/>
                <c:pt idx="0">
                  <c:v>7.5665303601365599</c:v>
                </c:pt>
                <c:pt idx="1">
                  <c:v>7.8660989050084966</c:v>
                </c:pt>
                <c:pt idx="2">
                  <c:v>5.6573500156505272</c:v>
                </c:pt>
                <c:pt idx="3">
                  <c:v>18.325832366149811</c:v>
                </c:pt>
              </c:numCache>
              <c:extLst/>
            </c:numRef>
          </c:val>
          <c:extLst>
            <c:ext xmlns:c16="http://schemas.microsoft.com/office/drawing/2014/chart" uri="{C3380CC4-5D6E-409C-BE32-E72D297353CC}">
              <c16:uniqueId val="{00000001-6470-4D07-907F-334F13DAEA86}"/>
            </c:ext>
          </c:extLst>
        </c:ser>
        <c:dLbls>
          <c:dLblPos val="outEnd"/>
          <c:showLegendKey val="0"/>
          <c:showVal val="1"/>
          <c:showCatName val="0"/>
          <c:showSerName val="0"/>
          <c:showPercent val="0"/>
          <c:showBubbleSize val="0"/>
        </c:dLbls>
        <c:gapWidth val="100"/>
        <c:overlap val="-24"/>
        <c:axId val="1116355232"/>
        <c:axId val="1112238672"/>
      </c:barChart>
      <c:catAx>
        <c:axId val="1116355232"/>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112238672"/>
        <c:crosses val="autoZero"/>
        <c:auto val="1"/>
        <c:lblAlgn val="ctr"/>
        <c:lblOffset val="100"/>
        <c:noMultiLvlLbl val="0"/>
      </c:catAx>
      <c:valAx>
        <c:axId val="1112238672"/>
        <c:scaling>
          <c:orientation val="minMax"/>
          <c:max val="20"/>
        </c:scaling>
        <c:delete val="0"/>
        <c:axPos val="l"/>
        <c:majorGridlines>
          <c:spPr>
            <a:ln w="9525" cap="flat" cmpd="sng" algn="ctr">
              <a:solidFill>
                <a:schemeClr val="lt1">
                  <a:lumMod val="95000"/>
                  <a:alpha val="10000"/>
                </a:schemeClr>
              </a:solidFill>
              <a:round/>
            </a:ln>
            <a:effectLst/>
          </c:spPr>
        </c:majorGridlines>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1163552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JTX1rYAn+mgP/DjfeRiQ4v0OBQ==">CgMxLjA4AGoiChRzdWdnZXN0LmVpNjM4Mnhrcjh6OBIKVnlzaG5hdmkgTWoiChRzdWdnZXN0LnR6YnpiZGVyZWF2YhIKVnlzaG5hdmkgTWoiChRzdWdnZXN0LnU3ZHdwbm40M2prchIKVnlzaG5hdmkgTWoiChRzdWdnZXN0LmhianBjbGZyb2J1NRIKVnlzaG5hdmkgTWoiChRzdWdnZXN0Lm40MXNheXF2NXF4aBIKVnlzaG5hdmkgTWoiChRzdWdnZXN0LjNiMTBpMjM3M2d1NxIKVnlzaG5hdmkgTXIhMWlvNXRRS2p5dEptMk9lMGJBN3Q4ZGplcnNtbE5IcHR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21</Pages>
  <Words>4075</Words>
  <Characters>23228</Characters>
  <Application>Microsoft Office Word</Application>
  <DocSecurity>0</DocSecurity>
  <Lines>193</Lines>
  <Paragraphs>54</Paragraphs>
  <ScaleCrop>false</ScaleCrop>
  <Company/>
  <LinksUpToDate>false</LinksUpToDate>
  <CharactersWithSpaces>27249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hemant mehta</dc:creator>
  <cp:lastModifiedBy>Niket Shah</cp:lastModifiedBy>
  <cp:revision>14</cp:revision>
  <dcterms:created xsi:type="dcterms:W3CDTF">2024-11-26T04:42:00Z</dcterms:created>
  <dcterms:modified xsi:type="dcterms:W3CDTF">2024-12-02T18:20:00Z</dcterms:modified>
</cp:coreProperties>
</file>