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Times New Roman" w:hAnsi="Times New Roman"/>
          <w:b/>
          <w:sz w:val="40"/>
        </w:rPr>
        <w:t>Lovely Professional University</w:t>
      </w:r>
    </w:p>
    <w:p>
      <w:pPr>
        <w:spacing w:after="40"/>
        <w:jc w:val="center"/>
      </w:pPr>
      <w:r>
        <w:rPr>
          <w:rFonts w:ascii="Times New Roman" w:hAnsi="Times New Roman"/>
          <w:sz w:val="24"/>
        </w:rPr>
        <w:t>School of Computer Science and Engineering</w:t>
      </w:r>
    </w:p>
    <w:p>
      <w:pPr>
        <w:spacing w:after="720"/>
        <w:jc w:val="center"/>
      </w:pPr>
      <w:r>
        <w:rPr>
          <w:rFonts w:ascii="Times New Roman" w:hAnsi="Times New Roman"/>
          <w:sz w:val="24"/>
        </w:rPr>
        <w:t>UpGrad Campus, Phagwara, Punjab – India</w:t>
      </w:r>
    </w:p>
    <w:p>
      <w:pPr>
        <w:spacing w:after="80"/>
        <w:jc w:val="center"/>
      </w:pPr>
      <w:r>
        <w:rPr>
          <w:rFonts w:ascii="Times New Roman" w:hAnsi="Times New Roman"/>
          <w:b/>
          <w:sz w:val="44"/>
        </w:rPr>
        <w:t>SYNOPSIS</w:t>
      </w:r>
    </w:p>
    <w:p>
      <w:pPr>
        <w:spacing w:after="800"/>
        <w:jc w:val="center"/>
      </w:pPr>
      <w:r>
        <w:rPr>
          <w:rFonts w:ascii="Times New Roman" w:hAnsi="Times New Roman"/>
          <w:sz w:val="24"/>
        </w:rPr>
        <w:t>for the B.Tech Final Year Project</w:t>
      </w:r>
    </w:p>
    <w:p>
      <w:pPr>
        <w:spacing w:after="160"/>
        <w:jc w:val="center"/>
      </w:pPr>
      <w:r>
        <w:rPr>
          <w:rFonts w:ascii="Times New Roman" w:hAnsi="Times New Roman"/>
          <w:b/>
          <w:sz w:val="32"/>
        </w:rPr>
        <w:t>EVision: EV Charging Demand Forecasting and Infrastructure Gap Analysis System</w:t>
      </w:r>
    </w:p>
    <w:p>
      <w:pPr>
        <w:spacing w:after="1200"/>
        <w:jc w:val="center"/>
      </w:pPr>
      <w:r>
        <w:rPr>
          <w:rFonts w:ascii="Times New Roman" w:hAnsi="Times New Roman"/>
          <w:sz w:val="24"/>
        </w:rPr>
        <w:t>(A Data-Driven Decision-Support System for Indian E-Mobility with EDA, Machine Learning &amp; Tableau Analytics)</w:t>
      </w:r>
    </w:p>
    <w:p>
      <w:pPr>
        <w:spacing w:after="80"/>
        <w:jc w:val="center"/>
      </w:pPr>
      <w:r>
        <w:rPr>
          <w:b/>
          <w:sz w:val="24"/>
        </w:rPr>
        <w:t>Submitted by:</w:t>
        <w:br/>
      </w:r>
      <w:r>
        <w:rPr>
          <w:sz w:val="24"/>
        </w:rPr>
        <w:t>[Student Name 1], [Student Name 2], [Student Name 3]</w:t>
        <w:br/>
      </w:r>
      <w:r>
        <w:rPr>
          <w:b/>
          <w:sz w:val="24"/>
        </w:rPr>
        <w:t>Roll Nos.: [Roll No 1], [Roll No 2], [Roll No 3]</w:t>
        <w:br/>
        <w:br/>
      </w:r>
      <w:r>
        <w:rPr>
          <w:b/>
          <w:sz w:val="24"/>
        </w:rPr>
        <w:t>Course Code: CSE461</w:t>
        <w:br/>
      </w:r>
      <w:r>
        <w:rPr>
          <w:b/>
          <w:sz w:val="24"/>
        </w:rPr>
        <w:t>Session: Jan 2026 – May 2026</w:t>
      </w:r>
    </w:p>
    <w:p>
      <w:r>
        <w:br w:type="page"/>
      </w:r>
    </w:p>
    <w:p>
      <w:pPr>
        <w:spacing w:before="0" w:after="240"/>
      </w:pPr>
      <w:r>
        <w:rPr>
          <w:rFonts w:ascii="Times New Roman" w:hAnsi="Times New Roman"/>
          <w:b/>
          <w:color w:val="000000"/>
          <w:sz w:val="28"/>
        </w:rPr>
        <w:t>Introduction:</w:t>
      </w:r>
    </w:p>
    <w:p>
      <w:pPr>
        <w:spacing w:before="120" w:after="120"/>
      </w:pPr>
      <w:r>
        <w:rPr>
          <w:rFonts w:ascii="Times New Roman" w:hAnsi="Times New Roman"/>
          <w:b/>
          <w:color w:val="000000"/>
          <w:sz w:val="26"/>
        </w:rPr>
        <w:t>Background/Context:</w:t>
      </w:r>
    </w:p>
    <w:p>
      <w:pPr>
        <w:spacing w:after="120" w:line="276" w:lineRule="auto"/>
        <w:jc w:val="both"/>
      </w:pPr>
      <w:r>
        <w:rPr>
          <w:rFonts w:ascii="Times New Roman" w:hAnsi="Times New Roman"/>
          <w:color w:val="1E1E1E"/>
          <w:sz w:val="24"/>
        </w:rPr>
        <w:t>The adoption of Electric Vehicles (EVs) across India has experienced exponential growth over recent years, driven by government policy incentives such as the PM E-DRIVE scheme, FAME allocations, and state-level EV policies. National vehicle registration analytics from VAHAN report rapid market penetration across two-wheelers, three-wheelers, passenger cars, and commercial bus fleets. However, expanding public charging infrastructure requires substantial capital investment and precise spatial coordination. Traditionally, charging station deployment relies on reactive or ad-hoc geographic placement, leading to regional charging deserts, unutilized charging hubs, and power grid congestion. Applying Exploratory Data Analysis (EDA), predictive Machine Learning (ML), and interactive Tableau analytics provides an empirical foundation to map vehicle density against charger availability and guide infrastructure expansion.</w:t>
      </w:r>
    </w:p>
    <w:p>
      <w:pPr>
        <w:spacing w:before="240" w:after="120"/>
      </w:pPr>
      <w:r>
        <w:rPr>
          <w:rFonts w:ascii="Times New Roman" w:hAnsi="Times New Roman"/>
          <w:b/>
          <w:color w:val="000000"/>
          <w:sz w:val="26"/>
        </w:rPr>
        <w:t>Problem Statement:</w:t>
      </w:r>
    </w:p>
    <w:p>
      <w:pPr>
        <w:spacing w:after="120" w:line="276" w:lineRule="auto"/>
        <w:jc w:val="both"/>
      </w:pPr>
      <w:r>
        <w:rPr>
          <w:rFonts w:ascii="Times New Roman" w:hAnsi="Times New Roman"/>
          <w:color w:val="1E1E1E"/>
          <w:sz w:val="24"/>
        </w:rPr>
        <w:t>Despite rising EV sales, public charging infrastructure does not grow uniformly or at the same pace across Indian states and districts. High EV adoption regions frequently experience charger shortages and long queue times, while other locations suffer from low station utilization. Existing static analysis tools fail to evaluate dynamic multi-factor relationships—such as vehicle growth velocity, urban population density, and existing charger capacity deficits—and lack predictive forecasting to estimate future charger requirements. This project bridges this gap by developing 'EVision', an intelligent decision-support system that integrates multi-source Indian data, calculates a normalized Infrastructure Gap Index, forecasts charging demand up to 2030, and provides dynamic Tableau and web-based location prioritization interfaces.</w:t>
      </w:r>
    </w:p>
    <w:p>
      <w:pPr>
        <w:spacing w:before="240" w:after="120"/>
      </w:pPr>
      <w:r>
        <w:rPr>
          <w:rFonts w:ascii="Times New Roman" w:hAnsi="Times New Roman"/>
          <w:b/>
          <w:color w:val="000000"/>
          <w:sz w:val="26"/>
        </w:rPr>
        <w:t>Rationale/Justification:</w:t>
      </w:r>
    </w:p>
    <w:p>
      <w:pPr>
        <w:spacing w:after="120" w:line="276" w:lineRule="auto"/>
        <w:jc w:val="both"/>
      </w:pPr>
      <w:r>
        <w:rPr>
          <w:rFonts w:ascii="Times New Roman" w:hAnsi="Times New Roman"/>
          <w:color w:val="1E1E1E"/>
          <w:sz w:val="24"/>
        </w:rPr>
        <w:t>Given the diversity of vehicle growth patterns across Indian states (e.g., Uttar Pradesh leading total vehicle sales while Karnataka leads public charger installations), there is a critical need for a quantitative framework tailored to Indian e-mobility conditions. By combining data engineering, exploratory visual analytics, machine learning regression/classification models, Tableau BI dashboards, and a feature-rich web portal (including doorstep pickup service simulators, battery calculators, and an EV resale marketplace), this project delivers a comprehensive solution for municipal planners, charging point operators (CPOs), and research analysts. It also serves as a rigorous academic Capstone exercise combining applied Machine Learning, Data Science, and FinTech transaction security.</w:t>
      </w:r>
    </w:p>
    <w:p>
      <w:r>
        <w:br w:type="page"/>
      </w:r>
    </w:p>
    <w:p>
      <w:pPr>
        <w:spacing w:before="0" w:after="240"/>
      </w:pPr>
      <w:r>
        <w:rPr>
          <w:rFonts w:ascii="Times New Roman" w:hAnsi="Times New Roman"/>
          <w:b/>
          <w:color w:val="000000"/>
          <w:sz w:val="28"/>
        </w:rPr>
        <w:t>Objectives:</w:t>
      </w:r>
    </w:p>
    <w:p>
      <w:pPr>
        <w:spacing w:before="120" w:after="120"/>
      </w:pPr>
      <w:r>
        <w:rPr>
          <w:rFonts w:ascii="Times New Roman" w:hAnsi="Times New Roman"/>
          <w:b/>
          <w:color w:val="000000"/>
          <w:sz w:val="26"/>
        </w:rPr>
        <w:t>General Objective:</w:t>
      </w:r>
    </w:p>
    <w:p>
      <w:pPr>
        <w:spacing w:after="120" w:line="276" w:lineRule="auto"/>
        <w:jc w:val="both"/>
      </w:pPr>
      <w:r>
        <w:rPr>
          <w:rFonts w:ascii="Times New Roman" w:hAnsi="Times New Roman"/>
          <w:color w:val="1E1E1E"/>
          <w:sz w:val="24"/>
        </w:rPr>
        <w:t>To design, develop, and evaluate a comprehensive data science decision-support system ('EVision') that analyzes longitudinal Indian EV adoption and charging station data, quantifies infrastructure gaps, forecasts future charging demand up to 2030 using Machine Learning, and delivers visual decision dashboards in Tableau and Python Streamlit.</w:t>
      </w:r>
    </w:p>
    <w:p>
      <w:pPr>
        <w:spacing w:before="240" w:after="160"/>
      </w:pPr>
      <w:r>
        <w:rPr>
          <w:rFonts w:ascii="Times New Roman" w:hAnsi="Times New Roman"/>
          <w:b/>
          <w:color w:val="000000"/>
          <w:sz w:val="26"/>
        </w:rPr>
        <w:t>Specific Objectives:</w:t>
      </w:r>
    </w:p>
    <w:p>
      <w:pPr>
        <w:pStyle w:val="ListBullet"/>
        <w:spacing w:after="80" w:line="276" w:lineRule="auto"/>
      </w:pPr>
      <w:r>
        <w:rPr>
          <w:rFonts w:ascii="Times New Roman" w:hAnsi="Times New Roman"/>
          <w:b/>
          <w:sz w:val="24"/>
        </w:rPr>
        <w:t xml:space="preserve">• Data Integration &amp; Synthesis: </w:t>
      </w:r>
      <w:r>
        <w:rPr>
          <w:rFonts w:ascii="Times New Roman" w:hAnsi="Times New Roman"/>
          <w:sz w:val="24"/>
        </w:rPr>
        <w:t>To collect, aggregate, and preprocess multi-source Indian datasets including VAHAN EV vehicle registrations (2W, 3W, 4W, Buses), Bureau of Energy Efficiency (BEE) public charging station counts (2020–2025), and state/district demographic data.</w:t>
      </w:r>
    </w:p>
    <w:p>
      <w:pPr>
        <w:pStyle w:val="ListBullet"/>
        <w:spacing w:after="80" w:line="276" w:lineRule="auto"/>
      </w:pPr>
      <w:r>
        <w:rPr>
          <w:rFonts w:ascii="Times New Roman" w:hAnsi="Times New Roman"/>
          <w:b/>
          <w:sz w:val="24"/>
        </w:rPr>
        <w:t xml:space="preserve">• Exploratory Data Analysis &amp; Feature Engineering: </w:t>
      </w:r>
      <w:r>
        <w:rPr>
          <w:rFonts w:ascii="Times New Roman" w:hAnsi="Times New Roman"/>
          <w:sz w:val="24"/>
        </w:rPr>
        <w:t>To compute key diagnostic indicators including EV-to-Charger ratios, YoY growth mismatches, and to design a normalized Infrastructure Gap Index (0–100) classifying regions into Low, Moderate, High, and Critical gap tiers.</w:t>
      </w:r>
    </w:p>
    <w:p>
      <w:pPr>
        <w:pStyle w:val="ListBullet"/>
        <w:spacing w:after="80" w:line="276" w:lineRule="auto"/>
      </w:pPr>
      <w:r>
        <w:rPr>
          <w:rFonts w:ascii="Times New Roman" w:hAnsi="Times New Roman"/>
          <w:b/>
          <w:sz w:val="24"/>
        </w:rPr>
        <w:t xml:space="preserve">• Predictive Machine Learning Modeling: </w:t>
      </w:r>
      <w:r>
        <w:rPr>
          <w:rFonts w:ascii="Times New Roman" w:hAnsi="Times New Roman"/>
          <w:sz w:val="24"/>
        </w:rPr>
        <w:t>To fit state-level log-linear extrapolation models for EV adoption demand, train a Random Forest Regressor to predict required public charging stations by 2030, and build a Random Forest Classifier to evaluate transaction fraud risk during slot bookings.</w:t>
      </w:r>
    </w:p>
    <w:p>
      <w:pPr>
        <w:pStyle w:val="ListBullet"/>
        <w:spacing w:after="80" w:line="276" w:lineRule="auto"/>
      </w:pPr>
      <w:r>
        <w:rPr>
          <w:rFonts w:ascii="Times New Roman" w:hAnsi="Times New Roman"/>
          <w:b/>
          <w:sz w:val="24"/>
        </w:rPr>
        <w:t xml:space="preserve">• Tableau Business Intelligence Dashboard: </w:t>
      </w:r>
      <w:r>
        <w:rPr>
          <w:rFonts w:ascii="Times New Roman" w:hAnsi="Times New Roman"/>
          <w:sz w:val="24"/>
        </w:rPr>
        <w:t>To build interactive Tableau visual dashboards providing geospatial bubble maps, multi-factor correlation matrices, and regional demand forecasting charts.</w:t>
      </w:r>
    </w:p>
    <w:p>
      <w:pPr>
        <w:pStyle w:val="ListBullet"/>
        <w:spacing w:after="80" w:line="276" w:lineRule="auto"/>
      </w:pPr>
      <w:r>
        <w:rPr>
          <w:rFonts w:ascii="Times New Roman" w:hAnsi="Times New Roman"/>
          <w:b/>
          <w:sz w:val="24"/>
        </w:rPr>
        <w:t xml:space="preserve">• Interactive Web Portal Development: </w:t>
      </w:r>
      <w:r>
        <w:rPr>
          <w:rFonts w:ascii="Times New Roman" w:hAnsi="Times New Roman"/>
          <w:sz w:val="24"/>
        </w:rPr>
        <w:t>To build a user-facing Python Streamlit application featuring policy weight sliders for priority station deployment, a battery charging duration/cost calculator, a new/used EV marketplace with ML resale price estimation, and doorstep pickup service reservation.</w:t>
      </w:r>
    </w:p>
    <w:p>
      <w:r>
        <w:br w:type="page"/>
      </w:r>
    </w:p>
    <w:p>
      <w:pPr>
        <w:spacing w:before="0" w:after="240"/>
      </w:pPr>
      <w:r>
        <w:rPr>
          <w:rFonts w:ascii="Times New Roman" w:hAnsi="Times New Roman"/>
          <w:b/>
          <w:color w:val="000000"/>
          <w:sz w:val="28"/>
        </w:rPr>
        <w:t>Scope of the Project:</w:t>
      </w:r>
    </w:p>
    <w:p>
      <w:pPr>
        <w:spacing w:before="120" w:after="160"/>
      </w:pPr>
      <w:r>
        <w:rPr>
          <w:rFonts w:ascii="Times New Roman" w:hAnsi="Times New Roman"/>
          <w:b/>
          <w:color w:val="000000"/>
          <w:sz w:val="26"/>
        </w:rPr>
        <w:t>Included:</w:t>
      </w:r>
    </w:p>
    <w:p>
      <w:pPr>
        <w:pStyle w:val="ListBullet"/>
        <w:spacing w:after="80" w:line="276" w:lineRule="auto"/>
      </w:pPr>
      <w:r>
        <w:rPr>
          <w:rFonts w:ascii="Times New Roman" w:hAnsi="Times New Roman"/>
          <w:b/>
          <w:sz w:val="24"/>
        </w:rPr>
        <w:t xml:space="preserve">• Geographical &amp; Temporal Coverage: </w:t>
      </w:r>
      <w:r>
        <w:rPr>
          <w:rFonts w:ascii="Times New Roman" w:hAnsi="Times New Roman"/>
          <w:sz w:val="24"/>
        </w:rPr>
        <w:t>Comprehensive data analysis and modeling covering 32 Indian States and Union Territories, alongside granular district/city level analytics for major metropolitan hubs over 2020–2025.</w:t>
      </w:r>
    </w:p>
    <w:p>
      <w:pPr>
        <w:pStyle w:val="ListBullet"/>
        <w:spacing w:after="80" w:line="276" w:lineRule="auto"/>
      </w:pPr>
      <w:r>
        <w:rPr>
          <w:rFonts w:ascii="Times New Roman" w:hAnsi="Times New Roman"/>
          <w:b/>
          <w:sz w:val="24"/>
        </w:rPr>
        <w:t xml:space="preserve">• Machine Learning &amp; Forecasting: </w:t>
      </w:r>
      <w:r>
        <w:rPr>
          <w:rFonts w:ascii="Times New Roman" w:hAnsi="Times New Roman"/>
          <w:sz w:val="24"/>
        </w:rPr>
        <w:t>Application of Linear/Log Extrapolations and Random Forest Regressors for 2026–2030 demand forecasting, and a Random Forest Classifier for UPI booking transaction security.</w:t>
      </w:r>
    </w:p>
    <w:p>
      <w:pPr>
        <w:pStyle w:val="ListBullet"/>
        <w:spacing w:after="80" w:line="276" w:lineRule="auto"/>
      </w:pPr>
      <w:r>
        <w:rPr>
          <w:rFonts w:ascii="Times New Roman" w:hAnsi="Times New Roman"/>
          <w:b/>
          <w:sz w:val="24"/>
        </w:rPr>
        <w:t xml:space="preserve">• Decision Support &amp; Optimization: </w:t>
      </w:r>
      <w:r>
        <w:rPr>
          <w:rFonts w:ascii="Times New Roman" w:hAnsi="Times New Roman"/>
          <w:sz w:val="24"/>
        </w:rPr>
        <w:t>Implementation of a multi-criteria priority deployment planner allowing users to customize weights for EV density, growth velocity, and charger deficits.</w:t>
      </w:r>
    </w:p>
    <w:p>
      <w:pPr>
        <w:pStyle w:val="ListBullet"/>
        <w:spacing w:after="80" w:line="276" w:lineRule="auto"/>
      </w:pPr>
      <w:r>
        <w:rPr>
          <w:rFonts w:ascii="Times New Roman" w:hAnsi="Times New Roman"/>
          <w:b/>
          <w:sz w:val="24"/>
        </w:rPr>
        <w:t xml:space="preserve">• Multi-Platform Visual Analytics: </w:t>
      </w:r>
      <w:r>
        <w:rPr>
          <w:rFonts w:ascii="Times New Roman" w:hAnsi="Times New Roman"/>
          <w:sz w:val="24"/>
        </w:rPr>
        <w:t>Development of an interactive Streamlit web application and exportable Tableau dashboard datasets (`.csv` / `.hyper` ready schemas).</w:t>
      </w:r>
    </w:p>
    <w:p>
      <w:pPr>
        <w:pStyle w:val="ListBullet"/>
        <w:spacing w:after="80" w:line="276" w:lineRule="auto"/>
      </w:pPr>
      <w:r>
        <w:rPr>
          <w:rFonts w:ascii="Times New Roman" w:hAnsi="Times New Roman"/>
          <w:b/>
          <w:sz w:val="24"/>
        </w:rPr>
        <w:t xml:space="preserve">• E-Mobility Modules: </w:t>
      </w:r>
      <w:r>
        <w:rPr>
          <w:rFonts w:ascii="Times New Roman" w:hAnsi="Times New Roman"/>
          <w:sz w:val="24"/>
        </w:rPr>
        <w:t>Inclusion of battery charging duration/cost calculators, carbon offset estimators, an EV Buy &amp; Sell marketplace with ML resale pricing, and doorstep pickup concierge booking.</w:t>
      </w:r>
    </w:p>
    <w:p>
      <w:pPr>
        <w:spacing w:before="320" w:after="160"/>
      </w:pPr>
      <w:r>
        <w:rPr>
          <w:rFonts w:ascii="Times New Roman" w:hAnsi="Times New Roman"/>
          <w:b/>
          <w:color w:val="000000"/>
          <w:sz w:val="26"/>
        </w:rPr>
        <w:t>Excluded:</w:t>
      </w:r>
    </w:p>
    <w:p>
      <w:pPr>
        <w:pStyle w:val="ListBullet"/>
        <w:spacing w:after="80" w:line="276" w:lineRule="auto"/>
      </w:pPr>
      <w:r>
        <w:rPr>
          <w:rFonts w:ascii="Times New Roman" w:hAnsi="Times New Roman"/>
          <w:b/>
          <w:sz w:val="24"/>
        </w:rPr>
        <w:t xml:space="preserve">• Real-Time Physical IoT Telemetry: </w:t>
      </w:r>
      <w:r>
        <w:rPr>
          <w:rFonts w:ascii="Times New Roman" w:hAnsi="Times New Roman"/>
          <w:sz w:val="24"/>
        </w:rPr>
        <w:t>Direct hardware sensor integration on physical charging plugs (data is processed from official government database snapshots).</w:t>
      </w:r>
    </w:p>
    <w:p>
      <w:pPr>
        <w:pStyle w:val="ListBullet"/>
        <w:spacing w:after="80" w:line="276" w:lineRule="auto"/>
      </w:pPr>
      <w:r>
        <w:rPr>
          <w:rFonts w:ascii="Times New Roman" w:hAnsi="Times New Roman"/>
          <w:b/>
          <w:sz w:val="24"/>
        </w:rPr>
        <w:t xml:space="preserve">• Live Banking Gateway Integration: </w:t>
      </w:r>
      <w:r>
        <w:rPr>
          <w:rFonts w:ascii="Times New Roman" w:hAnsi="Times New Roman"/>
          <w:sz w:val="24"/>
        </w:rPr>
        <w:t>Real-world financial clearing through live banking APIs (simulated UPI payment flow verified by the ML fraud classifier is implemented).</w:t>
      </w:r>
    </w:p>
    <w:p>
      <w:pPr>
        <w:pStyle w:val="ListBullet"/>
        <w:spacing w:after="80" w:line="276" w:lineRule="auto"/>
      </w:pPr>
      <w:r>
        <w:rPr>
          <w:rFonts w:ascii="Times New Roman" w:hAnsi="Times New Roman"/>
          <w:b/>
          <w:sz w:val="24"/>
        </w:rPr>
        <w:t xml:space="preserve">• International / Global Markets: </w:t>
      </w:r>
      <w:r>
        <w:rPr>
          <w:rFonts w:ascii="Times New Roman" w:hAnsi="Times New Roman"/>
          <w:sz w:val="24"/>
        </w:rPr>
        <w:t>Analysis is strictly focused on the Indian EV market ecosystem and government policy frameworks.</w:t>
      </w:r>
    </w:p>
    <w:p>
      <w:r>
        <w:br w:type="page"/>
      </w:r>
    </w:p>
    <w:p>
      <w:pPr>
        <w:spacing w:before="0" w:after="240"/>
      </w:pPr>
      <w:r>
        <w:rPr>
          <w:rFonts w:ascii="Times New Roman" w:hAnsi="Times New Roman"/>
          <w:b/>
          <w:color w:val="000000"/>
          <w:sz w:val="28"/>
        </w:rPr>
        <w:t>Literature Review (brief):</w:t>
      </w:r>
    </w:p>
    <w:p>
      <w:pPr>
        <w:pStyle w:val="ListBullet"/>
        <w:spacing w:after="80" w:line="276" w:lineRule="auto"/>
      </w:pPr>
      <w:r>
        <w:rPr>
          <w:rFonts w:ascii="Times New Roman" w:hAnsi="Times New Roman"/>
          <w:b/>
          <w:sz w:val="24"/>
        </w:rPr>
        <w:t xml:space="preserve">• Markowitz &amp; Spatial Allocation Theories: </w:t>
      </w:r>
      <w:r>
        <w:rPr>
          <w:rFonts w:ascii="Times New Roman" w:hAnsi="Times New Roman"/>
          <w:sz w:val="24"/>
        </w:rPr>
        <w:t>Foundational research in location-allocation modeling demonstrates that public infrastructure must be deployed based on spatial demand density rather than uniform geographic distribution to minimize user travel time and maximize utility.</w:t>
      </w:r>
    </w:p>
    <w:p>
      <w:pPr>
        <w:pStyle w:val="ListBullet"/>
        <w:spacing w:after="80" w:line="276" w:lineRule="auto"/>
      </w:pPr>
      <w:r>
        <w:rPr>
          <w:rFonts w:ascii="Times New Roman" w:hAnsi="Times New Roman"/>
          <w:b/>
          <w:sz w:val="24"/>
        </w:rPr>
        <w:t xml:space="preserve">• Government Policy Frameworks (PM E-DRIVE &amp; BEE 2024): </w:t>
      </w:r>
      <w:r>
        <w:rPr>
          <w:rFonts w:ascii="Times New Roman" w:hAnsi="Times New Roman"/>
          <w:sz w:val="24"/>
        </w:rPr>
        <w:t>Official guidelines published by the Ministry of Heavy Industries and Bureau of Energy Efficiency emphasize the need for interoperable public charging networks and highlight state-level disparities in charger installation velocity.</w:t>
      </w:r>
    </w:p>
    <w:p>
      <w:pPr>
        <w:pStyle w:val="ListBullet"/>
        <w:spacing w:after="80" w:line="276" w:lineRule="auto"/>
      </w:pPr>
      <w:r>
        <w:rPr>
          <w:rFonts w:ascii="Times New Roman" w:hAnsi="Times New Roman"/>
          <w:b/>
          <w:sz w:val="24"/>
        </w:rPr>
        <w:t xml:space="preserve">• Machine Learning in Demand &amp; Adoption Forecasting: </w:t>
      </w:r>
      <w:r>
        <w:rPr>
          <w:rFonts w:ascii="Times New Roman" w:hAnsi="Times New Roman"/>
          <w:sz w:val="24"/>
        </w:rPr>
        <w:t>Studies in applied data science demonstrate that non-linear ensemble models (e.g., Random Forest, Gradient Boosting) outperform traditional linear projections when modeling multi-variable technology adoption curves.</w:t>
      </w:r>
    </w:p>
    <w:p>
      <w:pPr>
        <w:pStyle w:val="ListBullet"/>
        <w:spacing w:after="80" w:line="276" w:lineRule="auto"/>
      </w:pPr>
      <w:r>
        <w:rPr>
          <w:rFonts w:ascii="Times New Roman" w:hAnsi="Times New Roman"/>
          <w:b/>
          <w:sz w:val="24"/>
        </w:rPr>
        <w:t xml:space="preserve">• Indian E-Mobility Research Gap: </w:t>
      </w:r>
      <w:r>
        <w:rPr>
          <w:rFonts w:ascii="Times New Roman" w:hAnsi="Times New Roman"/>
          <w:sz w:val="24"/>
        </w:rPr>
        <w:t>Existing academic literature focuses primarily on vehicle battery chemistry or single-city traffic simulations. Very few studies provide an end-to-end framework combining national registration data, charger growth mismatches, ML forecasting, Tableau BI, and consumer service portals.</w:t>
      </w:r>
    </w:p>
    <w:p>
      <w:r>
        <w:br w:type="page"/>
      </w:r>
    </w:p>
    <w:p>
      <w:pPr>
        <w:spacing w:before="0" w:after="240"/>
      </w:pPr>
      <w:r>
        <w:rPr>
          <w:rFonts w:ascii="Times New Roman" w:hAnsi="Times New Roman"/>
          <w:b/>
          <w:color w:val="000000"/>
          <w:sz w:val="28"/>
        </w:rPr>
        <w:t>Methodology:</w:t>
      </w:r>
    </w:p>
    <w:p>
      <w:pPr>
        <w:spacing w:before="80" w:after="120"/>
      </w:pPr>
      <w:r>
        <w:rPr>
          <w:rFonts w:ascii="Times New Roman" w:hAnsi="Times New Roman"/>
          <w:b/>
          <w:color w:val="000000"/>
          <w:sz w:val="26"/>
        </w:rPr>
        <w:t>Research Design:</w:t>
      </w:r>
    </w:p>
    <w:p>
      <w:pPr>
        <w:spacing w:after="120" w:line="276" w:lineRule="auto"/>
        <w:jc w:val="both"/>
      </w:pPr>
      <w:r>
        <w:rPr>
          <w:rFonts w:ascii="Times New Roman" w:hAnsi="Times New Roman"/>
          <w:color w:val="1E1E1E"/>
          <w:sz w:val="24"/>
        </w:rPr>
        <w:t>A quantitative, empirical, and experimental data science research design. The methodology follows standard CRISP-DM (Cross-Industry Standard Process for Data Mining) phases: Data Understanding, Data Preparation, Exploratory Analysis, Modeling, Evaluation, and Deployment.</w:t>
      </w:r>
    </w:p>
    <w:p>
      <w:pPr>
        <w:spacing w:before="200" w:after="120"/>
      </w:pPr>
      <w:r>
        <w:rPr>
          <w:rFonts w:ascii="Times New Roman" w:hAnsi="Times New Roman"/>
          <w:b/>
          <w:color w:val="000000"/>
          <w:sz w:val="26"/>
        </w:rPr>
        <w:t>Data Collection Methods:</w:t>
      </w:r>
    </w:p>
    <w:p>
      <w:pPr>
        <w:pStyle w:val="ListBullet"/>
        <w:spacing w:after="80" w:line="276" w:lineRule="auto"/>
      </w:pPr>
      <w:r>
        <w:rPr>
          <w:rFonts w:ascii="Times New Roman" w:hAnsi="Times New Roman"/>
          <w:b/>
          <w:sz w:val="24"/>
        </w:rPr>
        <w:t xml:space="preserve">• Vehicle Registrations: </w:t>
      </w:r>
      <w:r>
        <w:rPr>
          <w:rFonts w:ascii="Times New Roman" w:hAnsi="Times New Roman"/>
          <w:sz w:val="24"/>
        </w:rPr>
        <w:t>Longitudinal EV registration analytics (2W, 3W, 4W, Buses) extracted from VAHAN analytics dashboards.</w:t>
      </w:r>
    </w:p>
    <w:p>
      <w:pPr>
        <w:pStyle w:val="ListBullet"/>
        <w:spacing w:after="80" w:line="276" w:lineRule="auto"/>
      </w:pPr>
      <w:r>
        <w:rPr>
          <w:rFonts w:ascii="Times New Roman" w:hAnsi="Times New Roman"/>
          <w:b/>
          <w:sz w:val="24"/>
        </w:rPr>
        <w:t xml:space="preserve">• Public Infrastructure Data: </w:t>
      </w:r>
      <w:r>
        <w:rPr>
          <w:rFonts w:ascii="Times New Roman" w:hAnsi="Times New Roman"/>
          <w:sz w:val="24"/>
        </w:rPr>
        <w:t>State/UT-wise public charging station records published by BEE and Open Government Data (OGD) platforms.</w:t>
      </w:r>
    </w:p>
    <w:p>
      <w:pPr>
        <w:pStyle w:val="ListBullet"/>
        <w:spacing w:after="80" w:line="276" w:lineRule="auto"/>
      </w:pPr>
      <w:r>
        <w:rPr>
          <w:rFonts w:ascii="Times New Roman" w:hAnsi="Times New Roman"/>
          <w:b/>
          <w:sz w:val="24"/>
        </w:rPr>
        <w:t xml:space="preserve">• Demographic &amp; Spatial Metrics: </w:t>
      </w:r>
      <w:r>
        <w:rPr>
          <w:rFonts w:ascii="Times New Roman" w:hAnsi="Times New Roman"/>
          <w:sz w:val="24"/>
        </w:rPr>
        <w:t>Census population projections, land area (sq km), urbanization rates, and economic GDP tiers for 32 Indian States/UTs.</w:t>
      </w:r>
    </w:p>
    <w:p>
      <w:pPr>
        <w:spacing w:before="200" w:after="120"/>
      </w:pPr>
      <w:r>
        <w:rPr>
          <w:rFonts w:ascii="Times New Roman" w:hAnsi="Times New Roman"/>
          <w:b/>
          <w:color w:val="000000"/>
          <w:sz w:val="26"/>
        </w:rPr>
        <w:t>Data Analysis Techniques:</w:t>
      </w:r>
    </w:p>
    <w:p>
      <w:pPr>
        <w:pStyle w:val="ListBullet"/>
        <w:spacing w:after="80" w:line="276" w:lineRule="auto"/>
      </w:pPr>
      <w:r>
        <w:rPr>
          <w:rFonts w:ascii="Times New Roman" w:hAnsi="Times New Roman"/>
          <w:b/>
          <w:sz w:val="24"/>
        </w:rPr>
        <w:t xml:space="preserve">• Feature Engineering: </w:t>
      </w:r>
      <w:r>
        <w:rPr>
          <w:rFonts w:ascii="Times New Roman" w:hAnsi="Times New Roman"/>
          <w:sz w:val="24"/>
        </w:rPr>
        <w:t>Computation of EV-to-Charger Ratios, YoY adoption percentage changes, and a multi-attribute Infrastructure Gap Score (0–100).</w:t>
      </w:r>
    </w:p>
    <w:p>
      <w:pPr>
        <w:pStyle w:val="ListBullet"/>
        <w:spacing w:after="80" w:line="276" w:lineRule="auto"/>
      </w:pPr>
      <w:r>
        <w:rPr>
          <w:rFonts w:ascii="Times New Roman" w:hAnsi="Times New Roman"/>
          <w:b/>
          <w:sz w:val="24"/>
        </w:rPr>
        <w:t xml:space="preserve">• Predictive ML Modeling: </w:t>
      </w:r>
      <w:r>
        <w:rPr>
          <w:rFonts w:ascii="Times New Roman" w:hAnsi="Times New Roman"/>
          <w:sz w:val="24"/>
        </w:rPr>
        <w:t>State-wise Log-Linear trends for EV growth extrapolation to 2030, Random Forest Regression for charging station demand prediction, and Random Forest Classification for UPI security checking.</w:t>
      </w:r>
    </w:p>
    <w:p>
      <w:pPr>
        <w:pStyle w:val="ListBullet"/>
        <w:spacing w:after="80" w:line="276" w:lineRule="auto"/>
      </w:pPr>
      <w:r>
        <w:rPr>
          <w:rFonts w:ascii="Times New Roman" w:hAnsi="Times New Roman"/>
          <w:b/>
          <w:sz w:val="24"/>
        </w:rPr>
        <w:t xml:space="preserve">• Model Evaluation: </w:t>
      </w:r>
      <w:r>
        <w:rPr>
          <w:rFonts w:ascii="Times New Roman" w:hAnsi="Times New Roman"/>
          <w:sz w:val="24"/>
        </w:rPr>
        <w:t>Model validation using R-squared (R²), Mean Squared Error (MSE), Precision, Recall, F1-Score, and Classification Accuracy.</w:t>
      </w:r>
    </w:p>
    <w:p>
      <w:pPr>
        <w:spacing w:before="200" w:after="120"/>
      </w:pPr>
      <w:r>
        <w:rPr>
          <w:rFonts w:ascii="Times New Roman" w:hAnsi="Times New Roman"/>
          <w:b/>
          <w:color w:val="000000"/>
          <w:sz w:val="26"/>
        </w:rPr>
        <w:t>Tools and Technologies:</w:t>
      </w:r>
    </w:p>
    <w:p>
      <w:pPr>
        <w:pStyle w:val="ListBullet"/>
        <w:spacing w:after="80" w:line="276" w:lineRule="auto"/>
      </w:pPr>
      <w:r>
        <w:rPr>
          <w:rFonts w:ascii="Times New Roman" w:hAnsi="Times New Roman"/>
          <w:b/>
          <w:sz w:val="24"/>
        </w:rPr>
        <w:t xml:space="preserve">• Languages &amp; Environments: </w:t>
      </w:r>
      <w:r>
        <w:rPr>
          <w:rFonts w:ascii="Times New Roman" w:hAnsi="Times New Roman"/>
          <w:sz w:val="24"/>
        </w:rPr>
        <w:t>Python 3.10+, VS Code, Jupyter Notebooks.</w:t>
      </w:r>
    </w:p>
    <w:p>
      <w:pPr>
        <w:pStyle w:val="ListBullet"/>
        <w:spacing w:after="80" w:line="276" w:lineRule="auto"/>
      </w:pPr>
      <w:r>
        <w:rPr>
          <w:rFonts w:ascii="Times New Roman" w:hAnsi="Times New Roman"/>
          <w:b/>
          <w:sz w:val="24"/>
        </w:rPr>
        <w:t xml:space="preserve">• Core Data &amp; ML Libraries: </w:t>
      </w:r>
      <w:r>
        <w:rPr>
          <w:rFonts w:ascii="Times New Roman" w:hAnsi="Times New Roman"/>
          <w:sz w:val="24"/>
        </w:rPr>
        <w:t>Pandas, NumPy, Scikit-Learn, Joblib.</w:t>
      </w:r>
    </w:p>
    <w:p>
      <w:pPr>
        <w:pStyle w:val="ListBullet"/>
        <w:spacing w:after="80" w:line="276" w:lineRule="auto"/>
      </w:pPr>
      <w:r>
        <w:rPr>
          <w:rFonts w:ascii="Times New Roman" w:hAnsi="Times New Roman"/>
          <w:b/>
          <w:sz w:val="24"/>
        </w:rPr>
        <w:t xml:space="preserve">• Visualization &amp; BI Tools: </w:t>
      </w:r>
      <w:r>
        <w:rPr>
          <w:rFonts w:ascii="Times New Roman" w:hAnsi="Times New Roman"/>
          <w:sz w:val="24"/>
        </w:rPr>
        <w:t>Tableau Desktop / Tableau Public, Plotly Express, Pydeck, Seaborn, Matplotlib.</w:t>
      </w:r>
    </w:p>
    <w:p>
      <w:pPr>
        <w:pStyle w:val="ListBullet"/>
        <w:spacing w:after="80" w:line="276" w:lineRule="auto"/>
      </w:pPr>
      <w:r>
        <w:rPr>
          <w:rFonts w:ascii="Times New Roman" w:hAnsi="Times New Roman"/>
          <w:b/>
          <w:sz w:val="24"/>
        </w:rPr>
        <w:t xml:space="preserve">• Web Application Framework: </w:t>
      </w:r>
      <w:r>
        <w:rPr>
          <w:rFonts w:ascii="Times New Roman" w:hAnsi="Times New Roman"/>
          <w:sz w:val="24"/>
        </w:rPr>
        <w:t>Streamlit, Vanilla HTML/CSS Glassmorphic styling.</w:t>
      </w:r>
    </w:p>
    <w:p>
      <w:r>
        <w:br w:type="page"/>
      </w:r>
    </w:p>
    <w:p>
      <w:pPr>
        <w:spacing w:before="0" w:after="240"/>
      </w:pPr>
      <w:r>
        <w:rPr>
          <w:rFonts w:ascii="Times New Roman" w:hAnsi="Times New Roman"/>
          <w:b/>
          <w:color w:val="000000"/>
          <w:sz w:val="28"/>
        </w:rPr>
        <w:t>Expected Outcomes/Deliverables:</w:t>
      </w:r>
    </w:p>
    <w:p>
      <w:pPr>
        <w:pStyle w:val="ListBullet"/>
        <w:spacing w:after="80" w:line="276" w:lineRule="auto"/>
      </w:pPr>
      <w:r>
        <w:rPr>
          <w:rFonts w:ascii="Times New Roman" w:hAnsi="Times New Roman"/>
          <w:b/>
          <w:sz w:val="24"/>
        </w:rPr>
        <w:t xml:space="preserve">• Comprehensive Preprocessed Dataset: </w:t>
      </w:r>
      <w:r>
        <w:rPr>
          <w:rFonts w:ascii="Times New Roman" w:hAnsi="Times New Roman"/>
          <w:sz w:val="24"/>
        </w:rPr>
        <w:t>A clean master dataset (`master_ev_dataset.csv`) covering 32 States/UTs over 2020–2025 with complete gap indices and demographic metrics.</w:t>
      </w:r>
    </w:p>
    <w:p>
      <w:pPr>
        <w:pStyle w:val="ListBullet"/>
        <w:spacing w:after="80" w:line="276" w:lineRule="auto"/>
      </w:pPr>
      <w:r>
        <w:rPr>
          <w:rFonts w:ascii="Times New Roman" w:hAnsi="Times New Roman"/>
          <w:b/>
          <w:sz w:val="24"/>
        </w:rPr>
        <w:t xml:space="preserve">• Trained ML Prediction Models: </w:t>
      </w:r>
      <w:r>
        <w:rPr>
          <w:rFonts w:ascii="Times New Roman" w:hAnsi="Times New Roman"/>
          <w:sz w:val="24"/>
        </w:rPr>
        <w:t>Serialized model binaries (`.pkl`, `.json`) for EV adoption trends, charger requirement forecasting, and transaction security evaluation.</w:t>
      </w:r>
    </w:p>
    <w:p>
      <w:pPr>
        <w:pStyle w:val="ListBullet"/>
        <w:spacing w:after="80" w:line="276" w:lineRule="auto"/>
      </w:pPr>
      <w:r>
        <w:rPr>
          <w:rFonts w:ascii="Times New Roman" w:hAnsi="Times New Roman"/>
          <w:b/>
          <w:sz w:val="24"/>
        </w:rPr>
        <w:t xml:space="preserve">• Interactive Tableau Visual Dashboards: </w:t>
      </w:r>
      <w:r>
        <w:rPr>
          <w:rFonts w:ascii="Times New Roman" w:hAnsi="Times New Roman"/>
          <w:sz w:val="24"/>
        </w:rPr>
        <w:t>Tableau-ready workbook datasets and exported geospatial visual dashboards.</w:t>
      </w:r>
    </w:p>
    <w:p>
      <w:pPr>
        <w:pStyle w:val="ListBullet"/>
        <w:spacing w:after="80" w:line="276" w:lineRule="auto"/>
      </w:pPr>
      <w:r>
        <w:rPr>
          <w:rFonts w:ascii="Times New Roman" w:hAnsi="Times New Roman"/>
          <w:b/>
          <w:sz w:val="24"/>
        </w:rPr>
        <w:t xml:space="preserve">• Web-Based Decision Support System: </w:t>
      </w:r>
      <w:r>
        <w:rPr>
          <w:rFonts w:ascii="Times New Roman" w:hAnsi="Times New Roman"/>
          <w:sz w:val="24"/>
        </w:rPr>
        <w:t>A fully functional Streamlit web application with 8 interactive modules (Hero overview, District map, EDA, Demand Forecasting, Priority Planner, Battery Calculator, Marketplace, Doorstep UPI Gateway).</w:t>
      </w:r>
    </w:p>
    <w:p>
      <w:pPr>
        <w:spacing w:before="320" w:after="160"/>
      </w:pPr>
      <w:r>
        <w:rPr>
          <w:rFonts w:ascii="Times New Roman" w:hAnsi="Times New Roman"/>
          <w:b/>
          <w:color w:val="000000"/>
          <w:sz w:val="26"/>
        </w:rPr>
        <w:t>Project Timeline</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4680"/>
        <w:gridCol w:w="4680"/>
      </w:tblGrid>
      <w:tr>
        <w:tc>
          <w:tcPr>
            <w:tcW w:type="dxa" w:w="4680"/>
            <w:tcMar>
              <w:top w:w="140" w:type="dxa"/>
              <w:bottom w:w="140" w:type="dxa"/>
              <w:left w:w="180" w:type="dxa"/>
              <w:right w:w="180" w:type="dxa"/>
            </w:tcMar>
          </w:tcPr>
          <w:p>
            <w:pPr>
              <w:jc w:val="left"/>
            </w:pPr>
            <w:r>
              <w:rPr>
                <w:rFonts w:ascii="Times New Roman" w:hAnsi="Times New Roman"/>
                <w:sz w:val="22"/>
              </w:rPr>
              <w:t>Phase</w:t>
            </w:r>
          </w:p>
        </w:tc>
        <w:tc>
          <w:tcPr>
            <w:tcW w:type="dxa" w:w="4680"/>
            <w:tcMar>
              <w:top w:w="140" w:type="dxa"/>
              <w:bottom w:w="140" w:type="dxa"/>
              <w:left w:w="180" w:type="dxa"/>
              <w:right w:w="180" w:type="dxa"/>
            </w:tcMar>
          </w:tcPr>
          <w:p>
            <w:pPr>
              <w:jc w:val="left"/>
            </w:pPr>
            <w:r>
              <w:rPr>
                <w:rFonts w:ascii="Times New Roman" w:hAnsi="Times New Roman"/>
                <w:sz w:val="22"/>
              </w:rPr>
              <w:t>Activity</w:t>
            </w:r>
          </w:p>
        </w:tc>
      </w:tr>
      <w:tr>
        <w:tc>
          <w:tcPr>
            <w:tcW w:type="dxa" w:w="4680"/>
            <w:tcMar>
              <w:top w:w="140" w:type="dxa"/>
              <w:bottom w:w="140" w:type="dxa"/>
              <w:left w:w="180" w:type="dxa"/>
              <w:right w:w="180" w:type="dxa"/>
            </w:tcMar>
          </w:tcPr>
          <w:p>
            <w:pPr>
              <w:jc w:val="left"/>
            </w:pPr>
            <w:r>
              <w:rPr>
                <w:rFonts w:ascii="Times New Roman" w:hAnsi="Times New Roman"/>
                <w:sz w:val="22"/>
              </w:rPr>
              <w:t>Week 1–2</w:t>
            </w:r>
          </w:p>
        </w:tc>
        <w:tc>
          <w:tcPr>
            <w:tcW w:type="dxa" w:w="4680"/>
            <w:tcMar>
              <w:top w:w="140" w:type="dxa"/>
              <w:bottom w:w="140" w:type="dxa"/>
              <w:left w:w="180" w:type="dxa"/>
              <w:right w:w="180" w:type="dxa"/>
            </w:tcMar>
          </w:tcPr>
          <w:p>
            <w:pPr>
              <w:jc w:val="left"/>
            </w:pPr>
            <w:r>
              <w:rPr>
                <w:rFonts w:ascii="Times New Roman" w:hAnsi="Times New Roman"/>
                <w:sz w:val="22"/>
              </w:rPr>
              <w:t>Data Collection, Aggregation &amp; Baseline Feature Engineering</w:t>
            </w:r>
          </w:p>
        </w:tc>
      </w:tr>
      <w:tr>
        <w:tc>
          <w:tcPr>
            <w:tcW w:type="dxa" w:w="4680"/>
            <w:tcMar>
              <w:top w:w="140" w:type="dxa"/>
              <w:bottom w:w="140" w:type="dxa"/>
              <w:left w:w="180" w:type="dxa"/>
              <w:right w:w="180" w:type="dxa"/>
            </w:tcMar>
          </w:tcPr>
          <w:p>
            <w:pPr>
              <w:jc w:val="left"/>
            </w:pPr>
            <w:r>
              <w:rPr>
                <w:rFonts w:ascii="Times New Roman" w:hAnsi="Times New Roman"/>
                <w:sz w:val="22"/>
              </w:rPr>
              <w:t>Week 3–5</w:t>
            </w:r>
          </w:p>
        </w:tc>
        <w:tc>
          <w:tcPr>
            <w:tcW w:type="dxa" w:w="4680"/>
            <w:tcMar>
              <w:top w:w="140" w:type="dxa"/>
              <w:bottom w:w="140" w:type="dxa"/>
              <w:left w:w="180" w:type="dxa"/>
              <w:right w:w="180" w:type="dxa"/>
            </w:tcMar>
          </w:tcPr>
          <w:p>
            <w:pPr>
              <w:jc w:val="left"/>
            </w:pPr>
            <w:r>
              <w:rPr>
                <w:rFonts w:ascii="Times New Roman" w:hAnsi="Times New Roman"/>
                <w:sz w:val="22"/>
              </w:rPr>
              <w:t>Exploratory Data Analysis (EDA) &amp; Infrastructure Gap Engine Formulation</w:t>
            </w:r>
          </w:p>
        </w:tc>
      </w:tr>
      <w:tr>
        <w:tc>
          <w:tcPr>
            <w:tcW w:type="dxa" w:w="4680"/>
            <w:tcMar>
              <w:top w:w="140" w:type="dxa"/>
              <w:bottom w:w="140" w:type="dxa"/>
              <w:left w:w="180" w:type="dxa"/>
              <w:right w:w="180" w:type="dxa"/>
            </w:tcMar>
          </w:tcPr>
          <w:p>
            <w:pPr>
              <w:jc w:val="left"/>
            </w:pPr>
            <w:r>
              <w:rPr>
                <w:rFonts w:ascii="Times New Roman" w:hAnsi="Times New Roman"/>
                <w:sz w:val="22"/>
              </w:rPr>
              <w:t>Week 6–7</w:t>
            </w:r>
          </w:p>
        </w:tc>
        <w:tc>
          <w:tcPr>
            <w:tcW w:type="dxa" w:w="4680"/>
            <w:tcMar>
              <w:top w:w="140" w:type="dxa"/>
              <w:bottom w:w="140" w:type="dxa"/>
              <w:left w:w="180" w:type="dxa"/>
              <w:right w:w="180" w:type="dxa"/>
            </w:tcMar>
          </w:tcPr>
          <w:p>
            <w:pPr>
              <w:jc w:val="left"/>
            </w:pPr>
            <w:r>
              <w:rPr>
                <w:rFonts w:ascii="Times New Roman" w:hAnsi="Times New Roman"/>
                <w:sz w:val="22"/>
              </w:rPr>
              <w:t>Machine Learning Modeling (Demand Forecasting &amp; Fraud Security Classifier)</w:t>
            </w:r>
          </w:p>
        </w:tc>
      </w:tr>
      <w:tr>
        <w:tc>
          <w:tcPr>
            <w:tcW w:type="dxa" w:w="4680"/>
            <w:tcMar>
              <w:top w:w="140" w:type="dxa"/>
              <w:bottom w:w="140" w:type="dxa"/>
              <w:left w:w="180" w:type="dxa"/>
              <w:right w:w="180" w:type="dxa"/>
            </w:tcMar>
          </w:tcPr>
          <w:p>
            <w:pPr>
              <w:jc w:val="left"/>
            </w:pPr>
            <w:r>
              <w:rPr>
                <w:rFonts w:ascii="Times New Roman" w:hAnsi="Times New Roman"/>
                <w:sz w:val="22"/>
              </w:rPr>
              <w:t>Week 8</w:t>
            </w:r>
          </w:p>
        </w:tc>
        <w:tc>
          <w:tcPr>
            <w:tcW w:type="dxa" w:w="4680"/>
            <w:tcMar>
              <w:top w:w="140" w:type="dxa"/>
              <w:bottom w:w="140" w:type="dxa"/>
              <w:left w:w="180" w:type="dxa"/>
              <w:right w:w="180" w:type="dxa"/>
            </w:tcMar>
          </w:tcPr>
          <w:p>
            <w:pPr>
              <w:jc w:val="left"/>
            </w:pPr>
            <w:r>
              <w:rPr>
                <w:rFonts w:ascii="Times New Roman" w:hAnsi="Times New Roman"/>
                <w:sz w:val="22"/>
              </w:rPr>
              <w:t>Tableau BI Dashboard &amp; Streamlit Web Portal Interface Development</w:t>
            </w:r>
          </w:p>
        </w:tc>
      </w:tr>
      <w:tr>
        <w:tc>
          <w:tcPr>
            <w:tcW w:type="dxa" w:w="4680"/>
            <w:tcMar>
              <w:top w:w="140" w:type="dxa"/>
              <w:bottom w:w="140" w:type="dxa"/>
              <w:left w:w="180" w:type="dxa"/>
              <w:right w:w="180" w:type="dxa"/>
            </w:tcMar>
          </w:tcPr>
          <w:p>
            <w:pPr>
              <w:jc w:val="left"/>
            </w:pPr>
            <w:r>
              <w:rPr>
                <w:rFonts w:ascii="Times New Roman" w:hAnsi="Times New Roman"/>
                <w:sz w:val="22"/>
              </w:rPr>
              <w:t>Week 9</w:t>
            </w:r>
          </w:p>
        </w:tc>
        <w:tc>
          <w:tcPr>
            <w:tcW w:type="dxa" w:w="4680"/>
            <w:tcMar>
              <w:top w:w="140" w:type="dxa"/>
              <w:bottom w:w="140" w:type="dxa"/>
              <w:left w:w="180" w:type="dxa"/>
              <w:right w:w="180" w:type="dxa"/>
            </w:tcMar>
          </w:tcPr>
          <w:p>
            <w:pPr>
              <w:jc w:val="left"/>
            </w:pPr>
            <w:r>
              <w:rPr>
                <w:rFonts w:ascii="Times New Roman" w:hAnsi="Times New Roman"/>
                <w:sz w:val="22"/>
              </w:rPr>
              <w:t>System Testing, Cross-Validation &amp; Model Fine-Tuning</w:t>
            </w:r>
          </w:p>
        </w:tc>
      </w:tr>
      <w:tr>
        <w:tc>
          <w:tcPr>
            <w:tcW w:type="dxa" w:w="4680"/>
            <w:tcMar>
              <w:top w:w="140" w:type="dxa"/>
              <w:bottom w:w="140" w:type="dxa"/>
              <w:left w:w="180" w:type="dxa"/>
              <w:right w:w="180" w:type="dxa"/>
            </w:tcMar>
          </w:tcPr>
          <w:p>
            <w:pPr>
              <w:jc w:val="left"/>
            </w:pPr>
            <w:r>
              <w:rPr>
                <w:rFonts w:ascii="Times New Roman" w:hAnsi="Times New Roman"/>
                <w:sz w:val="22"/>
              </w:rPr>
              <w:t>Week 10</w:t>
            </w:r>
          </w:p>
        </w:tc>
        <w:tc>
          <w:tcPr>
            <w:tcW w:type="dxa" w:w="4680"/>
            <w:tcMar>
              <w:top w:w="140" w:type="dxa"/>
              <w:bottom w:w="140" w:type="dxa"/>
              <w:left w:w="180" w:type="dxa"/>
              <w:right w:w="180" w:type="dxa"/>
            </w:tcMar>
          </w:tcPr>
          <w:p>
            <w:pPr>
              <w:jc w:val="left"/>
            </w:pPr>
            <w:r>
              <w:rPr>
                <w:rFonts w:ascii="Times New Roman" w:hAnsi="Times New Roman"/>
                <w:sz w:val="22"/>
              </w:rPr>
              <w:t>Final Documentation, Synopsis &amp; Capstone Presentation Submission</w:t>
            </w:r>
          </w:p>
        </w:tc>
      </w:tr>
    </w:tbl>
    <w:p>
      <w:r>
        <w:br w:type="page"/>
      </w:r>
    </w:p>
    <w:p>
      <w:pPr>
        <w:spacing w:before="0" w:after="280"/>
      </w:pPr>
      <w:r>
        <w:rPr>
          <w:rFonts w:ascii="Times New Roman" w:hAnsi="Times New Roman"/>
          <w:b/>
          <w:color w:val="000000"/>
          <w:sz w:val="28"/>
        </w:rPr>
        <w:t>References (APA Style)</w:t>
      </w:r>
    </w:p>
    <w:p>
      <w:pPr>
        <w:spacing w:after="160" w:line="276" w:lineRule="auto"/>
        <w:jc w:val="left"/>
      </w:pPr>
      <w:r>
        <w:rPr>
          <w:rFonts w:ascii="Times New Roman" w:hAnsi="Times New Roman"/>
          <w:sz w:val="22"/>
        </w:rPr>
        <w:t>1. Bureau of Energy Efficiency (BEE). (2024). Public charging infrastructure guidelines and national rollout strategy. Ministry of Power, Government of India.</w:t>
      </w:r>
    </w:p>
    <w:p>
      <w:pPr>
        <w:spacing w:after="160" w:line="276" w:lineRule="auto"/>
        <w:jc w:val="left"/>
      </w:pPr>
      <w:r>
        <w:rPr>
          <w:rFonts w:ascii="Times New Roman" w:hAnsi="Times New Roman"/>
          <w:sz w:val="22"/>
        </w:rPr>
        <w:t>2. Breiman, L. (2001). Random forests. Machine Learning, 45(1), 5–32.</w:t>
      </w:r>
    </w:p>
    <w:p>
      <w:pPr>
        <w:spacing w:after="160" w:line="276" w:lineRule="auto"/>
        <w:jc w:val="left"/>
      </w:pPr>
      <w:r>
        <w:rPr>
          <w:rFonts w:ascii="Times New Roman" w:hAnsi="Times New Roman"/>
          <w:sz w:val="22"/>
        </w:rPr>
        <w:t>3. Ministry of Heavy Industries. (2024). Scheme guidelines for PM Electric Drive Revolution in Innovative Vehicle Enhancement (PM E-DRIVE). Government of India.</w:t>
      </w:r>
    </w:p>
    <w:p>
      <w:pPr>
        <w:spacing w:after="160" w:line="276" w:lineRule="auto"/>
        <w:jc w:val="left"/>
      </w:pPr>
      <w:r>
        <w:rPr>
          <w:rFonts w:ascii="Times New Roman" w:hAnsi="Times New Roman"/>
          <w:sz w:val="22"/>
        </w:rPr>
        <w:t>4. NITI Aayog. (2022). Handbook on electric vehicle charging infrastructure implementation for Indian cities. Government of India.</w:t>
      </w:r>
    </w:p>
    <w:p>
      <w:pPr>
        <w:spacing w:after="160" w:line="276" w:lineRule="auto"/>
        <w:jc w:val="left"/>
      </w:pPr>
      <w:r>
        <w:rPr>
          <w:rFonts w:ascii="Times New Roman" w:hAnsi="Times New Roman"/>
          <w:sz w:val="22"/>
        </w:rPr>
        <w:t>5. Pedregosa, F., Varoquaux, G., Gramfort, A., Michel, V., Thirion, B., Grisel, O., ... &amp; Duchesnay, É. (2011). Scikit-learn: Machine learning in Python. Journal of Machine Learning Research, 12, 2825–2830.</w:t>
      </w:r>
    </w:p>
    <w:p>
      <w:pPr>
        <w:spacing w:after="160" w:line="276" w:lineRule="auto"/>
        <w:jc w:val="left"/>
      </w:pPr>
      <w:r>
        <w:rPr>
          <w:rFonts w:ascii="Times New Roman" w:hAnsi="Times New Roman"/>
          <w:sz w:val="22"/>
        </w:rPr>
        <w:t>6. Society of Indian Automobile Manufacturers (SIAM). (2024). Electric vehicle sales and market trends report 2020–2024.</w:t>
      </w:r>
    </w:p>
    <w:p>
      <w:pPr>
        <w:spacing w:after="160" w:line="276" w:lineRule="auto"/>
        <w:jc w:val="left"/>
      </w:pPr>
      <w:r>
        <w:rPr>
          <w:rFonts w:ascii="Times New Roman" w:hAnsi="Times New Roman"/>
          <w:sz w:val="22"/>
        </w:rPr>
        <w:t>7. VAHAN Dashboard. (2025). Vehicle registration analytics and electric vehicle portal. Ministry of Road Transport and Highways, Government of India.</w:t>
      </w:r>
    </w:p>
    <w:p>
      <w:pPr>
        <w:spacing w:after="160" w:line="276" w:lineRule="auto"/>
        <w:jc w:val="left"/>
      </w:pPr>
      <w:r>
        <w:rPr>
          <w:rFonts w:ascii="Times New Roman" w:hAnsi="Times New Roman"/>
          <w:sz w:val="22"/>
        </w:rPr>
        <w:t>8. World Resources Institute (WRI) India. (2023). Spatial planning for electric vehicle charging infrastructure in Indian metropolitan areas.</w:t>
      </w:r>
    </w:p>
    <w:p>
      <w:pPr>
        <w:spacing w:after="160" w:line="276" w:lineRule="auto"/>
        <w:jc w:val="left"/>
      </w:pPr>
      <w:r>
        <w:rPr>
          <w:rFonts w:ascii="Times New Roman" w:hAnsi="Times New Roman"/>
          <w:sz w:val="22"/>
        </w:rPr>
        <w:t>9. Xi, X., Sioshansi, R., &amp; Marano, V. (2013). A simulation-optimization model for siting electric-vehicle charging stations. Transportation Research Part D: Transport and Environment, 22, 60–68.</w:t>
      </w:r>
    </w:p>
    <w:p>
      <w:pPr>
        <w:spacing w:after="160" w:line="276" w:lineRule="auto"/>
        <w:jc w:val="left"/>
      </w:pPr>
      <w:r>
        <w:rPr>
          <w:rFonts w:ascii="Times New Roman" w:hAnsi="Times New Roman"/>
          <w:sz w:val="22"/>
        </w:rPr>
        <w:t>10. Zhang, Q., &amp; Li, H. (2020). Demand forecasting for electric vehicle charging stations using machine learning regression algorithms. IEEE Transactions on Smart Grid, 11(4), 3410–3419.</w:t>
      </w:r>
    </w:p>
    <w:p>
      <w:r>
        <w:br w:type="page"/>
      </w:r>
    </w:p>
    <w:p>
      <w:pPr>
        <w:spacing w:before="0" w:after="280"/>
      </w:pPr>
      <w:r>
        <w:rPr>
          <w:rFonts w:ascii="Times New Roman" w:hAnsi="Times New Roman"/>
          <w:b/>
          <w:color w:val="000000"/>
          <w:sz w:val="28"/>
        </w:rPr>
        <w:t>Declaration</w:t>
      </w:r>
    </w:p>
    <w:p>
      <w:pPr>
        <w:spacing w:after="120" w:line="276" w:lineRule="auto"/>
        <w:jc w:val="both"/>
      </w:pPr>
      <w:r>
        <w:rPr>
          <w:rFonts w:ascii="Times New Roman" w:hAnsi="Times New Roman"/>
          <w:color w:val="1E1E1E"/>
          <w:sz w:val="24"/>
        </w:rPr>
        <w:t>We hereby declare that the research work titled "EVision: EV Charging Demand Forecasting and Infrastructure Gap Analysis System (A Data-Driven Decision-Support System for Indian E-Mobility)" is an original work carried out by us in partial fulfillment of the requirements for the degree of Bachelor of Technology in Computer Science and Engineering at Lovely Professional University.</w:t>
      </w:r>
    </w:p>
    <w:p>
      <w:pPr>
        <w:spacing w:after="120" w:line="276" w:lineRule="auto"/>
        <w:jc w:val="both"/>
      </w:pPr>
      <w:r>
        <w:rPr>
          <w:rFonts w:ascii="Times New Roman" w:hAnsi="Times New Roman"/>
          <w:color w:val="1E1E1E"/>
          <w:sz w:val="24"/>
        </w:rPr>
        <w:t>We affirm that this work has not been submitted elsewhere for any degree or diploma. All sources of information have been duly acknowledged, and the content reflects our independent research and development effort under the guidance of Mr. Kaushal Pathak.</w:t>
      </w:r>
    </w:p>
    <w:p>
      <w:pPr>
        <w:spacing w:before="400" w:after="200"/>
      </w:pPr>
      <w:r>
        <w:rPr>
          <w:rFonts w:ascii="Times New Roman" w:hAnsi="Times New Roman"/>
          <w:b/>
          <w:color w:val="000000"/>
          <w:sz w:val="26"/>
        </w:rPr>
        <w:t>Signatures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c>
          <w:tcPr>
            <w:tcW w:type="dxa" w:w="3120"/>
            <w:tcMar>
              <w:top w:w="140" w:type="dxa"/>
              <w:bottom w:w="140" w:type="dxa"/>
              <w:left w:w="180" w:type="dxa"/>
              <w:right w:w="180" w:type="dxa"/>
            </w:tcMar>
          </w:tcPr>
          <w:p>
            <w:pPr>
              <w:jc w:val="left"/>
            </w:pPr>
            <w:r>
              <w:rPr>
                <w:rFonts w:ascii="Times New Roman" w:hAnsi="Times New Roman"/>
                <w:sz w:val="22"/>
              </w:rPr>
              <w:t>Name</w:t>
            </w:r>
          </w:p>
        </w:tc>
        <w:tc>
          <w:tcPr>
            <w:tcW w:type="dxa" w:w="3120"/>
            <w:tcMar>
              <w:top w:w="140" w:type="dxa"/>
              <w:bottom w:w="140" w:type="dxa"/>
              <w:left w:w="180" w:type="dxa"/>
              <w:right w:w="180" w:type="dxa"/>
            </w:tcMar>
          </w:tcPr>
          <w:p>
            <w:pPr>
              <w:jc w:val="left"/>
            </w:pPr>
            <w:r>
              <w:rPr>
                <w:rFonts w:ascii="Times New Roman" w:hAnsi="Times New Roman"/>
                <w:sz w:val="22"/>
              </w:rPr>
              <w:t>Roll No.</w:t>
            </w:r>
          </w:p>
        </w:tc>
        <w:tc>
          <w:tcPr>
            <w:tcW w:type="dxa" w:w="3120"/>
            <w:tcMar>
              <w:top w:w="140" w:type="dxa"/>
              <w:bottom w:w="140" w:type="dxa"/>
              <w:left w:w="180" w:type="dxa"/>
              <w:right w:w="180" w:type="dxa"/>
            </w:tcMar>
          </w:tcPr>
          <w:p>
            <w:pPr>
              <w:jc w:val="left"/>
            </w:pPr>
            <w:r>
              <w:rPr>
                <w:rFonts w:ascii="Times New Roman" w:hAnsi="Times New Roman"/>
                <w:sz w:val="22"/>
              </w:rPr>
              <w:t>Signature</w:t>
            </w:r>
          </w:p>
        </w:tc>
      </w:tr>
      <w:tr>
        <w:tc>
          <w:tcPr>
            <w:tcW w:type="dxa" w:w="3120"/>
            <w:tcMar>
              <w:top w:w="140" w:type="dxa"/>
              <w:bottom w:w="140" w:type="dxa"/>
              <w:left w:w="180" w:type="dxa"/>
              <w:right w:w="180" w:type="dxa"/>
            </w:tcMar>
          </w:tcPr>
          <w:p>
            <w:pPr>
              <w:jc w:val="left"/>
            </w:pPr>
            <w:r>
              <w:rPr>
                <w:rFonts w:ascii="Times New Roman" w:hAnsi="Times New Roman"/>
                <w:sz w:val="22"/>
              </w:rPr>
              <w:t>[Student Name 1]</w:t>
            </w:r>
          </w:p>
        </w:tc>
        <w:tc>
          <w:tcPr>
            <w:tcW w:type="dxa" w:w="3120"/>
            <w:tcMar>
              <w:top w:w="140" w:type="dxa"/>
              <w:bottom w:w="140" w:type="dxa"/>
              <w:left w:w="180" w:type="dxa"/>
              <w:right w:w="180" w:type="dxa"/>
            </w:tcMar>
          </w:tcPr>
          <w:p>
            <w:pPr>
              <w:jc w:val="left"/>
            </w:pPr>
            <w:r>
              <w:rPr>
                <w:rFonts w:ascii="Times New Roman" w:hAnsi="Times New Roman"/>
                <w:sz w:val="22"/>
              </w:rPr>
              <w:t>[Roll No 1]</w:t>
            </w:r>
          </w:p>
        </w:tc>
        <w:tc>
          <w:tcPr>
            <w:tcW w:type="dxa" w:w="3120"/>
            <w:tcMar>
              <w:top w:w="140" w:type="dxa"/>
              <w:bottom w:w="140" w:type="dxa"/>
              <w:left w:w="180" w:type="dxa"/>
              <w:right w:w="180" w:type="dxa"/>
            </w:tcMar>
          </w:tcPr>
          <w:p>
            <w:pPr>
              <w:jc w:val="left"/>
            </w:pPr>
            <w:r>
              <w:rPr>
                <w:rFonts w:ascii="Times New Roman" w:hAnsi="Times New Roman"/>
                <w:sz w:val="22"/>
              </w:rPr>
              <w:t>____________________</w:t>
            </w:r>
          </w:p>
        </w:tc>
      </w:tr>
      <w:tr>
        <w:tc>
          <w:tcPr>
            <w:tcW w:type="dxa" w:w="3120"/>
            <w:tcMar>
              <w:top w:w="140" w:type="dxa"/>
              <w:bottom w:w="140" w:type="dxa"/>
              <w:left w:w="180" w:type="dxa"/>
              <w:right w:w="180" w:type="dxa"/>
            </w:tcMar>
          </w:tcPr>
          <w:p>
            <w:pPr>
              <w:jc w:val="left"/>
            </w:pPr>
            <w:r>
              <w:rPr>
                <w:rFonts w:ascii="Times New Roman" w:hAnsi="Times New Roman"/>
                <w:sz w:val="22"/>
              </w:rPr>
              <w:t>[Student Name 2]</w:t>
            </w:r>
          </w:p>
        </w:tc>
        <w:tc>
          <w:tcPr>
            <w:tcW w:type="dxa" w:w="3120"/>
            <w:tcMar>
              <w:top w:w="140" w:type="dxa"/>
              <w:bottom w:w="140" w:type="dxa"/>
              <w:left w:w="180" w:type="dxa"/>
              <w:right w:w="180" w:type="dxa"/>
            </w:tcMar>
          </w:tcPr>
          <w:p>
            <w:pPr>
              <w:jc w:val="left"/>
            </w:pPr>
            <w:r>
              <w:rPr>
                <w:rFonts w:ascii="Times New Roman" w:hAnsi="Times New Roman"/>
                <w:sz w:val="22"/>
              </w:rPr>
              <w:t>[Roll No 2]</w:t>
            </w:r>
          </w:p>
        </w:tc>
        <w:tc>
          <w:tcPr>
            <w:tcW w:type="dxa" w:w="3120"/>
            <w:tcMar>
              <w:top w:w="140" w:type="dxa"/>
              <w:bottom w:w="140" w:type="dxa"/>
              <w:left w:w="180" w:type="dxa"/>
              <w:right w:w="180" w:type="dxa"/>
            </w:tcMar>
          </w:tcPr>
          <w:p>
            <w:pPr>
              <w:jc w:val="left"/>
            </w:pPr>
            <w:r>
              <w:rPr>
                <w:rFonts w:ascii="Times New Roman" w:hAnsi="Times New Roman"/>
                <w:sz w:val="22"/>
              </w:rPr>
              <w:t>____________________</w:t>
            </w:r>
          </w:p>
        </w:tc>
      </w:tr>
      <w:tr>
        <w:tc>
          <w:tcPr>
            <w:tcW w:type="dxa" w:w="3120"/>
            <w:tcMar>
              <w:top w:w="140" w:type="dxa"/>
              <w:bottom w:w="140" w:type="dxa"/>
              <w:left w:w="180" w:type="dxa"/>
              <w:right w:w="180" w:type="dxa"/>
            </w:tcMar>
          </w:tcPr>
          <w:p>
            <w:pPr>
              <w:jc w:val="left"/>
            </w:pPr>
            <w:r>
              <w:rPr>
                <w:rFonts w:ascii="Times New Roman" w:hAnsi="Times New Roman"/>
                <w:sz w:val="22"/>
              </w:rPr>
              <w:t>[Student Name 3]</w:t>
            </w:r>
          </w:p>
        </w:tc>
        <w:tc>
          <w:tcPr>
            <w:tcW w:type="dxa" w:w="3120"/>
            <w:tcMar>
              <w:top w:w="140" w:type="dxa"/>
              <w:bottom w:w="140" w:type="dxa"/>
              <w:left w:w="180" w:type="dxa"/>
              <w:right w:w="180" w:type="dxa"/>
            </w:tcMar>
          </w:tcPr>
          <w:p>
            <w:pPr>
              <w:jc w:val="left"/>
            </w:pPr>
            <w:r>
              <w:rPr>
                <w:rFonts w:ascii="Times New Roman" w:hAnsi="Times New Roman"/>
                <w:sz w:val="22"/>
              </w:rPr>
              <w:t>[Roll No 3]</w:t>
            </w:r>
          </w:p>
        </w:tc>
        <w:tc>
          <w:tcPr>
            <w:tcW w:type="dxa" w:w="3120"/>
            <w:tcMar>
              <w:top w:w="140" w:type="dxa"/>
              <w:bottom w:w="140" w:type="dxa"/>
              <w:left w:w="180" w:type="dxa"/>
              <w:right w:w="180" w:type="dxa"/>
            </w:tcMar>
          </w:tcPr>
          <w:p>
            <w:pPr>
              <w:jc w:val="left"/>
            </w:pPr>
            <w:r>
              <w:rPr>
                <w:rFonts w:ascii="Times New Roman" w:hAnsi="Times New Roman"/>
                <w:sz w:val="22"/>
              </w:rPr>
              <w:t>____________________</w:t>
            </w:r>
          </w:p>
        </w:tc>
      </w:tr>
    </w:tbl>
    <w:p>
      <w:pPr>
        <w:spacing w:before="600" w:after="80"/>
      </w:pPr>
      <w:r>
        <w:rPr>
          <w:rFonts w:ascii="Times New Roman" w:hAnsi="Times New Roman"/>
          <w:b/>
          <w:sz w:val="24"/>
        </w:rPr>
        <w:t>Supervisor:</w:t>
        <w:br/>
      </w:r>
      <w:r>
        <w:rPr>
          <w:rFonts w:ascii="Times New Roman" w:hAnsi="Times New Roman"/>
          <w:sz w:val="24"/>
        </w:rPr>
        <w:t>Mr. Kaushal Pathak</w:t>
        <w:br/>
      </w:r>
      <w:r>
        <w:rPr>
          <w:rFonts w:ascii="Times New Roman" w:hAnsi="Times New Roman"/>
          <w:sz w:val="24"/>
        </w:rPr>
        <w:t>(Signature)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