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3FB" w:rsidRDefault="006D00AA">
      <w:pPr>
        <w:spacing w:after="80"/>
        <w:jc w:val="center"/>
      </w:pPr>
      <w:r>
        <w:rPr>
          <w:rFonts w:ascii="Times New Roman" w:hAnsi="Times New Roman"/>
          <w:b/>
          <w:sz w:val="40"/>
        </w:rPr>
        <w:t>Lovely Professional University</w:t>
      </w:r>
    </w:p>
    <w:p w:rsidR="000D33FB" w:rsidRDefault="006D00AA">
      <w:pPr>
        <w:spacing w:after="40"/>
        <w:jc w:val="center"/>
      </w:pPr>
      <w:r>
        <w:rPr>
          <w:rFonts w:ascii="Times New Roman" w:hAnsi="Times New Roman"/>
          <w:sz w:val="24"/>
        </w:rPr>
        <w:t>School of Computer Science and Engineering</w:t>
      </w:r>
    </w:p>
    <w:p w:rsidR="000D33FB" w:rsidRDefault="006D00AA">
      <w:pPr>
        <w:spacing w:after="720"/>
        <w:jc w:val="center"/>
        <w:rPr>
          <w:rFonts w:ascii="Times New Roman" w:hAnsi="Times New Roman"/>
          <w:sz w:val="24"/>
        </w:rPr>
      </w:pPr>
      <w:proofErr w:type="spellStart"/>
      <w:r>
        <w:rPr>
          <w:rFonts w:ascii="Times New Roman" w:hAnsi="Times New Roman"/>
          <w:sz w:val="24"/>
        </w:rPr>
        <w:t>UpGrad</w:t>
      </w:r>
      <w:proofErr w:type="spellEnd"/>
      <w:r>
        <w:rPr>
          <w:rFonts w:ascii="Times New Roman" w:hAnsi="Times New Roman"/>
          <w:sz w:val="24"/>
        </w:rPr>
        <w:t xml:space="preserve"> Campus, </w:t>
      </w:r>
      <w:proofErr w:type="spellStart"/>
      <w:r>
        <w:rPr>
          <w:rFonts w:ascii="Times New Roman" w:hAnsi="Times New Roman"/>
          <w:sz w:val="24"/>
        </w:rPr>
        <w:t>Phagwara</w:t>
      </w:r>
      <w:proofErr w:type="spellEnd"/>
      <w:r>
        <w:rPr>
          <w:rFonts w:ascii="Times New Roman" w:hAnsi="Times New Roman"/>
          <w:sz w:val="24"/>
        </w:rPr>
        <w:t>, Punjab – India</w:t>
      </w:r>
    </w:p>
    <w:p w:rsidR="002B0AF3" w:rsidRDefault="002B0AF3">
      <w:pPr>
        <w:spacing w:after="720"/>
        <w:jc w:val="center"/>
      </w:pPr>
      <w:r w:rsidRPr="002B0AF3">
        <w:rPr>
          <w:rFonts w:ascii="Times New Roman" w:hAnsi="Times New Roman"/>
          <w:noProof/>
          <w:sz w:val="24"/>
        </w:rPr>
        <w:drawing>
          <wp:inline distT="0" distB="0" distL="0" distR="0">
            <wp:extent cx="2626637" cy="1177290"/>
            <wp:effectExtent l="0" t="0" r="0" b="0"/>
            <wp:docPr id="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626637" cy="1177290"/>
                    </a:xfrm>
                    <a:prstGeom prst="rect">
                      <a:avLst/>
                    </a:prstGeom>
                  </pic:spPr>
                </pic:pic>
              </a:graphicData>
            </a:graphic>
          </wp:inline>
        </w:drawing>
      </w:r>
    </w:p>
    <w:p w:rsidR="000D33FB" w:rsidRDefault="006D00AA">
      <w:pPr>
        <w:spacing w:after="80"/>
        <w:jc w:val="center"/>
      </w:pPr>
      <w:r>
        <w:rPr>
          <w:rFonts w:ascii="Times New Roman" w:hAnsi="Times New Roman"/>
          <w:b/>
          <w:sz w:val="44"/>
        </w:rPr>
        <w:t>SYNOPSIS</w:t>
      </w:r>
    </w:p>
    <w:p w:rsidR="000D33FB" w:rsidRDefault="006D00AA">
      <w:pPr>
        <w:spacing w:after="160"/>
        <w:jc w:val="center"/>
      </w:pPr>
      <w:proofErr w:type="spellStart"/>
      <w:r>
        <w:rPr>
          <w:rFonts w:ascii="Times New Roman" w:hAnsi="Times New Roman"/>
          <w:b/>
          <w:sz w:val="32"/>
        </w:rPr>
        <w:t>EVision</w:t>
      </w:r>
      <w:proofErr w:type="spellEnd"/>
      <w:r>
        <w:rPr>
          <w:rFonts w:ascii="Times New Roman" w:hAnsi="Times New Roman"/>
          <w:b/>
          <w:sz w:val="32"/>
        </w:rPr>
        <w:t>: EV Charging Demand Forecasting and Infrastructure Gap Analysis System</w:t>
      </w:r>
    </w:p>
    <w:p w:rsidR="000D33FB" w:rsidRDefault="006D00AA">
      <w:pPr>
        <w:spacing w:after="1000"/>
        <w:jc w:val="center"/>
      </w:pPr>
      <w:r>
        <w:rPr>
          <w:rFonts w:ascii="Times New Roman" w:hAnsi="Times New Roman"/>
        </w:rPr>
        <w:t>(A Multi-Factor Spatial-Temporal Analysis of EV Adoption, Charging Station Deficits, Demand Forecasting, and Location Optimization using Exploratory Data Analysis, Machine Learning, Tableau BI, and Web Technologies)</w:t>
      </w:r>
    </w:p>
    <w:p w:rsidR="00E373F9" w:rsidRDefault="006D00AA">
      <w:pPr>
        <w:spacing w:after="80"/>
        <w:jc w:val="center"/>
        <w:rPr>
          <w:sz w:val="24"/>
        </w:rPr>
      </w:pPr>
      <w:r>
        <w:rPr>
          <w:b/>
          <w:sz w:val="24"/>
        </w:rPr>
        <w:t>Submitted by</w:t>
      </w:r>
      <w:proofErr w:type="gramStart"/>
      <w:r>
        <w:rPr>
          <w:b/>
          <w:sz w:val="24"/>
        </w:rPr>
        <w:t>:</w:t>
      </w:r>
      <w:proofErr w:type="gramEnd"/>
      <w:r>
        <w:rPr>
          <w:b/>
          <w:sz w:val="24"/>
        </w:rPr>
        <w:br/>
      </w:r>
      <w:r w:rsidR="002B0AF3">
        <w:rPr>
          <w:sz w:val="24"/>
        </w:rPr>
        <w:t>Nikhil</w:t>
      </w:r>
    </w:p>
    <w:p w:rsidR="002B0AF3" w:rsidRDefault="006D00AA">
      <w:pPr>
        <w:spacing w:after="80"/>
        <w:jc w:val="center"/>
        <w:rPr>
          <w:b/>
          <w:sz w:val="24"/>
        </w:rPr>
      </w:pPr>
      <w:r>
        <w:rPr>
          <w:sz w:val="24"/>
        </w:rPr>
        <w:br/>
      </w:r>
      <w:r w:rsidR="002B0AF3">
        <w:rPr>
          <w:b/>
          <w:sz w:val="24"/>
        </w:rPr>
        <w:t>Roll No.: 12407032</w:t>
      </w:r>
    </w:p>
    <w:p w:rsidR="002B0AF3" w:rsidRDefault="006D00AA">
      <w:pPr>
        <w:spacing w:after="80"/>
        <w:jc w:val="center"/>
        <w:rPr>
          <w:b/>
          <w:sz w:val="24"/>
        </w:rPr>
      </w:pPr>
      <w:r>
        <w:rPr>
          <w:b/>
          <w:sz w:val="24"/>
        </w:rPr>
        <w:br/>
        <w:t>Course Code: CSE461</w:t>
      </w:r>
    </w:p>
    <w:p w:rsidR="000D33FB" w:rsidRDefault="00C2206D">
      <w:pPr>
        <w:spacing w:after="80"/>
        <w:jc w:val="center"/>
      </w:pPr>
      <w:r>
        <w:rPr>
          <w:b/>
          <w:sz w:val="24"/>
        </w:rPr>
        <w:br/>
        <w:t>Session: Aug 2026 – Dec</w:t>
      </w:r>
      <w:r w:rsidR="002B0AF3">
        <w:rPr>
          <w:b/>
          <w:sz w:val="24"/>
        </w:rPr>
        <w:t>.</w:t>
      </w:r>
      <w:r w:rsidR="006D00AA">
        <w:rPr>
          <w:b/>
          <w:sz w:val="24"/>
        </w:rPr>
        <w:t xml:space="preserve"> 2026</w:t>
      </w:r>
    </w:p>
    <w:p w:rsidR="000D33FB" w:rsidRDefault="006D00AA">
      <w:r>
        <w:br w:type="page"/>
      </w:r>
    </w:p>
    <w:p w:rsidR="000D33FB" w:rsidRDefault="006D00AA">
      <w:pPr>
        <w:spacing w:after="240"/>
      </w:pPr>
      <w:r>
        <w:rPr>
          <w:rFonts w:ascii="Times New Roman" w:hAnsi="Times New Roman"/>
          <w:b/>
          <w:color w:val="000000"/>
          <w:sz w:val="28"/>
        </w:rPr>
        <w:lastRenderedPageBreak/>
        <w:t>Introduction:</w:t>
      </w:r>
    </w:p>
    <w:p w:rsidR="000D33FB" w:rsidRDefault="006D00AA">
      <w:pPr>
        <w:spacing w:before="120" w:after="120"/>
      </w:pPr>
      <w:r>
        <w:rPr>
          <w:rFonts w:ascii="Times New Roman" w:hAnsi="Times New Roman"/>
          <w:b/>
          <w:color w:val="000000"/>
          <w:sz w:val="26"/>
        </w:rPr>
        <w:t>Background/Context:</w:t>
      </w:r>
    </w:p>
    <w:p w:rsidR="000D33FB" w:rsidRDefault="006D00AA">
      <w:pPr>
        <w:spacing w:after="120"/>
        <w:jc w:val="both"/>
      </w:pPr>
      <w:r>
        <w:rPr>
          <w:rFonts w:ascii="Times New Roman" w:hAnsi="Times New Roman"/>
          <w:color w:val="141414"/>
          <w:sz w:val="24"/>
        </w:rPr>
        <w:t>The electrification of road transport in India represents one of the most critical transitions in sustainable mobility and environmental governance. Driven by central and state policy frameworks—such as the Ministry of Heavy Industries' PM E-DRIVE scheme, FAME-II incentives, and state-level EV tax waivers—electric vehicle (EV) adoption has expanded rapidly. Official vehicle registration analytics from the Ministry of Road Transport and Highways (VAHAN) demonstrate accelerating adoption across two-wheelers (2W), three-wheelers (3W), passenger four-wheelers (4W), and public transit bus fleets. However, electric mobility relies on a robust, spatially distributed public charging infrastructure network to alleviate consumer range anxiety and maintain fleet operational continuity.</w:t>
      </w:r>
    </w:p>
    <w:p w:rsidR="000D33FB" w:rsidRDefault="006D00AA">
      <w:pPr>
        <w:spacing w:after="120"/>
        <w:jc w:val="both"/>
        <w:rPr>
          <w:rFonts w:ascii="Times New Roman" w:hAnsi="Times New Roman"/>
          <w:color w:val="141414"/>
          <w:sz w:val="24"/>
        </w:rPr>
      </w:pPr>
      <w:r>
        <w:rPr>
          <w:rFonts w:ascii="Times New Roman" w:hAnsi="Times New Roman"/>
          <w:color w:val="141414"/>
          <w:sz w:val="24"/>
        </w:rPr>
        <w:t>Presently, public charging infrastructure expansion in India struggles to keep pace with localized vehicle adoption rates. Bureau of Energy Efficiency (BEE) data indicates substantial state-level and district-level disparities in charging station deployment. While states such as Karnataka lead in absolute public charging station counts (~6,100 stations), states such as Uttar Pradesh lead national EV registration volumes (~18% of national sales) with comparatively fewer public charging facilities. This structural mismatch creates localized charging deserts, extreme station queueing during peak hours, and uncoordinated electrical grid loads. Managing this infrastructure transition requires data-driven decision-support frameworks.</w:t>
      </w:r>
    </w:p>
    <w:p w:rsidR="006D00AA" w:rsidRDefault="006D00AA">
      <w:pPr>
        <w:spacing w:after="120"/>
        <w:jc w:val="both"/>
        <w:rPr>
          <w:rFonts w:ascii="Times New Roman" w:hAnsi="Times New Roman"/>
          <w:color w:val="141414"/>
          <w:sz w:val="24"/>
        </w:rPr>
      </w:pPr>
    </w:p>
    <w:p w:rsidR="006D00AA" w:rsidRDefault="006D00AA">
      <w:pPr>
        <w:spacing w:after="120"/>
        <w:jc w:val="both"/>
      </w:pPr>
    </w:p>
    <w:p w:rsidR="000D33FB" w:rsidRDefault="006D00AA">
      <w:pPr>
        <w:spacing w:before="200" w:after="120"/>
      </w:pPr>
      <w:r>
        <w:rPr>
          <w:rFonts w:ascii="Times New Roman" w:hAnsi="Times New Roman"/>
          <w:b/>
          <w:color w:val="000000"/>
          <w:sz w:val="26"/>
        </w:rPr>
        <w:t>Problem Statement:</w:t>
      </w:r>
    </w:p>
    <w:p w:rsidR="000D33FB" w:rsidRDefault="006D00AA">
      <w:pPr>
        <w:spacing w:after="120"/>
        <w:jc w:val="both"/>
        <w:rPr>
          <w:rFonts w:ascii="Times New Roman" w:hAnsi="Times New Roman"/>
          <w:color w:val="141414"/>
          <w:sz w:val="24"/>
        </w:rPr>
      </w:pPr>
      <w:r>
        <w:rPr>
          <w:rFonts w:ascii="Times New Roman" w:hAnsi="Times New Roman"/>
          <w:color w:val="141414"/>
          <w:sz w:val="24"/>
        </w:rPr>
        <w:t>Municipal planners, private Charging Point Operators (CPOs), and government agencies face a complex spatial allocation challenge: determining where infrastructure gaps currently exist and where future charging demand will exceed grid capacity. Existing infrastructure planning relies primarily on reactive deployments or static geographic heuristics, failing to account for dynamic multi-variable interactions—such as vehicle growth velocity, charger-to-EV ratio pressure, urban population density, and demographic economic tiers. Furthermore, traditional static reports lack predictive machine learning models to forecast 2026–2030 demand and lack interactive visualization dashboards (Tableau / Web portals) to support strategic capital allocation.</w:t>
      </w:r>
    </w:p>
    <w:p w:rsidR="006D00AA" w:rsidRDefault="006D00AA">
      <w:pPr>
        <w:spacing w:after="120"/>
        <w:jc w:val="both"/>
        <w:rPr>
          <w:rFonts w:ascii="Times New Roman" w:hAnsi="Times New Roman"/>
          <w:color w:val="141414"/>
          <w:sz w:val="24"/>
        </w:rPr>
      </w:pPr>
    </w:p>
    <w:p w:rsidR="006D00AA" w:rsidRDefault="006D00AA">
      <w:pPr>
        <w:spacing w:after="120"/>
        <w:jc w:val="both"/>
        <w:rPr>
          <w:rFonts w:ascii="Times New Roman" w:hAnsi="Times New Roman"/>
          <w:color w:val="141414"/>
          <w:sz w:val="24"/>
        </w:rPr>
      </w:pPr>
    </w:p>
    <w:p w:rsidR="006D00AA" w:rsidRDefault="006D00AA">
      <w:pPr>
        <w:spacing w:after="120"/>
        <w:jc w:val="both"/>
        <w:rPr>
          <w:rFonts w:ascii="Times New Roman" w:hAnsi="Times New Roman"/>
          <w:color w:val="141414"/>
          <w:sz w:val="24"/>
        </w:rPr>
      </w:pPr>
    </w:p>
    <w:p w:rsidR="006D00AA" w:rsidRDefault="006D00AA">
      <w:pPr>
        <w:spacing w:after="120"/>
        <w:jc w:val="both"/>
        <w:rPr>
          <w:rFonts w:ascii="Times New Roman" w:hAnsi="Times New Roman"/>
          <w:color w:val="141414"/>
          <w:sz w:val="24"/>
        </w:rPr>
      </w:pPr>
    </w:p>
    <w:p w:rsidR="006D00AA" w:rsidRDefault="006D00AA">
      <w:pPr>
        <w:spacing w:after="120"/>
        <w:jc w:val="both"/>
      </w:pPr>
    </w:p>
    <w:p w:rsidR="000D33FB" w:rsidRDefault="006D00AA">
      <w:pPr>
        <w:spacing w:before="200" w:after="120"/>
      </w:pPr>
      <w:r>
        <w:rPr>
          <w:rFonts w:ascii="Times New Roman" w:hAnsi="Times New Roman"/>
          <w:b/>
          <w:color w:val="000000"/>
          <w:sz w:val="26"/>
        </w:rPr>
        <w:lastRenderedPageBreak/>
        <w:t>Rationale/Justification:</w:t>
      </w:r>
    </w:p>
    <w:p w:rsidR="000D33FB" w:rsidRDefault="006D00AA">
      <w:pPr>
        <w:spacing w:after="120"/>
        <w:jc w:val="both"/>
      </w:pPr>
      <w:r>
        <w:rPr>
          <w:rFonts w:ascii="Times New Roman" w:hAnsi="Times New Roman"/>
          <w:color w:val="141414"/>
          <w:sz w:val="24"/>
        </w:rPr>
        <w:t>To resolve these challenges, this project introduces 'EVision', an enterprise-grade data science and machine learning decision-support platform tailored specifically to the Indian EV landscape. EVision unifies longitudinal registration data, public charging station statistics, and demographic datasets across 32 Indian States/UTs and key urban districts. By engineering a mathematical Infrastructure Gap Index (0–100), training machine learning forecasting algorithms (Log-Linear trends, Random Forest Regressors, and Random Forest Fraud Security Classifiers), creating interactive Tableau BI dashboards, and developing a feature-rich web application (including battery calculators, EV resale pricing ML models, and doorstep charging payment gateways), this project provides a comprehensive, end-to-end analytical framework.</w:t>
      </w:r>
    </w:p>
    <w:p w:rsidR="000D33FB" w:rsidRDefault="006D00AA">
      <w:r>
        <w:br w:type="page"/>
      </w:r>
    </w:p>
    <w:p w:rsidR="000D33FB" w:rsidRDefault="006D00AA">
      <w:pPr>
        <w:spacing w:after="240"/>
      </w:pPr>
      <w:r>
        <w:rPr>
          <w:rFonts w:ascii="Times New Roman" w:hAnsi="Times New Roman"/>
          <w:b/>
          <w:color w:val="000000"/>
          <w:sz w:val="28"/>
        </w:rPr>
        <w:lastRenderedPageBreak/>
        <w:t>Objectives:</w:t>
      </w:r>
    </w:p>
    <w:p w:rsidR="000D33FB" w:rsidRDefault="006D00AA">
      <w:pPr>
        <w:spacing w:before="120" w:after="120"/>
      </w:pPr>
      <w:r>
        <w:rPr>
          <w:rFonts w:ascii="Times New Roman" w:hAnsi="Times New Roman"/>
          <w:b/>
          <w:color w:val="000000"/>
          <w:sz w:val="26"/>
        </w:rPr>
        <w:t>General Objective:</w:t>
      </w:r>
    </w:p>
    <w:p w:rsidR="000D33FB" w:rsidRDefault="006D00AA">
      <w:pPr>
        <w:spacing w:after="120"/>
        <w:jc w:val="both"/>
      </w:pPr>
      <w:r>
        <w:rPr>
          <w:rFonts w:ascii="Times New Roman" w:hAnsi="Times New Roman"/>
          <w:color w:val="141414"/>
          <w:sz w:val="24"/>
        </w:rPr>
        <w:t>To design, implement, and validate a comprehensive data science decision-support system ('EVision') that analyzes Indian EV adoption metrics, quantifies spatial infrastructure gaps, forecasts 2026–2030 charging demand using Machine Learning, and delivers interactive visual analytics via Tableau BI and a Python Streamlit web portal.</w:t>
      </w:r>
    </w:p>
    <w:p w:rsidR="000D33FB" w:rsidRDefault="006D00AA">
      <w:pPr>
        <w:spacing w:before="200" w:after="160"/>
      </w:pPr>
      <w:r>
        <w:rPr>
          <w:rFonts w:ascii="Times New Roman" w:hAnsi="Times New Roman"/>
          <w:b/>
          <w:color w:val="000000"/>
          <w:sz w:val="26"/>
        </w:rPr>
        <w:t>Specific Objectives:</w:t>
      </w:r>
    </w:p>
    <w:p w:rsidR="000D33FB" w:rsidRDefault="006D00AA">
      <w:pPr>
        <w:pStyle w:val="ListBullet"/>
        <w:spacing w:after="120"/>
        <w:jc w:val="both"/>
      </w:pPr>
      <w:r>
        <w:rPr>
          <w:rFonts w:ascii="Times New Roman" w:hAnsi="Times New Roman"/>
          <w:b/>
          <w:sz w:val="24"/>
        </w:rPr>
        <w:t xml:space="preserve">Multi-Source Data Synthesis &amp; Preprocessing: </w:t>
      </w:r>
      <w:r>
        <w:rPr>
          <w:rFonts w:ascii="Times New Roman" w:hAnsi="Times New Roman"/>
          <w:color w:val="141414"/>
          <w:sz w:val="24"/>
        </w:rPr>
        <w:t>To collect, clean, and integrate longitudinal Indian datasets (2020–2025) from VAHAN registration analytics, Bureau of Energy Efficiency (BEE) public station statistics, and Census population projections across 32 States/UTs and major urban districts into a unified master database (`master_ev_dataset.csv`).</w:t>
      </w:r>
    </w:p>
    <w:p w:rsidR="000D33FB" w:rsidRDefault="006D00AA">
      <w:pPr>
        <w:pStyle w:val="ListBullet"/>
        <w:spacing w:after="120"/>
        <w:jc w:val="both"/>
      </w:pPr>
      <w:r>
        <w:rPr>
          <w:rFonts w:ascii="Times New Roman" w:hAnsi="Times New Roman"/>
          <w:b/>
          <w:sz w:val="24"/>
        </w:rPr>
        <w:t xml:space="preserve">Exploratory Data Analysis &amp; Growth Mismatch Detection: </w:t>
      </w:r>
      <w:r>
        <w:rPr>
          <w:rFonts w:ascii="Times New Roman" w:hAnsi="Times New Roman"/>
          <w:color w:val="141414"/>
          <w:sz w:val="24"/>
        </w:rPr>
        <w:t>To conduct rigorous bivariate and multivariate exploratory data analysis (EDA), identifying regional growth mismatches where vehicle registration growth outpaces charging infrastructure installation rates.</w:t>
      </w:r>
    </w:p>
    <w:p w:rsidR="000D33FB" w:rsidRDefault="006D00AA">
      <w:pPr>
        <w:pStyle w:val="ListBullet"/>
        <w:spacing w:after="120"/>
        <w:jc w:val="both"/>
      </w:pPr>
      <w:r>
        <w:rPr>
          <w:rFonts w:ascii="Times New Roman" w:hAnsi="Times New Roman"/>
          <w:b/>
          <w:sz w:val="24"/>
        </w:rPr>
        <w:t xml:space="preserve">Mathematical Infrastructure Gap Indexing: </w:t>
      </w:r>
      <w:r>
        <w:rPr>
          <w:rFonts w:ascii="Times New Roman" w:hAnsi="Times New Roman"/>
          <w:color w:val="141414"/>
          <w:sz w:val="24"/>
        </w:rPr>
        <w:t>To formulate and compute a normalized multi-criteria Infrastructure Gap Score (0–100) incorporating charger deficits, EV-to-charger pressure ratios, vehicle adoption velocity, and urban density metrics, categorizing regions into Low, Moderate, High, and Critical gap tiers.</w:t>
      </w:r>
    </w:p>
    <w:p w:rsidR="000D33FB" w:rsidRDefault="006D00AA">
      <w:pPr>
        <w:pStyle w:val="ListBullet"/>
        <w:spacing w:after="120"/>
        <w:jc w:val="both"/>
      </w:pPr>
      <w:r>
        <w:rPr>
          <w:rFonts w:ascii="Times New Roman" w:hAnsi="Times New Roman"/>
          <w:b/>
          <w:sz w:val="24"/>
        </w:rPr>
        <w:t xml:space="preserve">Predictive Machine Learning Modeling: </w:t>
      </w:r>
      <w:r>
        <w:rPr>
          <w:rFonts w:ascii="Times New Roman" w:hAnsi="Times New Roman"/>
          <w:color w:val="141414"/>
          <w:sz w:val="24"/>
        </w:rPr>
        <w:t>To fit state-level log-linear extrapolation models for EV demand, train a Random Forest Regressor to predict required public charging stations by 2030 ($R^2 = 0.385$), and construct a Random Forest Classifier pipeline (94% accuracy) to evaluate payment fraud security for charging slot reservations.</w:t>
      </w:r>
    </w:p>
    <w:p w:rsidR="000D33FB" w:rsidRDefault="006D00AA">
      <w:pPr>
        <w:pStyle w:val="ListBullet"/>
        <w:spacing w:after="120"/>
        <w:jc w:val="both"/>
      </w:pPr>
      <w:r>
        <w:rPr>
          <w:rFonts w:ascii="Times New Roman" w:hAnsi="Times New Roman"/>
          <w:b/>
          <w:sz w:val="24"/>
        </w:rPr>
        <w:t xml:space="preserve">Tableau Business Intelligence Integration: </w:t>
      </w:r>
      <w:r>
        <w:rPr>
          <w:rFonts w:ascii="Times New Roman" w:hAnsi="Times New Roman"/>
          <w:color w:val="141414"/>
          <w:sz w:val="24"/>
        </w:rPr>
        <w:t>To design and export interactive Tableau dashboard workbooks (`.csv` / `.hyper` schemas) displaying geospatial bubble maps, multi-factor correlation matrices, and regional demand projections for policy stakeholders.</w:t>
      </w:r>
    </w:p>
    <w:p w:rsidR="000D33FB" w:rsidRDefault="006D00AA">
      <w:pPr>
        <w:pStyle w:val="ListBullet"/>
        <w:spacing w:after="120"/>
        <w:jc w:val="both"/>
      </w:pPr>
      <w:r>
        <w:rPr>
          <w:rFonts w:ascii="Times New Roman" w:hAnsi="Times New Roman"/>
          <w:b/>
          <w:sz w:val="24"/>
        </w:rPr>
        <w:t xml:space="preserve">Interactive Web Portal &amp; Consumer E-Mobility Suite: </w:t>
      </w:r>
      <w:r>
        <w:rPr>
          <w:rFonts w:ascii="Times New Roman" w:hAnsi="Times New Roman"/>
          <w:color w:val="141414"/>
          <w:sz w:val="24"/>
        </w:rPr>
        <w:t>To build a user-facing Python Streamlit application featuring policy deployment weight planners, battery charging duration/cost calculators, a new/used EV marketplace with ML resale price estimation, and doorstep pickup service booking.</w:t>
      </w:r>
    </w:p>
    <w:p w:rsidR="000D33FB" w:rsidRDefault="006D00AA">
      <w:r>
        <w:br w:type="page"/>
      </w:r>
    </w:p>
    <w:p w:rsidR="000D33FB" w:rsidRDefault="006D00AA">
      <w:pPr>
        <w:spacing w:after="240"/>
      </w:pPr>
      <w:r>
        <w:rPr>
          <w:rFonts w:ascii="Times New Roman" w:hAnsi="Times New Roman"/>
          <w:b/>
          <w:color w:val="000000"/>
          <w:sz w:val="28"/>
        </w:rPr>
        <w:lastRenderedPageBreak/>
        <w:t>Scope of the Project:</w:t>
      </w:r>
    </w:p>
    <w:p w:rsidR="000D33FB" w:rsidRDefault="006D00AA">
      <w:pPr>
        <w:spacing w:before="120" w:after="160"/>
      </w:pPr>
      <w:r>
        <w:rPr>
          <w:rFonts w:ascii="Times New Roman" w:hAnsi="Times New Roman"/>
          <w:b/>
          <w:color w:val="000000"/>
          <w:sz w:val="26"/>
        </w:rPr>
        <w:t>Included:</w:t>
      </w:r>
    </w:p>
    <w:p w:rsidR="000D33FB" w:rsidRDefault="006D00AA">
      <w:pPr>
        <w:pStyle w:val="ListBullet"/>
        <w:spacing w:after="120"/>
        <w:jc w:val="both"/>
      </w:pPr>
      <w:r>
        <w:rPr>
          <w:rFonts w:ascii="Times New Roman" w:hAnsi="Times New Roman"/>
          <w:b/>
          <w:sz w:val="24"/>
        </w:rPr>
        <w:t xml:space="preserve">Geographic &amp; Temporal Granularity: </w:t>
      </w:r>
      <w:r>
        <w:rPr>
          <w:rFonts w:ascii="Times New Roman" w:hAnsi="Times New Roman"/>
          <w:color w:val="141414"/>
          <w:sz w:val="24"/>
        </w:rPr>
        <w:t>Longitudinal analysis spanning 2020–2025 across 32 Indian States and Union Territories, alongside granular district/city level analytics for major metropolitan hubs (Mumbai, Pune, Noida, Lucknow, Bengaluru Urban, South Delhi, Chennai, Hyderabad, etc.).</w:t>
      </w:r>
    </w:p>
    <w:p w:rsidR="000D33FB" w:rsidRDefault="006D00AA">
      <w:pPr>
        <w:pStyle w:val="ListBullet"/>
        <w:spacing w:after="120"/>
        <w:jc w:val="both"/>
      </w:pPr>
      <w:r>
        <w:rPr>
          <w:rFonts w:ascii="Times New Roman" w:hAnsi="Times New Roman"/>
          <w:b/>
          <w:sz w:val="24"/>
        </w:rPr>
        <w:t xml:space="preserve">Machine Learning &amp; Predictive Modeling: </w:t>
      </w:r>
      <w:r>
        <w:rPr>
          <w:rFonts w:ascii="Times New Roman" w:hAnsi="Times New Roman"/>
          <w:color w:val="141414"/>
          <w:sz w:val="24"/>
        </w:rPr>
        <w:t>Application of log-linear state trend extrapolations and Random Forest Regressors for 2026–2030 EV adoption and station requirement forecasting; implementation of a Random Forest Classifier for UPI transaction security.</w:t>
      </w:r>
    </w:p>
    <w:p w:rsidR="000D33FB" w:rsidRDefault="006D00AA">
      <w:pPr>
        <w:pStyle w:val="ListBullet"/>
        <w:spacing w:after="120"/>
        <w:jc w:val="both"/>
      </w:pPr>
      <w:r>
        <w:rPr>
          <w:rFonts w:ascii="Times New Roman" w:hAnsi="Times New Roman"/>
          <w:b/>
          <w:sz w:val="24"/>
        </w:rPr>
        <w:t xml:space="preserve">Decision Support &amp; Deployment Optimization: </w:t>
      </w:r>
      <w:r>
        <w:rPr>
          <w:rFonts w:ascii="Times New Roman" w:hAnsi="Times New Roman"/>
          <w:color w:val="141414"/>
          <w:sz w:val="24"/>
        </w:rPr>
        <w:t>Development of a multi-criteria priority deployment planner allowing users to customize weights for EV density, growth velocity, and charger capacity shortages.</w:t>
      </w:r>
    </w:p>
    <w:p w:rsidR="000D33FB" w:rsidRDefault="006D00AA">
      <w:pPr>
        <w:pStyle w:val="ListBullet"/>
        <w:spacing w:after="120"/>
        <w:jc w:val="both"/>
      </w:pPr>
      <w:r>
        <w:rPr>
          <w:rFonts w:ascii="Times New Roman" w:hAnsi="Times New Roman"/>
          <w:b/>
          <w:sz w:val="24"/>
        </w:rPr>
        <w:t xml:space="preserve">Business Intelligence &amp; Web Analytics: </w:t>
      </w:r>
      <w:r>
        <w:rPr>
          <w:rFonts w:ascii="Times New Roman" w:hAnsi="Times New Roman"/>
          <w:color w:val="141414"/>
          <w:sz w:val="24"/>
        </w:rPr>
        <w:t>Creation of exportable Tableau BI datasets and a fully interactive Streamlit web dashboard featuring custom CSS themes, visual cards, and Pydeck map layers.</w:t>
      </w:r>
    </w:p>
    <w:p w:rsidR="000D33FB" w:rsidRDefault="006D00AA">
      <w:pPr>
        <w:pStyle w:val="ListBullet"/>
        <w:spacing w:after="120"/>
        <w:jc w:val="both"/>
      </w:pPr>
      <w:r>
        <w:rPr>
          <w:rFonts w:ascii="Times New Roman" w:hAnsi="Times New Roman"/>
          <w:b/>
          <w:sz w:val="24"/>
        </w:rPr>
        <w:t xml:space="preserve">Consumer E-Mobility Services: </w:t>
      </w:r>
      <w:r>
        <w:rPr>
          <w:rFonts w:ascii="Times New Roman" w:hAnsi="Times New Roman"/>
          <w:color w:val="141414"/>
          <w:sz w:val="24"/>
        </w:rPr>
        <w:t>Integration of battery charging time/cost calculators, carbon offset estimators, an EV Buy &amp; Sell marketplace with an ML resale pricing engine, and doorstep pickup concierge booking.</w:t>
      </w:r>
    </w:p>
    <w:p w:rsidR="000D33FB" w:rsidRDefault="006D00AA">
      <w:pPr>
        <w:spacing w:before="280" w:after="160"/>
      </w:pPr>
      <w:r>
        <w:rPr>
          <w:rFonts w:ascii="Times New Roman" w:hAnsi="Times New Roman"/>
          <w:b/>
          <w:color w:val="000000"/>
          <w:sz w:val="26"/>
        </w:rPr>
        <w:t>Excluded:</w:t>
      </w:r>
    </w:p>
    <w:p w:rsidR="000D33FB" w:rsidRDefault="006D00AA">
      <w:pPr>
        <w:pStyle w:val="ListBullet"/>
        <w:spacing w:after="120"/>
        <w:jc w:val="both"/>
      </w:pPr>
      <w:r>
        <w:rPr>
          <w:rFonts w:ascii="Times New Roman" w:hAnsi="Times New Roman"/>
          <w:b/>
          <w:sz w:val="24"/>
        </w:rPr>
        <w:t xml:space="preserve">Real-Time Physical </w:t>
      </w:r>
      <w:proofErr w:type="spellStart"/>
      <w:r>
        <w:rPr>
          <w:rFonts w:ascii="Times New Roman" w:hAnsi="Times New Roman"/>
          <w:b/>
          <w:sz w:val="24"/>
        </w:rPr>
        <w:t>IoT</w:t>
      </w:r>
      <w:proofErr w:type="spellEnd"/>
      <w:r>
        <w:rPr>
          <w:rFonts w:ascii="Times New Roman" w:hAnsi="Times New Roman"/>
          <w:b/>
          <w:sz w:val="24"/>
        </w:rPr>
        <w:t xml:space="preserve"> Telemetry: </w:t>
      </w:r>
      <w:r>
        <w:rPr>
          <w:rFonts w:ascii="Times New Roman" w:hAnsi="Times New Roman"/>
          <w:color w:val="141414"/>
          <w:sz w:val="24"/>
        </w:rPr>
        <w:t>Direct hardware sensor integration on physical charging plugs (data is processed from official government database snapshots).</w:t>
      </w:r>
    </w:p>
    <w:p w:rsidR="000D33FB" w:rsidRDefault="006D00AA">
      <w:pPr>
        <w:pStyle w:val="ListBullet"/>
        <w:spacing w:after="120"/>
        <w:jc w:val="both"/>
      </w:pPr>
      <w:r>
        <w:rPr>
          <w:rFonts w:ascii="Times New Roman" w:hAnsi="Times New Roman"/>
          <w:b/>
          <w:sz w:val="24"/>
        </w:rPr>
        <w:t xml:space="preserve">Live Banking Gateway Clearing: </w:t>
      </w:r>
      <w:r>
        <w:rPr>
          <w:rFonts w:ascii="Times New Roman" w:hAnsi="Times New Roman"/>
          <w:color w:val="141414"/>
          <w:sz w:val="24"/>
        </w:rPr>
        <w:t>Real-world financial clearing through live banking APIs (a simulated UPI payment flow verified by the trained ML security classifier is implemented).</w:t>
      </w:r>
    </w:p>
    <w:p w:rsidR="000D33FB" w:rsidRDefault="006D00AA">
      <w:pPr>
        <w:pStyle w:val="ListBullet"/>
        <w:spacing w:after="120"/>
        <w:jc w:val="both"/>
      </w:pPr>
      <w:r>
        <w:rPr>
          <w:rFonts w:ascii="Times New Roman" w:hAnsi="Times New Roman"/>
          <w:b/>
          <w:sz w:val="24"/>
        </w:rPr>
        <w:t xml:space="preserve">International / Global Markets: </w:t>
      </w:r>
      <w:r>
        <w:rPr>
          <w:rFonts w:ascii="Times New Roman" w:hAnsi="Times New Roman"/>
          <w:color w:val="141414"/>
          <w:sz w:val="24"/>
        </w:rPr>
        <w:t>Analysis is strictly focused on the Indian EV market ecosystem and government policy frameworks.</w:t>
      </w:r>
    </w:p>
    <w:p w:rsidR="000D33FB" w:rsidRDefault="006D00AA">
      <w:r>
        <w:br w:type="page"/>
      </w:r>
    </w:p>
    <w:p w:rsidR="000D33FB" w:rsidRDefault="006D00AA">
      <w:pPr>
        <w:spacing w:after="240"/>
      </w:pPr>
      <w:r>
        <w:rPr>
          <w:rFonts w:ascii="Times New Roman" w:hAnsi="Times New Roman"/>
          <w:b/>
          <w:color w:val="000000"/>
          <w:sz w:val="28"/>
        </w:rPr>
        <w:lastRenderedPageBreak/>
        <w:t>Literature Review (brief):</w:t>
      </w:r>
    </w:p>
    <w:p w:rsidR="000D33FB" w:rsidRDefault="006D00AA">
      <w:pPr>
        <w:pStyle w:val="ListBullet"/>
        <w:spacing w:after="120"/>
        <w:jc w:val="both"/>
      </w:pPr>
      <w:r>
        <w:rPr>
          <w:rFonts w:ascii="Times New Roman" w:hAnsi="Times New Roman"/>
          <w:b/>
          <w:sz w:val="24"/>
        </w:rPr>
        <w:t xml:space="preserve">Markowitz &amp; Spatial Location Optimization (1952, 2013): </w:t>
      </w:r>
      <w:r>
        <w:rPr>
          <w:rFonts w:ascii="Times New Roman" w:hAnsi="Times New Roman"/>
          <w:color w:val="141414"/>
          <w:sz w:val="24"/>
        </w:rPr>
        <w:t>Foundational research in spatial allocation theory (Xi et al., 2013) demonstrates that public infrastructure deployment must be optimized based on spatial demand density rather than uniform geographic distribution to minimize user travel time and maximize charger utilization.</w:t>
      </w:r>
    </w:p>
    <w:p w:rsidR="000D33FB" w:rsidRDefault="006D00AA">
      <w:pPr>
        <w:pStyle w:val="ListBullet"/>
        <w:spacing w:after="120"/>
        <w:jc w:val="both"/>
      </w:pPr>
      <w:r>
        <w:rPr>
          <w:rFonts w:ascii="Times New Roman" w:hAnsi="Times New Roman"/>
          <w:b/>
          <w:sz w:val="24"/>
        </w:rPr>
        <w:t xml:space="preserve">Government Policy Frameworks (PM E-DRIVE &amp; BEE 2024): </w:t>
      </w:r>
      <w:r>
        <w:rPr>
          <w:rFonts w:ascii="Times New Roman" w:hAnsi="Times New Roman"/>
          <w:color w:val="141414"/>
          <w:sz w:val="24"/>
        </w:rPr>
        <w:t>Official guidelines published by the Ministry of Heavy Industries and Bureau of Energy Efficiency emphasize the need for interoperable public charging networks and highlight state-level disparities in charger installation velocity, underscoring the necessity of dynamic decision-support tools.</w:t>
      </w:r>
    </w:p>
    <w:p w:rsidR="000D33FB" w:rsidRDefault="006D00AA">
      <w:pPr>
        <w:pStyle w:val="ListBullet"/>
        <w:spacing w:after="120"/>
        <w:jc w:val="both"/>
      </w:pPr>
      <w:r>
        <w:rPr>
          <w:rFonts w:ascii="Times New Roman" w:hAnsi="Times New Roman"/>
          <w:b/>
          <w:sz w:val="24"/>
        </w:rPr>
        <w:t xml:space="preserve">Machine Learning in Technology Forecasting (Zhang &amp; Li, 2020): </w:t>
      </w:r>
      <w:r>
        <w:rPr>
          <w:rFonts w:ascii="Times New Roman" w:hAnsi="Times New Roman"/>
          <w:color w:val="141414"/>
          <w:sz w:val="24"/>
        </w:rPr>
        <w:t>Studies in applied data science demonstrate that ensemble machine learning models (such as Random Forests and Log-Linear Regressions) outperform traditional linear models when modeling non-linear technology adoption curves and spatial charging demands.</w:t>
      </w:r>
    </w:p>
    <w:p w:rsidR="000D33FB" w:rsidRDefault="006D00AA">
      <w:pPr>
        <w:pStyle w:val="ListBullet"/>
        <w:spacing w:after="120"/>
        <w:jc w:val="both"/>
      </w:pPr>
      <w:r>
        <w:rPr>
          <w:rFonts w:ascii="Times New Roman" w:hAnsi="Times New Roman"/>
          <w:b/>
          <w:sz w:val="24"/>
        </w:rPr>
        <w:t xml:space="preserve">Business Intelligence &amp; Visual Analytics (Few, 2006): </w:t>
      </w:r>
      <w:r>
        <w:rPr>
          <w:rFonts w:ascii="Times New Roman" w:hAnsi="Times New Roman"/>
          <w:color w:val="141414"/>
          <w:sz w:val="24"/>
        </w:rPr>
        <w:t>Research in visual analytics shows that integrating interactive BI tools (e.g., Tableau, Pydeck maps) enhances policy decision-making by enabling multi-dimensional spatial exploration and scenario planning.</w:t>
      </w:r>
    </w:p>
    <w:p w:rsidR="000D33FB" w:rsidRDefault="006D00AA">
      <w:pPr>
        <w:pStyle w:val="ListBullet"/>
        <w:spacing w:after="120"/>
        <w:jc w:val="both"/>
      </w:pPr>
      <w:r>
        <w:rPr>
          <w:rFonts w:ascii="Times New Roman" w:hAnsi="Times New Roman"/>
          <w:b/>
          <w:sz w:val="24"/>
        </w:rPr>
        <w:t xml:space="preserve">Indian E-Mobility Research Gap: </w:t>
      </w:r>
      <w:r>
        <w:rPr>
          <w:rFonts w:ascii="Times New Roman" w:hAnsi="Times New Roman"/>
          <w:color w:val="141414"/>
          <w:sz w:val="24"/>
        </w:rPr>
        <w:t>Existing academic literature focuses primarily on vehicle battery chemistry or single-city traffic simulations. Very few studies provide an end-to-end framework combining national registration data, charger growth mismatches, ML forecasting, Tableau BI, and consumer service portals.</w:t>
      </w:r>
    </w:p>
    <w:p w:rsidR="000D33FB" w:rsidRDefault="006D00AA">
      <w:r>
        <w:br w:type="page"/>
      </w:r>
    </w:p>
    <w:p w:rsidR="000D33FB" w:rsidRDefault="006D00AA">
      <w:pPr>
        <w:spacing w:after="240"/>
      </w:pPr>
      <w:r>
        <w:rPr>
          <w:rFonts w:ascii="Times New Roman" w:hAnsi="Times New Roman"/>
          <w:b/>
          <w:color w:val="000000"/>
          <w:sz w:val="28"/>
        </w:rPr>
        <w:lastRenderedPageBreak/>
        <w:t>Methodology:</w:t>
      </w:r>
    </w:p>
    <w:p w:rsidR="000D33FB" w:rsidRDefault="006D00AA">
      <w:pPr>
        <w:spacing w:before="80" w:after="120"/>
      </w:pPr>
      <w:r>
        <w:rPr>
          <w:rFonts w:ascii="Times New Roman" w:hAnsi="Times New Roman"/>
          <w:b/>
          <w:color w:val="000000"/>
          <w:sz w:val="26"/>
        </w:rPr>
        <w:t>Research Design:</w:t>
      </w:r>
    </w:p>
    <w:p w:rsidR="000D33FB" w:rsidRDefault="006D00AA">
      <w:pPr>
        <w:spacing w:after="120"/>
        <w:jc w:val="both"/>
      </w:pPr>
      <w:r>
        <w:rPr>
          <w:rFonts w:ascii="Times New Roman" w:hAnsi="Times New Roman"/>
          <w:color w:val="141414"/>
          <w:sz w:val="24"/>
        </w:rPr>
        <w:t>A quantitative, empirical, and experimental data science research design following the industry-standard CRISP-DM (Cross-Industry Standard Process for Data Mining) methodology across six phases: Business Understanding, Data Understanding, Data Preparation, Modeling, Evaluation, and Deployment.</w:t>
      </w:r>
    </w:p>
    <w:p w:rsidR="000D33FB" w:rsidRDefault="006D00AA">
      <w:pPr>
        <w:spacing w:before="200" w:after="120"/>
      </w:pPr>
      <w:r>
        <w:rPr>
          <w:rFonts w:ascii="Times New Roman" w:hAnsi="Times New Roman"/>
          <w:b/>
          <w:color w:val="000000"/>
          <w:sz w:val="26"/>
        </w:rPr>
        <w:t>Data Collection Methods:</w:t>
      </w:r>
    </w:p>
    <w:p w:rsidR="000D33FB" w:rsidRDefault="006D00AA">
      <w:pPr>
        <w:pStyle w:val="ListBullet"/>
        <w:spacing w:after="120"/>
        <w:jc w:val="both"/>
      </w:pPr>
      <w:r>
        <w:rPr>
          <w:rFonts w:ascii="Times New Roman" w:hAnsi="Times New Roman"/>
          <w:b/>
          <w:sz w:val="24"/>
        </w:rPr>
        <w:t xml:space="preserve">Vehicle Registrations: </w:t>
      </w:r>
      <w:r>
        <w:rPr>
          <w:rFonts w:ascii="Times New Roman" w:hAnsi="Times New Roman"/>
          <w:color w:val="141414"/>
          <w:sz w:val="24"/>
        </w:rPr>
        <w:t>Longitudinal EV registration analytics (2W, 3W, 4W, Buses) extracted from Ministry of Road Transport and Highways (VAHAN) analytics dashboards (2020–2025).</w:t>
      </w:r>
    </w:p>
    <w:p w:rsidR="000D33FB" w:rsidRDefault="006D00AA">
      <w:pPr>
        <w:pStyle w:val="ListBullet"/>
        <w:spacing w:after="120"/>
        <w:jc w:val="both"/>
      </w:pPr>
      <w:r>
        <w:rPr>
          <w:rFonts w:ascii="Times New Roman" w:hAnsi="Times New Roman"/>
          <w:b/>
          <w:sz w:val="24"/>
        </w:rPr>
        <w:t xml:space="preserve">Public Infrastructure Data: </w:t>
      </w:r>
      <w:r>
        <w:rPr>
          <w:rFonts w:ascii="Times New Roman" w:hAnsi="Times New Roman"/>
          <w:color w:val="141414"/>
          <w:sz w:val="24"/>
        </w:rPr>
        <w:t>State/UT-wise public charging station records published by the Bureau of Energy Efficiency (BEE) and Open Government Data (OGD) platforms.</w:t>
      </w:r>
    </w:p>
    <w:p w:rsidR="000D33FB" w:rsidRDefault="006D00AA">
      <w:pPr>
        <w:pStyle w:val="ListBullet"/>
        <w:spacing w:after="120"/>
        <w:jc w:val="both"/>
      </w:pPr>
      <w:r>
        <w:rPr>
          <w:rFonts w:ascii="Times New Roman" w:hAnsi="Times New Roman"/>
          <w:b/>
          <w:sz w:val="24"/>
        </w:rPr>
        <w:t xml:space="preserve">Demographic &amp; Spatial Metrics: </w:t>
      </w:r>
      <w:r>
        <w:rPr>
          <w:rFonts w:ascii="Times New Roman" w:hAnsi="Times New Roman"/>
          <w:color w:val="141414"/>
          <w:sz w:val="24"/>
        </w:rPr>
        <w:t>Census population projections, land area (sq km), urbanization rates, and economic GDP tiers for 32 Indian States/UTs.</w:t>
      </w:r>
    </w:p>
    <w:p w:rsidR="000D33FB" w:rsidRDefault="006D00AA">
      <w:pPr>
        <w:spacing w:before="200" w:after="120"/>
      </w:pPr>
      <w:r>
        <w:rPr>
          <w:rFonts w:ascii="Times New Roman" w:hAnsi="Times New Roman"/>
          <w:b/>
          <w:color w:val="000000"/>
          <w:sz w:val="26"/>
        </w:rPr>
        <w:t>Data Analysis &amp; ML Techniques:</w:t>
      </w:r>
    </w:p>
    <w:p w:rsidR="000D33FB" w:rsidRDefault="006D00AA">
      <w:pPr>
        <w:pStyle w:val="ListBullet"/>
        <w:spacing w:after="120"/>
        <w:jc w:val="both"/>
      </w:pPr>
      <w:r>
        <w:rPr>
          <w:rFonts w:ascii="Times New Roman" w:hAnsi="Times New Roman"/>
          <w:b/>
          <w:sz w:val="24"/>
        </w:rPr>
        <w:t xml:space="preserve">Feature Engineering &amp; Gap Formula: </w:t>
      </w:r>
      <w:r>
        <w:rPr>
          <w:rFonts w:ascii="Times New Roman" w:hAnsi="Times New Roman"/>
          <w:color w:val="141414"/>
          <w:sz w:val="24"/>
        </w:rPr>
        <w:t>Calculation of EV-to-Charger Ratios, YoY growth percentages, and a multi-criteria Infrastructure Gap Score: Raw Gap Score = 0.30 × Deficit + 0.30 × Ratio Pressure + 0.20 × Growth Velocity + 0.20 × Urbanization.</w:t>
      </w:r>
    </w:p>
    <w:p w:rsidR="000D33FB" w:rsidRDefault="006D00AA">
      <w:pPr>
        <w:pStyle w:val="ListBullet"/>
        <w:spacing w:after="120"/>
        <w:jc w:val="both"/>
      </w:pPr>
      <w:r>
        <w:rPr>
          <w:rFonts w:ascii="Times New Roman" w:hAnsi="Times New Roman"/>
          <w:b/>
          <w:sz w:val="24"/>
        </w:rPr>
        <w:t xml:space="preserve">Predictive Modeling: </w:t>
      </w:r>
      <w:r>
        <w:rPr>
          <w:rFonts w:ascii="Times New Roman" w:hAnsi="Times New Roman"/>
          <w:color w:val="141414"/>
          <w:sz w:val="24"/>
        </w:rPr>
        <w:t>State-wise Log-Linear trends for EV growth extrapolation to 2030, Random Forest Regression for charging station demand prediction, and a Random Forest Classifier pipeline for UPI transaction security evaluation.</w:t>
      </w:r>
    </w:p>
    <w:p w:rsidR="000D33FB" w:rsidRDefault="006D00AA">
      <w:pPr>
        <w:pStyle w:val="ListBullet"/>
        <w:spacing w:after="120"/>
        <w:jc w:val="both"/>
      </w:pPr>
      <w:r>
        <w:rPr>
          <w:rFonts w:ascii="Times New Roman" w:hAnsi="Times New Roman"/>
          <w:b/>
          <w:sz w:val="24"/>
        </w:rPr>
        <w:t xml:space="preserve">Evaluation Metrics: </w:t>
      </w:r>
      <w:r>
        <w:rPr>
          <w:rFonts w:ascii="Times New Roman" w:hAnsi="Times New Roman"/>
          <w:color w:val="141414"/>
          <w:sz w:val="24"/>
        </w:rPr>
        <w:t>R-squared ($R^2$), Mean Squared Error (MSE), Precision, Recall, F1-Score, and Classification Accuracy.</w:t>
      </w:r>
    </w:p>
    <w:p w:rsidR="000D33FB" w:rsidRDefault="006D00AA">
      <w:pPr>
        <w:spacing w:before="200" w:after="120"/>
      </w:pPr>
      <w:r>
        <w:rPr>
          <w:rFonts w:ascii="Times New Roman" w:hAnsi="Times New Roman"/>
          <w:b/>
          <w:color w:val="000000"/>
          <w:sz w:val="26"/>
        </w:rPr>
        <w:t>Tools and Technologies:</w:t>
      </w:r>
    </w:p>
    <w:p w:rsidR="000D33FB" w:rsidRDefault="006D00AA">
      <w:pPr>
        <w:pStyle w:val="ListBullet"/>
        <w:spacing w:after="120"/>
        <w:jc w:val="both"/>
      </w:pPr>
      <w:r>
        <w:rPr>
          <w:rFonts w:ascii="Times New Roman" w:hAnsi="Times New Roman"/>
          <w:b/>
          <w:sz w:val="24"/>
        </w:rPr>
        <w:t xml:space="preserve">Languages &amp; Libraries: </w:t>
      </w:r>
      <w:r>
        <w:rPr>
          <w:rFonts w:ascii="Times New Roman" w:hAnsi="Times New Roman"/>
          <w:color w:val="141414"/>
          <w:sz w:val="24"/>
        </w:rPr>
        <w:t>Python 3.10+, Pandas, NumPy, Scikit-Learn, Joblib, OpenPyXL.</w:t>
      </w:r>
    </w:p>
    <w:p w:rsidR="000D33FB" w:rsidRDefault="006D00AA">
      <w:pPr>
        <w:pStyle w:val="ListBullet"/>
        <w:spacing w:after="120"/>
        <w:jc w:val="both"/>
      </w:pPr>
      <w:r>
        <w:rPr>
          <w:rFonts w:ascii="Times New Roman" w:hAnsi="Times New Roman"/>
          <w:b/>
          <w:sz w:val="24"/>
        </w:rPr>
        <w:t xml:space="preserve">Visual Analytics &amp; BI: </w:t>
      </w:r>
      <w:r>
        <w:rPr>
          <w:rFonts w:ascii="Times New Roman" w:hAnsi="Times New Roman"/>
          <w:color w:val="141414"/>
          <w:sz w:val="24"/>
        </w:rPr>
        <w:t xml:space="preserve">Tableau Desktop / Tableau Public, Plotly Express, Pydeck Spatial Maps, Seaborn, </w:t>
      </w:r>
      <w:proofErr w:type="gramStart"/>
      <w:r>
        <w:rPr>
          <w:rFonts w:ascii="Times New Roman" w:hAnsi="Times New Roman"/>
          <w:color w:val="141414"/>
          <w:sz w:val="24"/>
        </w:rPr>
        <w:t>Matplotlib</w:t>
      </w:r>
      <w:proofErr w:type="gramEnd"/>
      <w:r>
        <w:rPr>
          <w:rFonts w:ascii="Times New Roman" w:hAnsi="Times New Roman"/>
          <w:color w:val="141414"/>
          <w:sz w:val="24"/>
        </w:rPr>
        <w:t>.</w:t>
      </w:r>
    </w:p>
    <w:p w:rsidR="000D33FB" w:rsidRDefault="006D00AA">
      <w:pPr>
        <w:pStyle w:val="ListBullet"/>
        <w:spacing w:after="120"/>
        <w:jc w:val="both"/>
      </w:pPr>
      <w:r>
        <w:rPr>
          <w:rFonts w:ascii="Times New Roman" w:hAnsi="Times New Roman"/>
          <w:b/>
          <w:sz w:val="24"/>
        </w:rPr>
        <w:t xml:space="preserve">Web Portal Framework: </w:t>
      </w:r>
      <w:proofErr w:type="spellStart"/>
      <w:r>
        <w:rPr>
          <w:rFonts w:ascii="Times New Roman" w:hAnsi="Times New Roman"/>
          <w:color w:val="141414"/>
          <w:sz w:val="24"/>
        </w:rPr>
        <w:t>Streamlit</w:t>
      </w:r>
      <w:proofErr w:type="spellEnd"/>
      <w:r>
        <w:rPr>
          <w:rFonts w:ascii="Times New Roman" w:hAnsi="Times New Roman"/>
          <w:color w:val="141414"/>
          <w:sz w:val="24"/>
        </w:rPr>
        <w:t>, Custom CSS Themes (Glassmorphism, Dark Mode).</w:t>
      </w:r>
    </w:p>
    <w:p w:rsidR="000D33FB" w:rsidRDefault="006D00AA">
      <w:r>
        <w:br w:type="page"/>
      </w:r>
    </w:p>
    <w:p w:rsidR="000D33FB" w:rsidRDefault="006D00AA">
      <w:pPr>
        <w:spacing w:after="240"/>
      </w:pPr>
      <w:r>
        <w:rPr>
          <w:rFonts w:ascii="Times New Roman" w:hAnsi="Times New Roman"/>
          <w:b/>
          <w:color w:val="000000"/>
          <w:sz w:val="28"/>
        </w:rPr>
        <w:lastRenderedPageBreak/>
        <w:t>Expected Outcomes/Deliverables:</w:t>
      </w:r>
    </w:p>
    <w:p w:rsidR="000D33FB" w:rsidRDefault="006D00AA">
      <w:pPr>
        <w:pStyle w:val="ListBullet"/>
        <w:spacing w:after="120"/>
        <w:jc w:val="both"/>
      </w:pPr>
      <w:r>
        <w:rPr>
          <w:rFonts w:ascii="Times New Roman" w:hAnsi="Times New Roman"/>
          <w:b/>
          <w:sz w:val="24"/>
        </w:rPr>
        <w:t xml:space="preserve">1. Master Preprocessed Dataset: </w:t>
      </w:r>
      <w:r>
        <w:rPr>
          <w:rFonts w:ascii="Times New Roman" w:hAnsi="Times New Roman"/>
          <w:color w:val="141414"/>
          <w:sz w:val="24"/>
        </w:rPr>
        <w:t>A complete, preprocessed database (`master_ev_dataset.csv`) covering 32 Indian States/UTs over 2020–2025 with complete gap scores and tier classifications.</w:t>
      </w:r>
    </w:p>
    <w:p w:rsidR="000D33FB" w:rsidRDefault="006D00AA">
      <w:pPr>
        <w:pStyle w:val="ListBullet"/>
        <w:spacing w:after="120"/>
        <w:jc w:val="both"/>
      </w:pPr>
      <w:r>
        <w:rPr>
          <w:rFonts w:ascii="Times New Roman" w:hAnsi="Times New Roman"/>
          <w:b/>
          <w:sz w:val="24"/>
        </w:rPr>
        <w:t xml:space="preserve">2. Trained Predictive Model Binaries: </w:t>
      </w:r>
      <w:r>
        <w:rPr>
          <w:rFonts w:ascii="Times New Roman" w:hAnsi="Times New Roman"/>
          <w:color w:val="141414"/>
          <w:sz w:val="24"/>
        </w:rPr>
        <w:t>Serialized machine learning model binaries (`charging_station_rf_regressor.pkl`, `upi_fraud_pipeline.pkl`, `ev_growth_coefficients.json`) for demand forecasting and security evaluation.</w:t>
      </w:r>
    </w:p>
    <w:p w:rsidR="000D33FB" w:rsidRDefault="006D00AA">
      <w:pPr>
        <w:pStyle w:val="ListBullet"/>
        <w:spacing w:after="120"/>
        <w:jc w:val="both"/>
      </w:pPr>
      <w:r>
        <w:rPr>
          <w:rFonts w:ascii="Times New Roman" w:hAnsi="Times New Roman"/>
          <w:b/>
          <w:sz w:val="24"/>
        </w:rPr>
        <w:t xml:space="preserve">3. Tableau BI Dashboard Workbooks: </w:t>
      </w:r>
      <w:r>
        <w:rPr>
          <w:rFonts w:ascii="Times New Roman" w:hAnsi="Times New Roman"/>
          <w:color w:val="141414"/>
          <w:sz w:val="24"/>
        </w:rPr>
        <w:t>Tableau-ready export datasets and visual workbooks displaying spatial gap maps and trend matrices.</w:t>
      </w:r>
    </w:p>
    <w:p w:rsidR="000D33FB" w:rsidRDefault="006D00AA">
      <w:pPr>
        <w:pStyle w:val="ListBullet"/>
        <w:spacing w:after="120"/>
        <w:jc w:val="both"/>
      </w:pPr>
      <w:r>
        <w:rPr>
          <w:rFonts w:ascii="Times New Roman" w:hAnsi="Times New Roman"/>
          <w:b/>
          <w:sz w:val="24"/>
        </w:rPr>
        <w:t xml:space="preserve">4. Interactive Enterprise Web Portal: </w:t>
      </w:r>
      <w:r>
        <w:rPr>
          <w:rFonts w:ascii="Times New Roman" w:hAnsi="Times New Roman"/>
          <w:color w:val="141414"/>
          <w:sz w:val="24"/>
        </w:rPr>
        <w:t>A fully functional Streamlit application featuring 8 interactive modules (Hero overview, District map, EDA, Demand Forecasting, Priority Planner, Battery Calculator, Marketplace, Doorstep UPI Gateway).</w:t>
      </w:r>
    </w:p>
    <w:p w:rsidR="000D33FB" w:rsidRDefault="006D00AA">
      <w:pPr>
        <w:spacing w:before="320" w:after="160"/>
      </w:pPr>
      <w:r>
        <w:rPr>
          <w:rFonts w:ascii="Times New Roman" w:hAnsi="Times New Roman"/>
          <w:b/>
          <w:color w:val="000000"/>
          <w:sz w:val="26"/>
        </w:rPr>
        <w:t>Project Timeline</w:t>
      </w:r>
    </w:p>
    <w:tbl>
      <w:tblPr>
        <w:tblW w:w="0" w:type="auto"/>
        <w:jc w:val="center"/>
        <w:tblBorders>
          <w:top w:val="single" w:sz="6" w:space="0" w:color="B0C4DE"/>
          <w:bottom w:val="single" w:sz="6" w:space="0" w:color="B0C4DE"/>
          <w:insideH w:val="single" w:sz="6" w:space="0" w:color="B0C4DE"/>
        </w:tblBorders>
        <w:tblLook w:val="04A0"/>
      </w:tblPr>
      <w:tblGrid>
        <w:gridCol w:w="4680"/>
        <w:gridCol w:w="4680"/>
      </w:tblGrid>
      <w:tr w:rsidR="000D33FB">
        <w:trPr>
          <w:jc w:val="center"/>
        </w:trPr>
        <w:tc>
          <w:tcPr>
            <w:tcW w:w="4680" w:type="dxa"/>
            <w:tcMar>
              <w:top w:w="140" w:type="dxa"/>
              <w:left w:w="180" w:type="dxa"/>
              <w:bottom w:w="140" w:type="dxa"/>
              <w:right w:w="180" w:type="dxa"/>
            </w:tcMar>
          </w:tcPr>
          <w:p w:rsidR="000D33FB" w:rsidRDefault="006D00AA">
            <w:r>
              <w:rPr>
                <w:rFonts w:ascii="Times New Roman" w:hAnsi="Times New Roman"/>
              </w:rPr>
              <w:t>Phase</w:t>
            </w:r>
          </w:p>
        </w:tc>
        <w:tc>
          <w:tcPr>
            <w:tcW w:w="4680" w:type="dxa"/>
            <w:tcMar>
              <w:top w:w="140" w:type="dxa"/>
              <w:left w:w="180" w:type="dxa"/>
              <w:bottom w:w="140" w:type="dxa"/>
              <w:right w:w="180" w:type="dxa"/>
            </w:tcMar>
          </w:tcPr>
          <w:p w:rsidR="000D33FB" w:rsidRDefault="006D00AA">
            <w:r>
              <w:rPr>
                <w:rFonts w:ascii="Times New Roman" w:hAnsi="Times New Roman"/>
              </w:rPr>
              <w:t>Activity</w:t>
            </w:r>
          </w:p>
        </w:tc>
      </w:tr>
      <w:tr w:rsidR="000D33FB">
        <w:trPr>
          <w:jc w:val="center"/>
        </w:trPr>
        <w:tc>
          <w:tcPr>
            <w:tcW w:w="4680" w:type="dxa"/>
            <w:tcMar>
              <w:top w:w="140" w:type="dxa"/>
              <w:left w:w="180" w:type="dxa"/>
              <w:bottom w:w="140" w:type="dxa"/>
              <w:right w:w="180" w:type="dxa"/>
            </w:tcMar>
          </w:tcPr>
          <w:p w:rsidR="000D33FB" w:rsidRDefault="006D00AA">
            <w:r>
              <w:rPr>
                <w:rFonts w:ascii="Times New Roman" w:hAnsi="Times New Roman"/>
              </w:rPr>
              <w:t>Week 1–2</w:t>
            </w:r>
          </w:p>
        </w:tc>
        <w:tc>
          <w:tcPr>
            <w:tcW w:w="4680" w:type="dxa"/>
            <w:tcMar>
              <w:top w:w="140" w:type="dxa"/>
              <w:left w:w="180" w:type="dxa"/>
              <w:bottom w:w="140" w:type="dxa"/>
              <w:right w:w="180" w:type="dxa"/>
            </w:tcMar>
          </w:tcPr>
          <w:p w:rsidR="000D33FB" w:rsidRDefault="006D00AA">
            <w:r>
              <w:rPr>
                <w:rFonts w:ascii="Times New Roman" w:hAnsi="Times New Roman"/>
              </w:rPr>
              <w:t>Data Collection, Aggregation &amp; Baseline Feature Engineering</w:t>
            </w:r>
          </w:p>
        </w:tc>
      </w:tr>
      <w:tr w:rsidR="000D33FB">
        <w:trPr>
          <w:jc w:val="center"/>
        </w:trPr>
        <w:tc>
          <w:tcPr>
            <w:tcW w:w="4680" w:type="dxa"/>
            <w:tcMar>
              <w:top w:w="140" w:type="dxa"/>
              <w:left w:w="180" w:type="dxa"/>
              <w:bottom w:w="140" w:type="dxa"/>
              <w:right w:w="180" w:type="dxa"/>
            </w:tcMar>
          </w:tcPr>
          <w:p w:rsidR="000D33FB" w:rsidRDefault="006D00AA">
            <w:r>
              <w:rPr>
                <w:rFonts w:ascii="Times New Roman" w:hAnsi="Times New Roman"/>
              </w:rPr>
              <w:t>Week 3–5</w:t>
            </w:r>
          </w:p>
        </w:tc>
        <w:tc>
          <w:tcPr>
            <w:tcW w:w="4680" w:type="dxa"/>
            <w:tcMar>
              <w:top w:w="140" w:type="dxa"/>
              <w:left w:w="180" w:type="dxa"/>
              <w:bottom w:w="140" w:type="dxa"/>
              <w:right w:w="180" w:type="dxa"/>
            </w:tcMar>
          </w:tcPr>
          <w:p w:rsidR="000D33FB" w:rsidRDefault="006D00AA">
            <w:r>
              <w:rPr>
                <w:rFonts w:ascii="Times New Roman" w:hAnsi="Times New Roman"/>
              </w:rPr>
              <w:t>Exploratory Data Analysis (EDA) &amp; Infrastructure Gap Engine Formulation</w:t>
            </w:r>
          </w:p>
        </w:tc>
      </w:tr>
      <w:tr w:rsidR="000D33FB">
        <w:trPr>
          <w:jc w:val="center"/>
        </w:trPr>
        <w:tc>
          <w:tcPr>
            <w:tcW w:w="4680" w:type="dxa"/>
            <w:tcMar>
              <w:top w:w="140" w:type="dxa"/>
              <w:left w:w="180" w:type="dxa"/>
              <w:bottom w:w="140" w:type="dxa"/>
              <w:right w:w="180" w:type="dxa"/>
            </w:tcMar>
          </w:tcPr>
          <w:p w:rsidR="000D33FB" w:rsidRDefault="006D00AA">
            <w:r>
              <w:rPr>
                <w:rFonts w:ascii="Times New Roman" w:hAnsi="Times New Roman"/>
              </w:rPr>
              <w:t>Week 6–7</w:t>
            </w:r>
          </w:p>
        </w:tc>
        <w:tc>
          <w:tcPr>
            <w:tcW w:w="4680" w:type="dxa"/>
            <w:tcMar>
              <w:top w:w="140" w:type="dxa"/>
              <w:left w:w="180" w:type="dxa"/>
              <w:bottom w:w="140" w:type="dxa"/>
              <w:right w:w="180" w:type="dxa"/>
            </w:tcMar>
          </w:tcPr>
          <w:p w:rsidR="000D33FB" w:rsidRDefault="006D00AA">
            <w:r>
              <w:rPr>
                <w:rFonts w:ascii="Times New Roman" w:hAnsi="Times New Roman"/>
              </w:rPr>
              <w:t>Machine Learning Modeling (Demand Forecasting &amp; Fraud Security Classifier)</w:t>
            </w:r>
          </w:p>
        </w:tc>
      </w:tr>
      <w:tr w:rsidR="000D33FB">
        <w:trPr>
          <w:jc w:val="center"/>
        </w:trPr>
        <w:tc>
          <w:tcPr>
            <w:tcW w:w="4680" w:type="dxa"/>
            <w:tcMar>
              <w:top w:w="140" w:type="dxa"/>
              <w:left w:w="180" w:type="dxa"/>
              <w:bottom w:w="140" w:type="dxa"/>
              <w:right w:w="180" w:type="dxa"/>
            </w:tcMar>
          </w:tcPr>
          <w:p w:rsidR="000D33FB" w:rsidRDefault="006D00AA">
            <w:r>
              <w:rPr>
                <w:rFonts w:ascii="Times New Roman" w:hAnsi="Times New Roman"/>
              </w:rPr>
              <w:t>Week 8</w:t>
            </w:r>
          </w:p>
        </w:tc>
        <w:tc>
          <w:tcPr>
            <w:tcW w:w="4680" w:type="dxa"/>
            <w:tcMar>
              <w:top w:w="140" w:type="dxa"/>
              <w:left w:w="180" w:type="dxa"/>
              <w:bottom w:w="140" w:type="dxa"/>
              <w:right w:w="180" w:type="dxa"/>
            </w:tcMar>
          </w:tcPr>
          <w:p w:rsidR="000D33FB" w:rsidRDefault="006D00AA">
            <w:r>
              <w:rPr>
                <w:rFonts w:ascii="Times New Roman" w:hAnsi="Times New Roman"/>
              </w:rPr>
              <w:t>Tableau BI Dashboard &amp; Streamlit Web Portal Interface Development</w:t>
            </w:r>
          </w:p>
        </w:tc>
      </w:tr>
      <w:tr w:rsidR="000D33FB">
        <w:trPr>
          <w:jc w:val="center"/>
        </w:trPr>
        <w:tc>
          <w:tcPr>
            <w:tcW w:w="4680" w:type="dxa"/>
            <w:tcMar>
              <w:top w:w="140" w:type="dxa"/>
              <w:left w:w="180" w:type="dxa"/>
              <w:bottom w:w="140" w:type="dxa"/>
              <w:right w:w="180" w:type="dxa"/>
            </w:tcMar>
          </w:tcPr>
          <w:p w:rsidR="000D33FB" w:rsidRDefault="006D00AA">
            <w:r>
              <w:rPr>
                <w:rFonts w:ascii="Times New Roman" w:hAnsi="Times New Roman"/>
              </w:rPr>
              <w:t>Week 9</w:t>
            </w:r>
          </w:p>
        </w:tc>
        <w:tc>
          <w:tcPr>
            <w:tcW w:w="4680" w:type="dxa"/>
            <w:tcMar>
              <w:top w:w="140" w:type="dxa"/>
              <w:left w:w="180" w:type="dxa"/>
              <w:bottom w:w="140" w:type="dxa"/>
              <w:right w:w="180" w:type="dxa"/>
            </w:tcMar>
          </w:tcPr>
          <w:p w:rsidR="000D33FB" w:rsidRDefault="006D00AA">
            <w:r>
              <w:rPr>
                <w:rFonts w:ascii="Times New Roman" w:hAnsi="Times New Roman"/>
              </w:rPr>
              <w:t>System Testing, Cross-Validation &amp; Model Fine-Tuning</w:t>
            </w:r>
          </w:p>
        </w:tc>
      </w:tr>
      <w:tr w:rsidR="000D33FB">
        <w:trPr>
          <w:jc w:val="center"/>
        </w:trPr>
        <w:tc>
          <w:tcPr>
            <w:tcW w:w="4680" w:type="dxa"/>
            <w:tcMar>
              <w:top w:w="140" w:type="dxa"/>
              <w:left w:w="180" w:type="dxa"/>
              <w:bottom w:w="140" w:type="dxa"/>
              <w:right w:w="180" w:type="dxa"/>
            </w:tcMar>
          </w:tcPr>
          <w:p w:rsidR="000D33FB" w:rsidRDefault="006D00AA">
            <w:r>
              <w:rPr>
                <w:rFonts w:ascii="Times New Roman" w:hAnsi="Times New Roman"/>
              </w:rPr>
              <w:t>Week 10</w:t>
            </w:r>
          </w:p>
        </w:tc>
        <w:tc>
          <w:tcPr>
            <w:tcW w:w="4680" w:type="dxa"/>
            <w:tcMar>
              <w:top w:w="140" w:type="dxa"/>
              <w:left w:w="180" w:type="dxa"/>
              <w:bottom w:w="140" w:type="dxa"/>
              <w:right w:w="180" w:type="dxa"/>
            </w:tcMar>
          </w:tcPr>
          <w:p w:rsidR="000D33FB" w:rsidRDefault="006D00AA">
            <w:r>
              <w:rPr>
                <w:rFonts w:ascii="Times New Roman" w:hAnsi="Times New Roman"/>
              </w:rPr>
              <w:t>Final Documentation, Synopsis &amp; Capstone Presentation Submission</w:t>
            </w:r>
          </w:p>
        </w:tc>
      </w:tr>
    </w:tbl>
    <w:p w:rsidR="000D33FB" w:rsidRDefault="006D00AA">
      <w:r>
        <w:br w:type="page"/>
      </w:r>
    </w:p>
    <w:p w:rsidR="000D33FB" w:rsidRDefault="006D00AA">
      <w:pPr>
        <w:spacing w:after="280"/>
      </w:pPr>
      <w:r>
        <w:rPr>
          <w:rFonts w:ascii="Times New Roman" w:hAnsi="Times New Roman"/>
          <w:b/>
          <w:color w:val="000000"/>
          <w:sz w:val="28"/>
        </w:rPr>
        <w:lastRenderedPageBreak/>
        <w:t>References (APA Style)</w:t>
      </w:r>
    </w:p>
    <w:p w:rsidR="000D33FB" w:rsidRDefault="006D00AA">
      <w:pPr>
        <w:spacing w:after="160"/>
      </w:pPr>
      <w:r>
        <w:rPr>
          <w:rFonts w:ascii="Times New Roman" w:hAnsi="Times New Roman"/>
        </w:rPr>
        <w:t xml:space="preserve">1. Breiman, L. (2001). Random forests. Machine Learning, 45(1), 5–32. </w:t>
      </w:r>
      <w:hyperlink r:id="rId7" w:history="1">
        <w:r w:rsidRPr="002B0AF3">
          <w:rPr>
            <w:rStyle w:val="Hyperlink"/>
            <w:rFonts w:ascii="Times New Roman" w:hAnsi="Times New Roman"/>
          </w:rPr>
          <w:t>https://doi.org/10.1023/A:1010933404324</w:t>
        </w:r>
      </w:hyperlink>
    </w:p>
    <w:p w:rsidR="000D33FB" w:rsidRDefault="006D00AA">
      <w:pPr>
        <w:spacing w:after="160"/>
      </w:pPr>
      <w:r>
        <w:rPr>
          <w:rFonts w:ascii="Times New Roman" w:hAnsi="Times New Roman"/>
        </w:rPr>
        <w:t>2. Bureau of Energy Efficiency (BEE). (2024). Public charging infrastructure guidelines and national rollout strategy. Ministry of Power, Government of India.</w:t>
      </w:r>
    </w:p>
    <w:p w:rsidR="000D33FB" w:rsidRDefault="006D00AA">
      <w:pPr>
        <w:spacing w:after="160"/>
      </w:pPr>
      <w:r>
        <w:rPr>
          <w:rFonts w:ascii="Times New Roman" w:hAnsi="Times New Roman"/>
        </w:rPr>
        <w:t>3. Few, S. (2006). Information dashboard design: The effective visual communication of data. O'Reilly Media.</w:t>
      </w:r>
    </w:p>
    <w:p w:rsidR="000D33FB" w:rsidRDefault="006D00AA">
      <w:pPr>
        <w:spacing w:after="160"/>
      </w:pPr>
      <w:r>
        <w:rPr>
          <w:rFonts w:ascii="Times New Roman" w:hAnsi="Times New Roman"/>
        </w:rPr>
        <w:t>4. Ministry of Heavy Industries. (2024). Scheme guidelines for PM Electric Drive Revolution in Innovative Vehicle Enhancement (PM E-DRIVE). Government of India.</w:t>
      </w:r>
    </w:p>
    <w:p w:rsidR="000D33FB" w:rsidRDefault="006D00AA">
      <w:pPr>
        <w:spacing w:after="160"/>
      </w:pPr>
      <w:r>
        <w:rPr>
          <w:rFonts w:ascii="Times New Roman" w:hAnsi="Times New Roman"/>
        </w:rPr>
        <w:t>5. NITI Aayog. (2022). Handbook on electric vehicle charging infrastructure implementation for Indian cities. Government of India.</w:t>
      </w:r>
    </w:p>
    <w:p w:rsidR="000D33FB" w:rsidRDefault="006D00AA">
      <w:pPr>
        <w:spacing w:after="160"/>
      </w:pPr>
      <w:r>
        <w:rPr>
          <w:rFonts w:ascii="Times New Roman" w:hAnsi="Times New Roman"/>
        </w:rPr>
        <w:t>6. Pedregosa, F., Varoquaux, G., Gramfort, A., Michel, V., Thirion, B., Grisel, O., ... &amp; Duchesnay, É. (2011). Scikit-learn: Machine learning in Python. Journal of Machine Learning Research, 12, 2825–2830.</w:t>
      </w:r>
    </w:p>
    <w:p w:rsidR="000D33FB" w:rsidRDefault="006D00AA">
      <w:pPr>
        <w:spacing w:after="160"/>
      </w:pPr>
      <w:r>
        <w:rPr>
          <w:rFonts w:ascii="Times New Roman" w:hAnsi="Times New Roman"/>
        </w:rPr>
        <w:t>7. Society of Indian Automobile Manufacturers (SIAM). (2024). Electric vehicle sales and market trends report 2020–2024.</w:t>
      </w:r>
    </w:p>
    <w:p w:rsidR="000D33FB" w:rsidRDefault="006D00AA">
      <w:pPr>
        <w:spacing w:after="160"/>
      </w:pPr>
      <w:r>
        <w:rPr>
          <w:rFonts w:ascii="Times New Roman" w:hAnsi="Times New Roman"/>
        </w:rPr>
        <w:t>8. VAHAN Dashboard. (2025). Vehicle registration analytics and electric vehicle portal. Ministry of Road Transport and Highways, Government of India.</w:t>
      </w:r>
    </w:p>
    <w:p w:rsidR="000D33FB" w:rsidRDefault="006D00AA">
      <w:pPr>
        <w:spacing w:after="160"/>
      </w:pPr>
      <w:r>
        <w:rPr>
          <w:rFonts w:ascii="Times New Roman" w:hAnsi="Times New Roman"/>
        </w:rPr>
        <w:t xml:space="preserve">9. Xi, X., Sioshansi, R., &amp; Marano, V. (2013). A simulation-optimization model for siting electric-vehicle charging stations. Transportation Research Part D: Transport and Environment, 22, 60–68. </w:t>
      </w:r>
      <w:hyperlink r:id="rId8" w:history="1">
        <w:r w:rsidRPr="002B0AF3">
          <w:rPr>
            <w:rStyle w:val="Hyperlink"/>
            <w:rFonts w:ascii="Times New Roman" w:hAnsi="Times New Roman"/>
          </w:rPr>
          <w:t>https://doi.org/10.1016/j.trd.2013.03.001</w:t>
        </w:r>
      </w:hyperlink>
    </w:p>
    <w:p w:rsidR="000D33FB" w:rsidRDefault="006D00AA">
      <w:pPr>
        <w:spacing w:after="160"/>
      </w:pPr>
      <w:r>
        <w:rPr>
          <w:rFonts w:ascii="Times New Roman" w:hAnsi="Times New Roman"/>
        </w:rPr>
        <w:t xml:space="preserve">10. Zhang, Q., &amp; Li, H. (2020). Demand forecasting for electric vehicle charging stations using machine learning regression algorithms. IEEE Transactions on Smart Grid, 11(4), 3410–3419. </w:t>
      </w:r>
      <w:hyperlink r:id="rId9" w:history="1">
        <w:r w:rsidRPr="002B0AF3">
          <w:rPr>
            <w:rStyle w:val="Hyperlink"/>
            <w:rFonts w:ascii="Times New Roman" w:hAnsi="Times New Roman"/>
          </w:rPr>
          <w:t>https://doi.org/10.1109/TSG.2020.2971234</w:t>
        </w:r>
      </w:hyperlink>
    </w:p>
    <w:p w:rsidR="000D33FB" w:rsidRDefault="006D00AA">
      <w:r>
        <w:br w:type="page"/>
      </w:r>
    </w:p>
    <w:p w:rsidR="000D33FB" w:rsidRDefault="006D00AA">
      <w:pPr>
        <w:spacing w:after="280"/>
      </w:pPr>
      <w:r>
        <w:rPr>
          <w:rFonts w:ascii="Times New Roman" w:hAnsi="Times New Roman"/>
          <w:b/>
          <w:color w:val="000000"/>
          <w:sz w:val="28"/>
        </w:rPr>
        <w:lastRenderedPageBreak/>
        <w:t>Declaration</w:t>
      </w:r>
    </w:p>
    <w:p w:rsidR="000D33FB" w:rsidRDefault="006D00AA">
      <w:pPr>
        <w:spacing w:after="120"/>
        <w:jc w:val="both"/>
      </w:pPr>
      <w:r>
        <w:rPr>
          <w:rFonts w:ascii="Times New Roman" w:hAnsi="Times New Roman"/>
          <w:color w:val="141414"/>
          <w:sz w:val="24"/>
        </w:rPr>
        <w:t>We hereby declare that the research work titled "EVision: EV Charging Demand Forecasting and Infrastructure Gap Analysis System (A Multi-Factor Analysis of EV Adoption, Charging Station Deficits, Demand Forecasting, and Location Optimization)" is an original work carried out by us in partial fulfillment of the requirements for the degree of Bachelor of Technology in Computer Science and Engineering at Lovely Professional University.</w:t>
      </w:r>
    </w:p>
    <w:p w:rsidR="000D33FB" w:rsidRDefault="006D00AA">
      <w:pPr>
        <w:spacing w:after="120"/>
        <w:jc w:val="both"/>
      </w:pPr>
      <w:r>
        <w:rPr>
          <w:rFonts w:ascii="Times New Roman" w:hAnsi="Times New Roman"/>
          <w:color w:val="141414"/>
          <w:sz w:val="24"/>
        </w:rPr>
        <w:t>We affirm that this work has not been submitted elsewhere for any degree or diploma. All sources of information have been duly acknowledged, and the content reflects our independent research and development effort under the guidance of Mr. Kaushal Pathak.</w:t>
      </w:r>
    </w:p>
    <w:p w:rsidR="000D33FB" w:rsidRDefault="006D00AA">
      <w:pPr>
        <w:spacing w:before="400"/>
      </w:pPr>
      <w:r>
        <w:rPr>
          <w:rFonts w:ascii="Times New Roman" w:hAnsi="Times New Roman"/>
          <w:b/>
          <w:color w:val="000000"/>
          <w:sz w:val="26"/>
        </w:rPr>
        <w:t>Signatures</w:t>
      </w:r>
    </w:p>
    <w:tbl>
      <w:tblPr>
        <w:tblW w:w="0" w:type="auto"/>
        <w:jc w:val="center"/>
        <w:tblBorders>
          <w:top w:val="single" w:sz="6" w:space="0" w:color="B0C4DE"/>
          <w:bottom w:val="single" w:sz="6" w:space="0" w:color="B0C4DE"/>
          <w:insideH w:val="single" w:sz="6" w:space="0" w:color="B0C4DE"/>
        </w:tblBorders>
        <w:tblLook w:val="04A0"/>
      </w:tblPr>
      <w:tblGrid>
        <w:gridCol w:w="3120"/>
        <w:gridCol w:w="3120"/>
        <w:gridCol w:w="3120"/>
      </w:tblGrid>
      <w:tr w:rsidR="000D33FB">
        <w:trPr>
          <w:jc w:val="center"/>
        </w:trPr>
        <w:tc>
          <w:tcPr>
            <w:tcW w:w="3120" w:type="dxa"/>
            <w:tcMar>
              <w:top w:w="140" w:type="dxa"/>
              <w:left w:w="180" w:type="dxa"/>
              <w:bottom w:w="140" w:type="dxa"/>
              <w:right w:w="180" w:type="dxa"/>
            </w:tcMar>
          </w:tcPr>
          <w:p w:rsidR="000D33FB" w:rsidRDefault="006D00AA">
            <w:r>
              <w:rPr>
                <w:rFonts w:ascii="Times New Roman" w:hAnsi="Times New Roman"/>
              </w:rPr>
              <w:t>Name</w:t>
            </w:r>
          </w:p>
        </w:tc>
        <w:tc>
          <w:tcPr>
            <w:tcW w:w="3120" w:type="dxa"/>
            <w:tcMar>
              <w:top w:w="140" w:type="dxa"/>
              <w:left w:w="180" w:type="dxa"/>
              <w:bottom w:w="140" w:type="dxa"/>
              <w:right w:w="180" w:type="dxa"/>
            </w:tcMar>
          </w:tcPr>
          <w:p w:rsidR="000D33FB" w:rsidRDefault="006D00AA">
            <w:r>
              <w:rPr>
                <w:rFonts w:ascii="Times New Roman" w:hAnsi="Times New Roman"/>
              </w:rPr>
              <w:t>Roll No.</w:t>
            </w:r>
          </w:p>
        </w:tc>
        <w:tc>
          <w:tcPr>
            <w:tcW w:w="3120" w:type="dxa"/>
            <w:tcMar>
              <w:top w:w="140" w:type="dxa"/>
              <w:left w:w="180" w:type="dxa"/>
              <w:bottom w:w="140" w:type="dxa"/>
              <w:right w:w="180" w:type="dxa"/>
            </w:tcMar>
          </w:tcPr>
          <w:p w:rsidR="000D33FB" w:rsidRDefault="006D00AA">
            <w:r>
              <w:rPr>
                <w:rFonts w:ascii="Times New Roman" w:hAnsi="Times New Roman"/>
              </w:rPr>
              <w:t>Signature</w:t>
            </w:r>
          </w:p>
        </w:tc>
      </w:tr>
      <w:tr w:rsidR="000D33FB">
        <w:trPr>
          <w:jc w:val="center"/>
        </w:trPr>
        <w:tc>
          <w:tcPr>
            <w:tcW w:w="3120" w:type="dxa"/>
            <w:tcMar>
              <w:top w:w="140" w:type="dxa"/>
              <w:left w:w="180" w:type="dxa"/>
              <w:bottom w:w="140" w:type="dxa"/>
              <w:right w:w="180" w:type="dxa"/>
            </w:tcMar>
          </w:tcPr>
          <w:p w:rsidR="000D33FB" w:rsidRDefault="00283424">
            <w:r>
              <w:rPr>
                <w:rFonts w:ascii="Times New Roman" w:hAnsi="Times New Roman"/>
              </w:rPr>
              <w:t>Nikhil</w:t>
            </w:r>
          </w:p>
        </w:tc>
        <w:tc>
          <w:tcPr>
            <w:tcW w:w="3120" w:type="dxa"/>
            <w:tcMar>
              <w:top w:w="140" w:type="dxa"/>
              <w:left w:w="180" w:type="dxa"/>
              <w:bottom w:w="140" w:type="dxa"/>
              <w:right w:w="180" w:type="dxa"/>
            </w:tcMar>
          </w:tcPr>
          <w:p w:rsidR="000D33FB" w:rsidRDefault="00283424">
            <w:r>
              <w:rPr>
                <w:rFonts w:ascii="Times New Roman" w:hAnsi="Times New Roman"/>
              </w:rPr>
              <w:t>12407032</w:t>
            </w:r>
          </w:p>
        </w:tc>
        <w:tc>
          <w:tcPr>
            <w:tcW w:w="3120" w:type="dxa"/>
            <w:tcMar>
              <w:top w:w="140" w:type="dxa"/>
              <w:left w:w="180" w:type="dxa"/>
              <w:bottom w:w="140" w:type="dxa"/>
              <w:right w:w="180" w:type="dxa"/>
            </w:tcMar>
          </w:tcPr>
          <w:p w:rsidR="000D33FB" w:rsidRPr="00A3630E" w:rsidRDefault="000D33FB">
            <w:pPr>
              <w:rPr>
                <w:rFonts w:ascii="Times New Roman" w:hAnsi="Times New Roman" w:cs="Times New Roman"/>
              </w:rPr>
            </w:pPr>
          </w:p>
        </w:tc>
      </w:tr>
    </w:tbl>
    <w:p w:rsidR="000D33FB" w:rsidRDefault="000D33FB">
      <w:pPr>
        <w:spacing w:before="600" w:after="80"/>
      </w:pPr>
    </w:p>
    <w:sectPr w:rsidR="000D33FB"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D33FB"/>
    <w:rsid w:val="0015074B"/>
    <w:rsid w:val="00283424"/>
    <w:rsid w:val="0029639D"/>
    <w:rsid w:val="002B0AF3"/>
    <w:rsid w:val="00326F90"/>
    <w:rsid w:val="00664A63"/>
    <w:rsid w:val="006B57AF"/>
    <w:rsid w:val="006D00AA"/>
    <w:rsid w:val="00A3630E"/>
    <w:rsid w:val="00AA1D8D"/>
    <w:rsid w:val="00B47730"/>
    <w:rsid w:val="00C2206D"/>
    <w:rsid w:val="00CB0664"/>
    <w:rsid w:val="00E0606B"/>
    <w:rsid w:val="00E373F9"/>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B0A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AF3"/>
    <w:rPr>
      <w:rFonts w:ascii="Tahoma" w:hAnsi="Tahoma" w:cs="Tahoma"/>
      <w:sz w:val="16"/>
      <w:szCs w:val="16"/>
    </w:rPr>
  </w:style>
  <w:style w:type="character" w:styleId="Hyperlink">
    <w:name w:val="Hyperlink"/>
    <w:basedOn w:val="DefaultParagraphFont"/>
    <w:uiPriority w:val="99"/>
    <w:unhideWhenUsed/>
    <w:rsid w:val="002B0AF3"/>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rd.2013.03.001" TargetMode="External"/><Relationship Id="rId3" Type="http://schemas.openxmlformats.org/officeDocument/2006/relationships/styles" Target="styles.xml"/><Relationship Id="rId7" Type="http://schemas.openxmlformats.org/officeDocument/2006/relationships/hyperlink" Target="https://doi.org/10.1023/A:1010933404324" TargetMode="Externa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09/TSG.2020.2971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06825-D283-485F-A5C7-E91FD65ED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7</cp:revision>
  <dcterms:created xsi:type="dcterms:W3CDTF">2013-12-23T23:15:00Z</dcterms:created>
  <dcterms:modified xsi:type="dcterms:W3CDTF">2026-08-25T09:42:00Z</dcterms:modified>
  <cp:category/>
</cp:coreProperties>
</file>