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01. Setup, Environment Connection &amp; Data Profiling</w:t>
      </w:r>
    </w:p>
    <w:p>
      <w:pPr>
        <w:jc w:val="center"/>
      </w:pPr>
      <w:r>
        <w:rPr>
          <w:rFonts w:ascii="Calibri" w:hAnsi="Calibri"/>
          <w:i/>
          <w:color w:val="666666"/>
          <w:sz w:val="26"/>
        </w:rPr>
        <w:t>Zero-Config Medallion Architecture — Comprehensive Setup &amp; Profiling Reference</w:t>
      </w:r>
    </w:p>
    <w:p/>
    <w:p>
      <w:pPr>
        <w:pStyle w:val="Heading1"/>
      </w:pPr>
      <w:r>
        <w:rPr>
          <w:color w:val="003366"/>
        </w:rPr>
        <w:t>1. Architecture &amp; Tenant Handshake Protocol (Gates G0 – G1a)</w:t>
      </w:r>
    </w:p>
    <w:p>
      <w:r>
        <w:t>The initialization phase validates tenant connectivity, workspace context, and raw source lakehouses in Microsoft Fabric. The process begins with an Azure CLI connection check (Gate G0). If authentication is active, the system fetches available workspaces (Gate G0b). The user selects a target workspace, and the system queries OneLake storage via Fabric REST APIs to discover raw source lakehouses (Gate G1).</w:t>
      </w:r>
    </w:p>
    <w:p>
      <w:r>
        <w:t>At Gate G1a (Select Action), the user chooses between two distinct execution workflows:</w:t>
        <w:br/>
        <w:t>1. Start a New Project: Scans raw source lakehouse folders and initiates a fresh medallion build.</w:t>
        <w:br/>
        <w:t>2. Resume an Existing Project: Performs 2-tier project discovery in the workspace (checking root lakehouses and workspace target folders for dbo.project_status), queries dbo.project_status in the selected project, determines completed stages (COMPLETED/SKIPPED), orders by updated_at DESC, and prompts at the exact pending gate (G-pending).</w:t>
      </w:r>
    </w:p>
    <w:p>
      <w:pPr>
        <w:pStyle w:val="Heading1"/>
      </w:pPr>
      <w:r>
        <w:rPr>
          <w:color w:val="003366"/>
        </w:rPr>
        <w:t>2. Zero-Config Dynamic Target Resolution (Gates G2 – G2b)</w:t>
      </w:r>
    </w:p>
    <w:p>
      <w:r>
        <w:t>Prior medallion architectures required static configuration directories (.claude/skills/medallion/lob/&lt;lob&gt;.md) and static datasets. The Zero-Config Medallion Architecture completely eliminates static LOB config files and datasets folders. Instead, target resolution happens dynamically at Gate G2:</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Pr>
          <w:p>
            <w:r>
              <w:rPr>
                <w:rFonts w:ascii="Calibri" w:hAnsi="Calibri"/>
                <w:i/>
                <w:color w:val="003366"/>
                <w:sz w:val="21"/>
              </w:rPr>
              <w:t>Dynamic Target Resolution at Gate G2:</w:t>
              <w:br/>
              <w:t>1. The AI inspects the selected raw source folder (e.g. 'Marine') and derives a clean target folder name (&lt;Derived_Name&gt;).</w:t>
              <w:br/>
              <w:t>2. The AI prompts: 'Target Resolution: Enter or confirm target folder name (Suggested: &lt;Derived_Name&gt;): [y/n/&lt;target_folder_name&gt;]'</w:t>
              <w:br/>
              <w:t>3. User Options:</w:t>
              <w:br/>
              <w:t xml:space="preserve">   - 'y': Accepts derived target folder name (&lt;Derived_Name&gt;).</w:t>
              <w:br/>
              <w:t xml:space="preserve">   - '&lt;target_folder_name&gt;': Overrides with a custom write-in target folder name.</w:t>
              <w:br/>
              <w:t xml:space="preserve">   - 'n': Displays a courteous thank-you message and stops execution cleanly.</w:t>
              <w:br/>
              <w:t>4. Creation: The AI creates target folder &lt;target_folder_name&gt; containing directly &lt;target_folder_name&gt;_LH, notebooks, orchestrator, semantic model. Target Lakehouse creation is deferred until notebook/orchestrator execution.</w:t>
            </w:r>
          </w:p>
        </w:tc>
      </w:tr>
    </w:tbl>
    <w:p/>
    <w:p>
      <w:pPr>
        <w:pStyle w:val="Heading1"/>
      </w:pPr>
      <w:r>
        <w:rPr>
          <w:color w:val="003366"/>
        </w:rPr>
        <w:t>3. Deep Dive into Data Profiling Architecture (Gates G4 – G5)</w:t>
      </w:r>
    </w:p>
    <w:p>
      <w:r>
        <w:t>Data profiling is executed via an isolated, read-only PySpark Livy session over the raw source files. The profiling engine scans every source file without modifying raw data or writing persistent files. It captures 8 critical data attributes:</w:t>
      </w:r>
    </w:p>
    <w:tbl>
      <w:tblPr>
        <w:tblW w:type="auto" w:w="0"/>
        <w:jc w:val="center"/>
        <w:tblLayout w:type="fixed"/>
        <w:tblLook w:firstColumn="1" w:firstRow="1" w:lastColumn="0" w:lastRow="0" w:noHBand="0" w:noVBand="1" w:val="04A0"/>
      </w:tblPr>
      <w:tblGrid>
        <w:gridCol w:w="2880"/>
        <w:gridCol w:w="2880"/>
        <w:gridCol w:w="2880"/>
      </w:tblGrid>
      <w:tr>
        <w:tc>
          <w:tcPr>
            <w:tcW w:type="dxa" w:w="2160"/>
            <w:shd w:fill="003366"/>
            <w:tcMar>
              <w:top w:w="100" w:type="dxa"/>
              <w:bottom w:w="100" w:type="dxa"/>
              <w:left w:w="150" w:type="dxa"/>
              <w:right w:w="150" w:type="dxa"/>
            </w:tcMar>
          </w:tcPr>
          <w:p>
            <w:r>
              <w:rPr>
                <w:b/>
                <w:color w:val="FFFFFF"/>
              </w:rPr>
              <w:t>Attribute</w:t>
            </w:r>
          </w:p>
        </w:tc>
        <w:tc>
          <w:tcPr>
            <w:tcW w:type="dxa" w:w="4608"/>
            <w:shd w:fill="003366"/>
            <w:tcMar>
              <w:top w:w="100" w:type="dxa"/>
              <w:bottom w:w="100" w:type="dxa"/>
              <w:left w:w="150" w:type="dxa"/>
              <w:right w:w="150" w:type="dxa"/>
            </w:tcMar>
          </w:tcPr>
          <w:p>
            <w:r>
              <w:rPr>
                <w:b/>
                <w:color w:val="FFFFFF"/>
              </w:rPr>
              <w:t>Profiling Description</w:t>
            </w:r>
          </w:p>
        </w:tc>
        <w:tc>
          <w:tcPr>
            <w:tcW w:type="dxa" w:w="3024"/>
            <w:shd w:fill="003366"/>
            <w:tcMar>
              <w:top w:w="100" w:type="dxa"/>
              <w:bottom w:w="100" w:type="dxa"/>
              <w:left w:w="150" w:type="dxa"/>
              <w:right w:w="150" w:type="dxa"/>
            </w:tcMar>
          </w:tcPr>
          <w:p>
            <w:r>
              <w:rPr>
                <w:b/>
                <w:color w:val="FFFFFF"/>
              </w:rPr>
              <w:t>Target Medallion Impact</w:t>
            </w:r>
          </w:p>
        </w:tc>
      </w:tr>
      <w:tr>
        <w:tc>
          <w:tcPr>
            <w:tcW w:type="dxa" w:w="2160"/>
            <w:tcMar>
              <w:top w:w="60" w:type="dxa"/>
              <w:bottom w:w="60" w:type="dxa"/>
              <w:left w:w="100" w:type="dxa"/>
              <w:right w:w="100" w:type="dxa"/>
            </w:tcMar>
          </w:tcPr>
          <w:p>
            <w:r>
              <w:rPr>
                <w:sz w:val="19"/>
              </w:rPr>
              <w:t>Row Counts</w:t>
            </w:r>
          </w:p>
        </w:tc>
        <w:tc>
          <w:tcPr>
            <w:tcW w:type="dxa" w:w="4608"/>
            <w:tcMar>
              <w:top w:w="60" w:type="dxa"/>
              <w:bottom w:w="60" w:type="dxa"/>
              <w:left w:w="100" w:type="dxa"/>
              <w:right w:w="100" w:type="dxa"/>
            </w:tcMar>
          </w:tcPr>
          <w:p>
            <w:r>
              <w:rPr>
                <w:sz w:val="19"/>
              </w:rPr>
              <w:t>Total record counts per source file</w:t>
            </w:r>
          </w:p>
        </w:tc>
        <w:tc>
          <w:tcPr>
            <w:tcW w:type="dxa" w:w="3024"/>
            <w:tcMar>
              <w:top w:w="60" w:type="dxa"/>
              <w:bottom w:w="60" w:type="dxa"/>
              <w:left w:w="100" w:type="dxa"/>
              <w:right w:w="100" w:type="dxa"/>
            </w:tcMar>
          </w:tcPr>
          <w:p>
            <w:r>
              <w:rPr>
                <w:sz w:val="19"/>
              </w:rPr>
              <w:t>Establishes baseline watermark for Bronze landing checks</w:t>
            </w:r>
          </w:p>
        </w:tc>
      </w:tr>
      <w:tr>
        <w:tc>
          <w:tcPr>
            <w:tcW w:type="dxa" w:w="2160"/>
            <w:tcMar>
              <w:top w:w="60" w:type="dxa"/>
              <w:bottom w:w="60" w:type="dxa"/>
              <w:left w:w="100" w:type="dxa"/>
              <w:right w:w="100" w:type="dxa"/>
            </w:tcMar>
          </w:tcPr>
          <w:p>
            <w:r>
              <w:rPr>
                <w:sz w:val="19"/>
              </w:rPr>
              <w:t>Physical Data Types</w:t>
            </w:r>
          </w:p>
        </w:tc>
        <w:tc>
          <w:tcPr>
            <w:tcW w:type="dxa" w:w="4608"/>
            <w:tcMar>
              <w:top w:w="60" w:type="dxa"/>
              <w:bottom w:w="60" w:type="dxa"/>
              <w:left w:w="100" w:type="dxa"/>
              <w:right w:w="100" w:type="dxa"/>
            </w:tcMar>
          </w:tcPr>
          <w:p>
            <w:r>
              <w:rPr>
                <w:sz w:val="19"/>
              </w:rPr>
              <w:t>Inferred source storage types (string, int, float)</w:t>
            </w:r>
          </w:p>
        </w:tc>
        <w:tc>
          <w:tcPr>
            <w:tcW w:type="dxa" w:w="3024"/>
            <w:tcMar>
              <w:top w:w="60" w:type="dxa"/>
              <w:bottom w:w="60" w:type="dxa"/>
              <w:left w:w="100" w:type="dxa"/>
              <w:right w:w="100" w:type="dxa"/>
            </w:tcMar>
          </w:tcPr>
          <w:p>
            <w:r>
              <w:rPr>
                <w:sz w:val="19"/>
              </w:rPr>
              <w:t>Confirms all-string landing strategy in Bronze</w:t>
            </w:r>
          </w:p>
        </w:tc>
      </w:tr>
      <w:tr>
        <w:tc>
          <w:tcPr>
            <w:tcW w:type="dxa" w:w="2160"/>
            <w:tcMar>
              <w:top w:w="60" w:type="dxa"/>
              <w:bottom w:w="60" w:type="dxa"/>
              <w:left w:w="100" w:type="dxa"/>
              <w:right w:w="100" w:type="dxa"/>
            </w:tcMar>
          </w:tcPr>
          <w:p>
            <w:r>
              <w:rPr>
                <w:sz w:val="19"/>
              </w:rPr>
              <w:t>NULL Counts &amp; Pct</w:t>
            </w:r>
          </w:p>
        </w:tc>
        <w:tc>
          <w:tcPr>
            <w:tcW w:type="dxa" w:w="4608"/>
            <w:tcMar>
              <w:top w:w="60" w:type="dxa"/>
              <w:bottom w:w="60" w:type="dxa"/>
              <w:left w:w="100" w:type="dxa"/>
              <w:right w:w="100" w:type="dxa"/>
            </w:tcMar>
          </w:tcPr>
          <w:p>
            <w:r>
              <w:rPr>
                <w:sz w:val="19"/>
              </w:rPr>
              <w:t>Missing value counts and null ratios</w:t>
            </w:r>
          </w:p>
        </w:tc>
        <w:tc>
          <w:tcPr>
            <w:tcW w:type="dxa" w:w="3024"/>
            <w:tcMar>
              <w:top w:w="60" w:type="dxa"/>
              <w:bottom w:w="60" w:type="dxa"/>
              <w:left w:w="100" w:type="dxa"/>
              <w:right w:w="100" w:type="dxa"/>
            </w:tcMar>
          </w:tcPr>
          <w:p>
            <w:r>
              <w:rPr>
                <w:sz w:val="19"/>
              </w:rPr>
              <w:t>Configures blank-to-null token rules in Silver</w:t>
            </w:r>
          </w:p>
        </w:tc>
      </w:tr>
      <w:tr>
        <w:tc>
          <w:tcPr>
            <w:tcW w:type="dxa" w:w="2160"/>
            <w:tcMar>
              <w:top w:w="60" w:type="dxa"/>
              <w:bottom w:w="60" w:type="dxa"/>
              <w:left w:w="100" w:type="dxa"/>
              <w:right w:w="100" w:type="dxa"/>
            </w:tcMar>
          </w:tcPr>
          <w:p>
            <w:r>
              <w:rPr>
                <w:sz w:val="19"/>
              </w:rPr>
              <w:t>Distinct Cardinality</w:t>
            </w:r>
          </w:p>
        </w:tc>
        <w:tc>
          <w:tcPr>
            <w:tcW w:type="dxa" w:w="4608"/>
            <w:tcMar>
              <w:top w:w="60" w:type="dxa"/>
              <w:bottom w:w="60" w:type="dxa"/>
              <w:left w:w="100" w:type="dxa"/>
              <w:right w:w="100" w:type="dxa"/>
            </w:tcMar>
          </w:tcPr>
          <w:p>
            <w:r>
              <w:rPr>
                <w:sz w:val="19"/>
              </w:rPr>
              <w:t>Unique record counts per column</w:t>
            </w:r>
          </w:p>
        </w:tc>
        <w:tc>
          <w:tcPr>
            <w:tcW w:type="dxa" w:w="3024"/>
            <w:tcMar>
              <w:top w:w="60" w:type="dxa"/>
              <w:bottom w:w="60" w:type="dxa"/>
              <w:left w:w="100" w:type="dxa"/>
              <w:right w:w="100" w:type="dxa"/>
            </w:tcMar>
          </w:tcPr>
          <w:p>
            <w:r>
              <w:rPr>
                <w:sz w:val="19"/>
              </w:rPr>
              <w:t>Identifies candidate business keys for Gold dimensions</w:t>
            </w:r>
          </w:p>
        </w:tc>
      </w:tr>
      <w:tr>
        <w:tc>
          <w:tcPr>
            <w:tcW w:type="dxa" w:w="2160"/>
            <w:tcMar>
              <w:top w:w="60" w:type="dxa"/>
              <w:bottom w:w="60" w:type="dxa"/>
              <w:left w:w="100" w:type="dxa"/>
              <w:right w:w="100" w:type="dxa"/>
            </w:tcMar>
          </w:tcPr>
          <w:p>
            <w:r>
              <w:rPr>
                <w:sz w:val="19"/>
              </w:rPr>
              <w:t>Min / Max Bounds</w:t>
            </w:r>
          </w:p>
        </w:tc>
        <w:tc>
          <w:tcPr>
            <w:tcW w:type="dxa" w:w="4608"/>
            <w:tcMar>
              <w:top w:w="60" w:type="dxa"/>
              <w:bottom w:w="60" w:type="dxa"/>
              <w:left w:w="100" w:type="dxa"/>
              <w:right w:w="100" w:type="dxa"/>
            </w:tcMar>
          </w:tcPr>
          <w:p>
            <w:r>
              <w:rPr>
                <w:sz w:val="19"/>
              </w:rPr>
              <w:t>Numerical range bounds and string length bounds</w:t>
            </w:r>
          </w:p>
        </w:tc>
        <w:tc>
          <w:tcPr>
            <w:tcW w:type="dxa" w:w="3024"/>
            <w:tcMar>
              <w:top w:w="60" w:type="dxa"/>
              <w:bottom w:w="60" w:type="dxa"/>
              <w:left w:w="100" w:type="dxa"/>
              <w:right w:w="100" w:type="dxa"/>
            </w:tcMar>
          </w:tcPr>
          <w:p>
            <w:r>
              <w:rPr>
                <w:sz w:val="19"/>
              </w:rPr>
              <w:t>Detects boundary outliers and numeric scale/precision</w:t>
            </w:r>
          </w:p>
        </w:tc>
      </w:tr>
      <w:tr>
        <w:tc>
          <w:tcPr>
            <w:tcW w:type="dxa" w:w="2160"/>
            <w:tcMar>
              <w:top w:w="60" w:type="dxa"/>
              <w:bottom w:w="60" w:type="dxa"/>
              <w:left w:w="100" w:type="dxa"/>
              <w:right w:w="100" w:type="dxa"/>
            </w:tcMar>
          </w:tcPr>
          <w:p>
            <w:r>
              <w:rPr>
                <w:sz w:val="19"/>
              </w:rPr>
              <w:t>Date / Time Layouts</w:t>
            </w:r>
          </w:p>
        </w:tc>
        <w:tc>
          <w:tcPr>
            <w:tcW w:type="dxa" w:w="4608"/>
            <w:tcMar>
              <w:top w:w="60" w:type="dxa"/>
              <w:bottom w:w="60" w:type="dxa"/>
              <w:left w:w="100" w:type="dxa"/>
              <w:right w:w="100" w:type="dxa"/>
            </w:tcMar>
          </w:tcPr>
          <w:p>
            <w:r>
              <w:rPr>
                <w:sz w:val="19"/>
              </w:rPr>
              <w:t>Identifies date formats (yyyy/MM/dd, MM/dd/yyyy, ISO8601)</w:t>
            </w:r>
          </w:p>
        </w:tc>
        <w:tc>
          <w:tcPr>
            <w:tcW w:type="dxa" w:w="3024"/>
            <w:tcMar>
              <w:top w:w="60" w:type="dxa"/>
              <w:bottom w:w="60" w:type="dxa"/>
              <w:left w:w="100" w:type="dxa"/>
              <w:right w:w="100" w:type="dxa"/>
            </w:tcMar>
          </w:tcPr>
          <w:p>
            <w:r>
              <w:rPr>
                <w:sz w:val="19"/>
              </w:rPr>
              <w:t>Configures regex-gated date parsing strategy in Silver</w:t>
            </w:r>
          </w:p>
        </w:tc>
      </w:tr>
      <w:tr>
        <w:tc>
          <w:tcPr>
            <w:tcW w:type="dxa" w:w="2160"/>
            <w:tcMar>
              <w:top w:w="60" w:type="dxa"/>
              <w:bottom w:w="60" w:type="dxa"/>
              <w:left w:w="100" w:type="dxa"/>
              <w:right w:w="100" w:type="dxa"/>
            </w:tcMar>
          </w:tcPr>
          <w:p>
            <w:r>
              <w:rPr>
                <w:sz w:val="19"/>
              </w:rPr>
              <w:t>Character Encodings</w:t>
            </w:r>
          </w:p>
        </w:tc>
        <w:tc>
          <w:tcPr>
            <w:tcW w:type="dxa" w:w="4608"/>
            <w:tcMar>
              <w:top w:w="60" w:type="dxa"/>
              <w:bottom w:w="60" w:type="dxa"/>
              <w:left w:w="100" w:type="dxa"/>
              <w:right w:w="100" w:type="dxa"/>
            </w:tcMar>
          </w:tcPr>
          <w:p>
            <w:r>
              <w:rPr>
                <w:sz w:val="19"/>
              </w:rPr>
              <w:t>Detects text encodings (UTF-8, ASCII, Latin-1)</w:t>
            </w:r>
          </w:p>
        </w:tc>
        <w:tc>
          <w:tcPr>
            <w:tcW w:type="dxa" w:w="3024"/>
            <w:tcMar>
              <w:top w:w="60" w:type="dxa"/>
              <w:bottom w:w="60" w:type="dxa"/>
              <w:left w:w="100" w:type="dxa"/>
              <w:right w:w="100" w:type="dxa"/>
            </w:tcMar>
          </w:tcPr>
          <w:p>
            <w:r>
              <w:rPr>
                <w:sz w:val="19"/>
              </w:rPr>
              <w:t>Prevents character corruption in Bronze string landing</w:t>
            </w:r>
          </w:p>
        </w:tc>
      </w:tr>
      <w:tr>
        <w:tc>
          <w:tcPr>
            <w:tcW w:type="dxa" w:w="2160"/>
            <w:tcMar>
              <w:top w:w="60" w:type="dxa"/>
              <w:bottom w:w="60" w:type="dxa"/>
              <w:left w:w="100" w:type="dxa"/>
              <w:right w:w="100" w:type="dxa"/>
            </w:tcMar>
          </w:tcPr>
          <w:p>
            <w:r>
              <w:rPr>
                <w:sz w:val="19"/>
              </w:rPr>
              <w:t>Raw File Stem Mapping</w:t>
            </w:r>
          </w:p>
        </w:tc>
        <w:tc>
          <w:tcPr>
            <w:tcW w:type="dxa" w:w="4608"/>
            <w:tcMar>
              <w:top w:w="60" w:type="dxa"/>
              <w:bottom w:w="60" w:type="dxa"/>
              <w:left w:w="100" w:type="dxa"/>
              <w:right w:w="100" w:type="dxa"/>
            </w:tcMar>
          </w:tcPr>
          <w:p>
            <w:r>
              <w:rPr>
                <w:sz w:val="19"/>
              </w:rPr>
              <w:t>Extracts table stems (e.g. marine_policy.csv -&gt; marine_policy)</w:t>
            </w:r>
          </w:p>
        </w:tc>
        <w:tc>
          <w:tcPr>
            <w:tcW w:type="dxa" w:w="3024"/>
            <w:tcMar>
              <w:top w:w="60" w:type="dxa"/>
              <w:bottom w:w="60" w:type="dxa"/>
              <w:left w:w="100" w:type="dxa"/>
              <w:right w:w="100" w:type="dxa"/>
            </w:tcMar>
          </w:tcPr>
          <w:p>
            <w:r>
              <w:rPr>
                <w:sz w:val="19"/>
              </w:rPr>
              <w:t>Sets un-prefixed Delta table names in Bronze and Silver</w:t>
            </w:r>
          </w:p>
        </w:tc>
      </w:tr>
    </w:tbl>
    <w:p/>
    <w:p>
      <w:pPr>
        <w:pStyle w:val="Heading1"/>
      </w:pPr>
      <w:r>
        <w:rPr>
          <w:color w:val="003366"/>
        </w:rPr>
        <w:t>4. Master Gate Dictionary (G0 – G5)</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shd w:fill="003366"/>
            <w:tcMar>
              <w:top w:w="100" w:type="dxa"/>
              <w:bottom w:w="100" w:type="dxa"/>
              <w:left w:w="150" w:type="dxa"/>
              <w:right w:w="150" w:type="dxa"/>
            </w:tcMar>
          </w:tcPr>
          <w:p>
            <w:r>
              <w:rPr>
                <w:b/>
                <w:color w:val="FFFFFF"/>
              </w:rPr>
              <w:t>Gate</w:t>
            </w:r>
          </w:p>
        </w:tc>
        <w:tc>
          <w:tcPr>
            <w:tcW w:type="dxa" w:w="1152"/>
            <w:shd w:fill="003366"/>
            <w:tcMar>
              <w:top w:w="100" w:type="dxa"/>
              <w:bottom w:w="100" w:type="dxa"/>
              <w:left w:w="150" w:type="dxa"/>
              <w:right w:w="150" w:type="dxa"/>
            </w:tcMar>
          </w:tcPr>
          <w:p>
            <w:r>
              <w:rPr>
                <w:b/>
                <w:color w:val="FFFFFF"/>
              </w:rPr>
              <w:t>Stage</w:t>
            </w:r>
          </w:p>
        </w:tc>
        <w:tc>
          <w:tcPr>
            <w:tcW w:type="dxa" w:w="3600"/>
            <w:shd w:fill="003366"/>
            <w:tcMar>
              <w:top w:w="100" w:type="dxa"/>
              <w:bottom w:w="100" w:type="dxa"/>
              <w:left w:w="150" w:type="dxa"/>
              <w:right w:w="150" w:type="dxa"/>
            </w:tcMar>
          </w:tcPr>
          <w:p>
            <w:r>
              <w:rPr>
                <w:b/>
                <w:color w:val="FFFFFF"/>
              </w:rPr>
              <w:t>Prompt / Question</w:t>
            </w:r>
          </w:p>
        </w:tc>
        <w:tc>
          <w:tcPr>
            <w:tcW w:type="dxa" w:w="1440"/>
            <w:shd w:fill="003366"/>
            <w:tcMar>
              <w:top w:w="100" w:type="dxa"/>
              <w:bottom w:w="100" w:type="dxa"/>
              <w:left w:w="150" w:type="dxa"/>
              <w:right w:w="150" w:type="dxa"/>
            </w:tcMar>
          </w:tcPr>
          <w:p>
            <w:r>
              <w:rPr>
                <w:b/>
                <w:color w:val="FFFFFF"/>
              </w:rPr>
              <w:t>Options</w:t>
            </w:r>
          </w:p>
        </w:tc>
        <w:tc>
          <w:tcPr>
            <w:tcW w:type="dxa" w:w="2880"/>
            <w:shd w:fill="003366"/>
            <w:tcMar>
              <w:top w:w="100" w:type="dxa"/>
              <w:bottom w:w="100" w:type="dxa"/>
              <w:left w:w="150" w:type="dxa"/>
              <w:right w:w="150" w:type="dxa"/>
            </w:tcMar>
          </w:tcPr>
          <w:p>
            <w:r>
              <w:rPr>
                <w:b/>
                <w:color w:val="FFFFFF"/>
              </w:rPr>
              <w:t>Execution Behavior &amp; Outcome</w:t>
            </w:r>
          </w:p>
        </w:tc>
      </w:tr>
      <w:tr>
        <w:tc>
          <w:tcPr>
            <w:tcW w:type="dxa" w:w="720"/>
            <w:tcMar>
              <w:top w:w="60" w:type="dxa"/>
              <w:bottom w:w="60" w:type="dxa"/>
              <w:left w:w="100" w:type="dxa"/>
              <w:right w:w="100" w:type="dxa"/>
            </w:tcMar>
          </w:tcPr>
          <w:p>
            <w:r>
              <w:rPr>
                <w:sz w:val="19"/>
              </w:rPr>
              <w:t>G0</w:t>
            </w:r>
          </w:p>
        </w:tc>
        <w:tc>
          <w:tcPr>
            <w:tcW w:type="dxa" w:w="1152"/>
            <w:tcMar>
              <w:top w:w="60" w:type="dxa"/>
              <w:bottom w:w="60" w:type="dxa"/>
              <w:left w:w="100" w:type="dxa"/>
              <w:right w:w="100" w:type="dxa"/>
            </w:tcMar>
          </w:tcPr>
          <w:p>
            <w:r>
              <w:rPr>
                <w:sz w:val="19"/>
              </w:rPr>
              <w:t>Start</w:t>
            </w:r>
          </w:p>
        </w:tc>
        <w:tc>
          <w:tcPr>
            <w:tcW w:type="dxa" w:w="3600"/>
            <w:tcMar>
              <w:top w:w="60" w:type="dxa"/>
              <w:bottom w:w="60" w:type="dxa"/>
              <w:left w:w="100" w:type="dxa"/>
              <w:right w:w="100" w:type="dxa"/>
            </w:tcMar>
          </w:tcPr>
          <w:p>
            <w:r>
              <w:rPr>
                <w:sz w:val="19"/>
              </w:rPr>
              <w:t>Welcome to AI Native Data Engineering</w:t>
            </w:r>
          </w:p>
        </w:tc>
        <w:tc>
          <w:tcPr>
            <w:tcW w:type="dxa" w:w="1440"/>
            <w:tcMar>
              <w:top w:w="60" w:type="dxa"/>
              <w:bottom w:w="60" w:type="dxa"/>
              <w:left w:w="100" w:type="dxa"/>
              <w:right w:w="100" w:type="dxa"/>
            </w:tcMar>
          </w:tcPr>
          <w:p>
            <w:r>
              <w:rPr>
                <w:sz w:val="19"/>
              </w:rPr>
              <w:t>N/A</w:t>
            </w:r>
          </w:p>
        </w:tc>
        <w:tc>
          <w:tcPr>
            <w:tcW w:type="dxa" w:w="2880"/>
            <w:tcMar>
              <w:top w:w="60" w:type="dxa"/>
              <w:bottom w:w="60" w:type="dxa"/>
              <w:left w:w="100" w:type="dxa"/>
              <w:right w:w="100" w:type="dxa"/>
            </w:tcMar>
          </w:tcPr>
          <w:p>
            <w:r>
              <w:rPr>
                <w:sz w:val="19"/>
              </w:rPr>
              <w:t>Checks Azure CLI status. Active -&gt; G0b; Inactive -&gt; G0a.</w:t>
            </w:r>
          </w:p>
        </w:tc>
      </w:tr>
      <w:tr>
        <w:tc>
          <w:tcPr>
            <w:tcW w:type="dxa" w:w="720"/>
            <w:tcMar>
              <w:top w:w="60" w:type="dxa"/>
              <w:bottom w:w="60" w:type="dxa"/>
              <w:left w:w="100" w:type="dxa"/>
              <w:right w:w="100" w:type="dxa"/>
            </w:tcMar>
          </w:tcPr>
          <w:p>
            <w:r>
              <w:rPr>
                <w:sz w:val="19"/>
              </w:rPr>
              <w:t>G0a</w:t>
            </w:r>
          </w:p>
        </w:tc>
        <w:tc>
          <w:tcPr>
            <w:tcW w:type="dxa" w:w="1152"/>
            <w:tcMar>
              <w:top w:w="60" w:type="dxa"/>
              <w:bottom w:w="60" w:type="dxa"/>
              <w:left w:w="100" w:type="dxa"/>
              <w:right w:w="100" w:type="dxa"/>
            </w:tcMar>
          </w:tcPr>
          <w:p>
            <w:r>
              <w:rPr>
                <w:sz w:val="19"/>
              </w:rPr>
              <w:t>Start</w:t>
            </w:r>
          </w:p>
        </w:tc>
        <w:tc>
          <w:tcPr>
            <w:tcW w:type="dxa" w:w="3600"/>
            <w:tcMar>
              <w:top w:w="60" w:type="dxa"/>
              <w:bottom w:w="60" w:type="dxa"/>
              <w:left w:w="100" w:type="dxa"/>
              <w:right w:w="100" w:type="dxa"/>
            </w:tcMar>
          </w:tcPr>
          <w:p>
            <w:r>
              <w:rPr>
                <w:sz w:val="19"/>
              </w:rPr>
              <w:t>Fabric workspace connection is not active. Authenticate via Azure CLI?</w:t>
            </w:r>
          </w:p>
        </w:tc>
        <w:tc>
          <w:tcPr>
            <w:tcW w:type="dxa" w:w="1440"/>
            <w:tcMar>
              <w:top w:w="60" w:type="dxa"/>
              <w:bottom w:w="60" w:type="dxa"/>
              <w:left w:w="100" w:type="dxa"/>
              <w:right w:w="100" w:type="dxa"/>
            </w:tcMar>
          </w:tcPr>
          <w:p>
            <w:r>
              <w:rPr>
                <w:sz w:val="19"/>
              </w:rPr>
              <w:t>[y/n]</w:t>
            </w:r>
          </w:p>
        </w:tc>
        <w:tc>
          <w:tcPr>
            <w:tcW w:type="dxa" w:w="2880"/>
            <w:tcMar>
              <w:top w:w="60" w:type="dxa"/>
              <w:bottom w:w="60" w:type="dxa"/>
              <w:left w:w="100" w:type="dxa"/>
              <w:right w:w="100" w:type="dxa"/>
            </w:tcMar>
          </w:tcPr>
          <w:p>
            <w:r>
              <w:rPr>
                <w:sz w:val="19"/>
              </w:rPr>
              <w:t>y runs az login -&gt; G0b; n prints thank-you exit message.</w:t>
            </w:r>
          </w:p>
        </w:tc>
      </w:tr>
      <w:tr>
        <w:tc>
          <w:tcPr>
            <w:tcW w:type="dxa" w:w="720"/>
            <w:tcMar>
              <w:top w:w="60" w:type="dxa"/>
              <w:bottom w:w="60" w:type="dxa"/>
              <w:left w:w="100" w:type="dxa"/>
              <w:right w:w="100" w:type="dxa"/>
            </w:tcMar>
          </w:tcPr>
          <w:p>
            <w:r>
              <w:rPr>
                <w:sz w:val="19"/>
              </w:rPr>
              <w:t>G0b</w:t>
            </w:r>
          </w:p>
        </w:tc>
        <w:tc>
          <w:tcPr>
            <w:tcW w:type="dxa" w:w="1152"/>
            <w:tcMar>
              <w:top w:w="60" w:type="dxa"/>
              <w:bottom w:w="60" w:type="dxa"/>
              <w:left w:w="100" w:type="dxa"/>
              <w:right w:w="100" w:type="dxa"/>
            </w:tcMar>
          </w:tcPr>
          <w:p>
            <w:r>
              <w:rPr>
                <w:sz w:val="19"/>
              </w:rPr>
              <w:t>Setup</w:t>
            </w:r>
          </w:p>
        </w:tc>
        <w:tc>
          <w:tcPr>
            <w:tcW w:type="dxa" w:w="3600"/>
            <w:tcMar>
              <w:top w:w="60" w:type="dxa"/>
              <w:bottom w:w="60" w:type="dxa"/>
              <w:left w:w="100" w:type="dxa"/>
              <w:right w:w="100" w:type="dxa"/>
            </w:tcMar>
          </w:tcPr>
          <w:p>
            <w:r>
              <w:rPr>
                <w:sz w:val="19"/>
              </w:rPr>
              <w:t>Select Workspace: press 1 for &lt;W1&gt;, 2 for &lt;W2&gt; or S to stop</w:t>
            </w:r>
          </w:p>
        </w:tc>
        <w:tc>
          <w:tcPr>
            <w:tcW w:type="dxa" w:w="1440"/>
            <w:tcMar>
              <w:top w:w="60" w:type="dxa"/>
              <w:bottom w:w="60" w:type="dxa"/>
              <w:left w:w="100" w:type="dxa"/>
              <w:right w:w="100" w:type="dxa"/>
            </w:tcMar>
          </w:tcPr>
          <w:p>
            <w:r>
              <w:rPr>
                <w:sz w:val="19"/>
              </w:rPr>
              <w:t>[1/2/.../S]</w:t>
            </w:r>
          </w:p>
        </w:tc>
        <w:tc>
          <w:tcPr>
            <w:tcW w:type="dxa" w:w="2880"/>
            <w:tcMar>
              <w:top w:w="60" w:type="dxa"/>
              <w:bottom w:w="60" w:type="dxa"/>
              <w:left w:w="100" w:type="dxa"/>
              <w:right w:w="100" w:type="dxa"/>
            </w:tcMar>
          </w:tcPr>
          <w:p>
            <w:r>
              <w:rPr>
                <w:sz w:val="19"/>
              </w:rPr>
              <w:t>Sets active {workspace} context. S exits cleanly.</w:t>
            </w:r>
          </w:p>
        </w:tc>
      </w:tr>
      <w:tr>
        <w:tc>
          <w:tcPr>
            <w:tcW w:type="dxa" w:w="720"/>
            <w:tcMar>
              <w:top w:w="60" w:type="dxa"/>
              <w:bottom w:w="60" w:type="dxa"/>
              <w:left w:w="100" w:type="dxa"/>
              <w:right w:w="100" w:type="dxa"/>
            </w:tcMar>
          </w:tcPr>
          <w:p>
            <w:r>
              <w:rPr>
                <w:sz w:val="19"/>
              </w:rPr>
              <w:t>G1</w:t>
            </w:r>
          </w:p>
        </w:tc>
        <w:tc>
          <w:tcPr>
            <w:tcW w:type="dxa" w:w="1152"/>
            <w:tcMar>
              <w:top w:w="60" w:type="dxa"/>
              <w:bottom w:w="60" w:type="dxa"/>
              <w:left w:w="100" w:type="dxa"/>
              <w:right w:w="100" w:type="dxa"/>
            </w:tcMar>
          </w:tcPr>
          <w:p>
            <w:r>
              <w:rPr>
                <w:sz w:val="19"/>
              </w:rPr>
              <w:t>Setup</w:t>
            </w:r>
          </w:p>
        </w:tc>
        <w:tc>
          <w:tcPr>
            <w:tcW w:type="dxa" w:w="3600"/>
            <w:tcMar>
              <w:top w:w="60" w:type="dxa"/>
              <w:bottom w:w="60" w:type="dxa"/>
              <w:left w:w="100" w:type="dxa"/>
              <w:right w:w="100" w:type="dxa"/>
            </w:tcMar>
          </w:tcPr>
          <w:p>
            <w:r>
              <w:rPr>
                <w:sz w:val="19"/>
              </w:rPr>
              <w:t>Should I list the lakehouses in {workspace}?</w:t>
            </w:r>
          </w:p>
        </w:tc>
        <w:tc>
          <w:tcPr>
            <w:tcW w:type="dxa" w:w="1440"/>
            <w:tcMar>
              <w:top w:w="60" w:type="dxa"/>
              <w:bottom w:w="60" w:type="dxa"/>
              <w:left w:w="100" w:type="dxa"/>
              <w:right w:w="100" w:type="dxa"/>
            </w:tcMar>
          </w:tcPr>
          <w:p>
            <w:r>
              <w:rPr>
                <w:sz w:val="19"/>
              </w:rPr>
              <w:t>[y/n]</w:t>
            </w:r>
          </w:p>
        </w:tc>
        <w:tc>
          <w:tcPr>
            <w:tcW w:type="dxa" w:w="2880"/>
            <w:tcMar>
              <w:top w:w="60" w:type="dxa"/>
              <w:bottom w:w="60" w:type="dxa"/>
              <w:left w:w="100" w:type="dxa"/>
              <w:right w:w="100" w:type="dxa"/>
            </w:tcMar>
          </w:tcPr>
          <w:p>
            <w:r>
              <w:rPr>
                <w:sz w:val="19"/>
              </w:rPr>
              <w:t>y lists lakehouses for source selection. n exits cleanly.</w:t>
            </w:r>
          </w:p>
        </w:tc>
      </w:tr>
      <w:tr>
        <w:tc>
          <w:tcPr>
            <w:tcW w:type="dxa" w:w="720"/>
            <w:tcMar>
              <w:top w:w="60" w:type="dxa"/>
              <w:bottom w:w="60" w:type="dxa"/>
              <w:left w:w="100" w:type="dxa"/>
              <w:right w:w="100" w:type="dxa"/>
            </w:tcMar>
          </w:tcPr>
          <w:p>
            <w:r>
              <w:rPr>
                <w:sz w:val="19"/>
              </w:rPr>
              <w:t>G1a</w:t>
            </w:r>
          </w:p>
        </w:tc>
        <w:tc>
          <w:tcPr>
            <w:tcW w:type="dxa" w:w="1152"/>
            <w:tcMar>
              <w:top w:w="60" w:type="dxa"/>
              <w:bottom w:w="60" w:type="dxa"/>
              <w:left w:w="100" w:type="dxa"/>
              <w:right w:w="100" w:type="dxa"/>
            </w:tcMar>
          </w:tcPr>
          <w:p>
            <w:r>
              <w:rPr>
                <w:sz w:val="19"/>
              </w:rPr>
              <w:t>Setup</w:t>
            </w:r>
          </w:p>
        </w:tc>
        <w:tc>
          <w:tcPr>
            <w:tcW w:type="dxa" w:w="3600"/>
            <w:tcMar>
              <w:top w:w="60" w:type="dxa"/>
              <w:bottom w:w="60" w:type="dxa"/>
              <w:left w:w="100" w:type="dxa"/>
              <w:right w:w="100" w:type="dxa"/>
            </w:tcMar>
          </w:tcPr>
          <w:p>
            <w:r>
              <w:rPr>
                <w:sz w:val="19"/>
              </w:rPr>
              <w:t>Select Action: 1 Start new project, 2 Resume, 3 Stop</w:t>
            </w:r>
          </w:p>
        </w:tc>
        <w:tc>
          <w:tcPr>
            <w:tcW w:type="dxa" w:w="1440"/>
            <w:tcMar>
              <w:top w:w="60" w:type="dxa"/>
              <w:bottom w:w="60" w:type="dxa"/>
              <w:left w:w="100" w:type="dxa"/>
              <w:right w:w="100" w:type="dxa"/>
            </w:tcMar>
          </w:tcPr>
          <w:p>
            <w:r>
              <w:rPr>
                <w:sz w:val="19"/>
              </w:rPr>
              <w:t>[1/2/3]</w:t>
            </w:r>
          </w:p>
        </w:tc>
        <w:tc>
          <w:tcPr>
            <w:tcW w:type="dxa" w:w="2880"/>
            <w:tcMar>
              <w:top w:w="60" w:type="dxa"/>
              <w:bottom w:w="60" w:type="dxa"/>
              <w:left w:w="100" w:type="dxa"/>
              <w:right w:w="100" w:type="dxa"/>
            </w:tcMar>
          </w:tcPr>
          <w:p>
            <w:r>
              <w:rPr>
                <w:sz w:val="19"/>
              </w:rPr>
              <w:t>1 lists raw folders. 2 performs 2-tier project discovery (checking root lakehouses and target folders for dbo.project_status) to resume at G-pending. 3 exits.</w:t>
            </w:r>
          </w:p>
        </w:tc>
      </w:tr>
      <w:tr>
        <w:tc>
          <w:tcPr>
            <w:tcW w:type="dxa" w:w="720"/>
            <w:tcMar>
              <w:top w:w="60" w:type="dxa"/>
              <w:bottom w:w="60" w:type="dxa"/>
              <w:left w:w="100" w:type="dxa"/>
              <w:right w:w="100" w:type="dxa"/>
            </w:tcMar>
          </w:tcPr>
          <w:p>
            <w:r>
              <w:rPr>
                <w:sz w:val="19"/>
              </w:rPr>
              <w:t>G2</w:t>
            </w:r>
          </w:p>
        </w:tc>
        <w:tc>
          <w:tcPr>
            <w:tcW w:type="dxa" w:w="1152"/>
            <w:tcMar>
              <w:top w:w="60" w:type="dxa"/>
              <w:bottom w:w="60" w:type="dxa"/>
              <w:left w:w="100" w:type="dxa"/>
              <w:right w:w="100" w:type="dxa"/>
            </w:tcMar>
          </w:tcPr>
          <w:p>
            <w:r>
              <w:rPr>
                <w:sz w:val="19"/>
              </w:rPr>
              <w:t>Setup</w:t>
            </w:r>
          </w:p>
        </w:tc>
        <w:tc>
          <w:tcPr>
            <w:tcW w:type="dxa" w:w="3600"/>
            <w:tcMar>
              <w:top w:w="60" w:type="dxa"/>
              <w:bottom w:w="60" w:type="dxa"/>
              <w:left w:w="100" w:type="dxa"/>
              <w:right w:w="100" w:type="dxa"/>
            </w:tcMar>
          </w:tcPr>
          <w:p>
            <w:r>
              <w:rPr>
                <w:sz w:val="19"/>
              </w:rPr>
              <w:t>Target Resolution: Enter or confirm target folder name (Suggested: &lt;Derived_Name&gt;):</w:t>
            </w:r>
          </w:p>
        </w:tc>
        <w:tc>
          <w:tcPr>
            <w:tcW w:type="dxa" w:w="1440"/>
            <w:tcMar>
              <w:top w:w="60" w:type="dxa"/>
              <w:bottom w:w="60" w:type="dxa"/>
              <w:left w:w="100" w:type="dxa"/>
              <w:right w:w="100" w:type="dxa"/>
            </w:tcMar>
          </w:tcPr>
          <w:p>
            <w:r>
              <w:rPr>
                <w:sz w:val="19"/>
              </w:rPr>
              <w:t>[y/n/&lt;target_folder_name&gt;]</w:t>
            </w:r>
          </w:p>
        </w:tc>
        <w:tc>
          <w:tcPr>
            <w:tcW w:type="dxa" w:w="2880"/>
            <w:tcMar>
              <w:top w:w="60" w:type="dxa"/>
              <w:bottom w:w="60" w:type="dxa"/>
              <w:left w:w="100" w:type="dxa"/>
              <w:right w:w="100" w:type="dxa"/>
            </w:tcMar>
          </w:tcPr>
          <w:p>
            <w:r>
              <w:rPr>
                <w:sz w:val="19"/>
              </w:rPr>
              <w:t>y accepts derived name; &lt;target_folder_name&gt; sets custom folder. Creates target folder &lt;target_folder_name&gt; (&lt;target_folder_name&gt;_LH, notebooks, orchestrator, semantic model). Target LH creation deferred. n exits.</w:t>
            </w:r>
          </w:p>
        </w:tc>
      </w:tr>
      <w:tr>
        <w:tc>
          <w:tcPr>
            <w:tcW w:type="dxa" w:w="720"/>
            <w:tcMar>
              <w:top w:w="60" w:type="dxa"/>
              <w:bottom w:w="60" w:type="dxa"/>
              <w:left w:w="100" w:type="dxa"/>
              <w:right w:w="100" w:type="dxa"/>
            </w:tcMar>
          </w:tcPr>
          <w:p>
            <w:r>
              <w:rPr>
                <w:sz w:val="19"/>
              </w:rPr>
              <w:t>G2b</w:t>
            </w:r>
          </w:p>
        </w:tc>
        <w:tc>
          <w:tcPr>
            <w:tcW w:type="dxa" w:w="1152"/>
            <w:tcMar>
              <w:top w:w="60" w:type="dxa"/>
              <w:bottom w:w="60" w:type="dxa"/>
              <w:left w:w="100" w:type="dxa"/>
              <w:right w:w="100" w:type="dxa"/>
            </w:tcMar>
          </w:tcPr>
          <w:p>
            <w:r>
              <w:rPr>
                <w:sz w:val="19"/>
              </w:rPr>
              <w:t>Setup</w:t>
            </w:r>
          </w:p>
        </w:tc>
        <w:tc>
          <w:tcPr>
            <w:tcW w:type="dxa" w:w="3600"/>
            <w:tcMar>
              <w:top w:w="60" w:type="dxa"/>
              <w:bottom w:w="60" w:type="dxa"/>
              <w:left w:w="100" w:type="dxa"/>
              <w:right w:w="100" w:type="dxa"/>
            </w:tcMar>
          </w:tcPr>
          <w:p>
            <w:r>
              <w:rPr>
                <w:sz w:val="19"/>
              </w:rPr>
              <w:t>Target folder created (Target LH created on execution). Show file details in folder &lt;folder&gt;?</w:t>
            </w:r>
          </w:p>
        </w:tc>
        <w:tc>
          <w:tcPr>
            <w:tcW w:type="dxa" w:w="1440"/>
            <w:tcMar>
              <w:top w:w="60" w:type="dxa"/>
              <w:bottom w:w="60" w:type="dxa"/>
              <w:left w:w="100" w:type="dxa"/>
              <w:right w:w="100" w:type="dxa"/>
            </w:tcMar>
          </w:tcPr>
          <w:p>
            <w:r>
              <w:rPr>
                <w:sz w:val="19"/>
              </w:rPr>
              <w:t>[y/n]</w:t>
            </w:r>
          </w:p>
        </w:tc>
        <w:tc>
          <w:tcPr>
            <w:tcW w:type="dxa" w:w="2880"/>
            <w:tcMar>
              <w:top w:w="60" w:type="dxa"/>
              <w:bottom w:w="60" w:type="dxa"/>
              <w:left w:w="100" w:type="dxa"/>
              <w:right w:w="100" w:type="dxa"/>
            </w:tcMar>
          </w:tcPr>
          <w:p>
            <w:r>
              <w:rPr>
                <w:sz w:val="19"/>
              </w:rPr>
              <w:t>y displays file sizes, partition paths, and raw stem table mappings. n exits.</w:t>
            </w:r>
          </w:p>
        </w:tc>
      </w:tr>
      <w:tr>
        <w:tc>
          <w:tcPr>
            <w:tcW w:type="dxa" w:w="720"/>
            <w:tcMar>
              <w:top w:w="60" w:type="dxa"/>
              <w:bottom w:w="60" w:type="dxa"/>
              <w:left w:w="100" w:type="dxa"/>
              <w:right w:w="100" w:type="dxa"/>
            </w:tcMar>
          </w:tcPr>
          <w:p>
            <w:r>
              <w:rPr>
                <w:sz w:val="19"/>
              </w:rPr>
              <w:t>G4</w:t>
            </w:r>
          </w:p>
        </w:tc>
        <w:tc>
          <w:tcPr>
            <w:tcW w:type="dxa" w:w="1152"/>
            <w:tcMar>
              <w:top w:w="60" w:type="dxa"/>
              <w:bottom w:w="60" w:type="dxa"/>
              <w:left w:w="100" w:type="dxa"/>
              <w:right w:w="100" w:type="dxa"/>
            </w:tcMar>
          </w:tcPr>
          <w:p>
            <w:r>
              <w:rPr>
                <w:sz w:val="19"/>
              </w:rPr>
              <w:t>Profile</w:t>
            </w:r>
          </w:p>
        </w:tc>
        <w:tc>
          <w:tcPr>
            <w:tcW w:type="dxa" w:w="3600"/>
            <w:tcMar>
              <w:top w:w="60" w:type="dxa"/>
              <w:bottom w:w="60" w:type="dxa"/>
              <w:left w:w="100" w:type="dxa"/>
              <w:right w:w="100" w:type="dxa"/>
            </w:tcMar>
          </w:tcPr>
          <w:p>
            <w:r>
              <w:rPr>
                <w:sz w:val="19"/>
              </w:rPr>
              <w:t>Run data profiling on &lt;Target&gt; raw tables?</w:t>
            </w:r>
          </w:p>
        </w:tc>
        <w:tc>
          <w:tcPr>
            <w:tcW w:type="dxa" w:w="1440"/>
            <w:tcMar>
              <w:top w:w="60" w:type="dxa"/>
              <w:bottom w:w="60" w:type="dxa"/>
              <w:left w:w="100" w:type="dxa"/>
              <w:right w:w="100" w:type="dxa"/>
            </w:tcMar>
          </w:tcPr>
          <w:p>
            <w:r>
              <w:rPr>
                <w:sz w:val="19"/>
              </w:rPr>
              <w:t>[y/n]</w:t>
            </w:r>
          </w:p>
        </w:tc>
        <w:tc>
          <w:tcPr>
            <w:tcW w:type="dxa" w:w="2880"/>
            <w:tcMar>
              <w:top w:w="60" w:type="dxa"/>
              <w:bottom w:w="60" w:type="dxa"/>
              <w:left w:w="100" w:type="dxa"/>
              <w:right w:w="100" w:type="dxa"/>
            </w:tcMar>
          </w:tcPr>
          <w:p>
            <w:r>
              <w:rPr>
                <w:sz w:val="19"/>
              </w:rPr>
              <w:t>y runs read-only Livy session profiling. n exits.</w:t>
            </w:r>
          </w:p>
        </w:tc>
      </w:tr>
      <w:tr>
        <w:tc>
          <w:tcPr>
            <w:tcW w:type="dxa" w:w="720"/>
            <w:tcMar>
              <w:top w:w="60" w:type="dxa"/>
              <w:bottom w:w="60" w:type="dxa"/>
              <w:left w:w="100" w:type="dxa"/>
              <w:right w:w="100" w:type="dxa"/>
            </w:tcMar>
          </w:tcPr>
          <w:p>
            <w:r>
              <w:rPr>
                <w:sz w:val="19"/>
              </w:rPr>
              <w:t>G5</w:t>
            </w:r>
          </w:p>
        </w:tc>
        <w:tc>
          <w:tcPr>
            <w:tcW w:type="dxa" w:w="1152"/>
            <w:tcMar>
              <w:top w:w="60" w:type="dxa"/>
              <w:bottom w:w="60" w:type="dxa"/>
              <w:left w:w="100" w:type="dxa"/>
              <w:right w:w="100" w:type="dxa"/>
            </w:tcMar>
          </w:tcPr>
          <w:p>
            <w:r>
              <w:rPr>
                <w:sz w:val="19"/>
              </w:rPr>
              <w:t>Profile</w:t>
            </w:r>
          </w:p>
        </w:tc>
        <w:tc>
          <w:tcPr>
            <w:tcW w:type="dxa" w:w="3600"/>
            <w:tcMar>
              <w:top w:w="60" w:type="dxa"/>
              <w:bottom w:w="60" w:type="dxa"/>
              <w:left w:w="100" w:type="dxa"/>
              <w:right w:w="100" w:type="dxa"/>
            </w:tcMar>
          </w:tcPr>
          <w:p>
            <w:r>
              <w:rPr>
                <w:sz w:val="19"/>
              </w:rPr>
              <w:t>Are you satisfied with the data profile?</w:t>
            </w:r>
          </w:p>
        </w:tc>
        <w:tc>
          <w:tcPr>
            <w:tcW w:type="dxa" w:w="1440"/>
            <w:tcMar>
              <w:top w:w="60" w:type="dxa"/>
              <w:bottom w:w="60" w:type="dxa"/>
              <w:left w:w="100" w:type="dxa"/>
              <w:right w:w="100" w:type="dxa"/>
            </w:tcMar>
          </w:tcPr>
          <w:p>
            <w:r>
              <w:rPr>
                <w:sz w:val="19"/>
              </w:rPr>
              <w:t>[APPROVE/DECLINE]</w:t>
            </w:r>
          </w:p>
        </w:tc>
        <w:tc>
          <w:tcPr>
            <w:tcW w:type="dxa" w:w="2880"/>
            <w:tcMar>
              <w:top w:w="60" w:type="dxa"/>
              <w:bottom w:w="60" w:type="dxa"/>
              <w:left w:w="100" w:type="dxa"/>
              <w:right w:w="100" w:type="dxa"/>
            </w:tcMar>
          </w:tcPr>
          <w:p>
            <w:r>
              <w:rPr>
                <w:sz w:val="19"/>
              </w:rPr>
              <w:t>APPROVE saves attributes in session memory -&gt; G6. DECLINE runs issues loop.</w:t>
            </w:r>
          </w:p>
        </w:tc>
      </w:tr>
    </w:tbl>
    <w:p/>
    <w:p>
      <w:pPr>
        <w:pStyle w:val="Heading1"/>
      </w:pPr>
      <w:r>
        <w:rPr>
          <w:color w:val="003366"/>
        </w:rPr>
        <w:t>5. Data Profiling PySpark Implementation Snippet</w:t>
      </w:r>
    </w:p>
    <w:tbl>
      <w:tblPr>
        <w:tblW w:type="auto" w:w="0"/>
        <w:jc w:val="center"/>
        <w:tblLook w:firstColumn="1" w:firstRow="1" w:lastColumn="0" w:lastRow="0" w:noHBand="0" w:noVBand="1" w:val="04A0"/>
      </w:tblPr>
      <w:tblGrid>
        <w:gridCol w:w="8640"/>
      </w:tblGrid>
      <w:tr>
        <w:tc>
          <w:tcPr>
            <w:tcW w:type="dxa" w:w="8640"/>
            <w:shd w:fill="1E1E1E"/>
            <w:tcMar>
              <w:top w:w="100" w:type="dxa"/>
              <w:bottom w:w="100" w:type="dxa"/>
              <w:left w:w="150" w:type="dxa"/>
              <w:right w:w="150" w:type="dxa"/>
            </w:tcMar>
          </w:tcPr>
          <w:p>
            <w:r>
              <w:rPr>
                <w:rFonts w:ascii="Consolas" w:hAnsi="Consolas"/>
                <w:color w:val="DCDCDC"/>
                <w:sz w:val="19"/>
              </w:rPr>
              <w:t># Read-Only Data Profiling Engine (Livy Session)</w:t>
              <w:br/>
              <w:t>from pyspark.sql import functions as F</w:t>
              <w:br/>
              <w:br/>
              <w:t>def profile_raw_table(df, table_name):</w:t>
              <w:br/>
              <w:t xml:space="preserve">    total_count = df.count()</w:t>
              <w:br/>
              <w:t xml:space="preserve">    profile_results = []</w:t>
              <w:br/>
              <w:t xml:space="preserve">    for col_name, data_type in df.dtypes:</w:t>
              <w:br/>
              <w:t xml:space="preserve">        null_count = df.filter(F.col(col_name).isNull() | (F.trim(F.col(col_name)) == '')).count()</w:t>
              <w:br/>
              <w:t xml:space="preserve">        distinct_count = df.select(col_name).distinct().count()</w:t>
              <w:br/>
              <w:t xml:space="preserve">        profile_results.append({</w:t>
              <w:br/>
              <w:t xml:space="preserve">            'column': col_name,</w:t>
              <w:br/>
              <w:t xml:space="preserve">            'type': data_type,</w:t>
              <w:br/>
              <w:t xml:space="preserve">            'null_pct': round((null_count / total_count) * 100, 2),</w:t>
              <w:br/>
              <w:t xml:space="preserve">            'cardinality': distinct_count</w:t>
              <w:br/>
              <w:t xml:space="preserve">        })</w:t>
              <w:br/>
              <w:t xml:space="preserve">    return profile_results</w:t>
            </w:r>
          </w:p>
        </w:tc>
      </w:tr>
    </w:tbl>
    <w:p/>
    <w:p>
      <w:pPr>
        <w:pStyle w:val="Heading1"/>
      </w:pPr>
      <w:r>
        <w:rPr>
          <w:color w:val="003366"/>
        </w:rPr>
        <w:t>6. End-to-End Execution Walkthrough &amp; Transcript</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Pr>
          <w:p>
            <w:r>
              <w:rPr>
                <w:rFonts w:ascii="Calibri" w:hAnsi="Calibri"/>
                <w:i/>
                <w:color w:val="003366"/>
                <w:sz w:val="21"/>
              </w:rPr>
              <w:t>USER: START</w:t>
              <w:br/>
              <w:t>AI: Welcome to AI Native Data Engineering on Microsoft Fabric.</w:t>
              <w:br/>
              <w:t>Checking Fabric workspace authentication...</w:t>
              <w:br/>
              <w:t>Active Connection Verified: User logged into Tenant 'DataSonic Global'.</w:t>
              <w:br/>
              <w:br/>
              <w:t>G0b: Select Workspace: press 1 for Production_Analytics, 2 for DataSonic_Workspace, or S to stop.</w:t>
              <w:br/>
              <w:t>USER: 2</w:t>
              <w:br/>
              <w:t>AI: Workspace set to 'DataSonic_Workspace'.</w:t>
              <w:br/>
              <w:br/>
              <w:t>G1: Should I list the lakehouses in DataSonic_Workspace? [y/n]</w:t>
              <w:br/>
              <w:t>USER: y</w:t>
              <w:br/>
              <w:t>AI: Available Lakehouses:</w:t>
              <w:br/>
              <w:t>1. Raw_Insurance_LH</w:t>
              <w:br/>
              <w:t>2. Financial_Landing_LH</w:t>
              <w:br/>
              <w:br/>
              <w:t>G1a: Select Action: 1 Start new project, 2 Resume existing project, 3 Stop</w:t>
              <w:br/>
              <w:t>USER: 1</w:t>
              <w:br/>
              <w:t>AI: Selected Action: Start new project. Scanning folders in Raw_Insurance_LH...</w:t>
              <w:br/>
              <w:t>Discovered Raw Source Folder: 'Marine'</w:t>
              <w:br/>
              <w:br/>
              <w:t>G2: Target Resolution: Enter or confirm target folder name (Suggested: Marine): [y/n/&lt;target_folder_name&gt;]</w:t>
              <w:br/>
              <w:t>USER: y</w:t>
              <w:br/>
              <w:t>AI: Target folder 'Marine' created (Target Lakehouse 'Marine_LH' will be created on notebook/orchestrator execution).</w:t>
              <w:br/>
              <w:br/>
              <w:t>G2b: Show file details in folder 'Marine'? [y/n]</w:t>
              <w:br/>
              <w:t>USER: y</w:t>
              <w:br/>
              <w:t>AI: File Details in Raw_Insurance_LH/Files/Marine:</w:t>
              <w:br/>
              <w:t>- marine_policy.csv (14.2 MB, 15,420 rows) -&gt; Stem: marine_policy</w:t>
              <w:br/>
              <w:t>- marine_claim.csv (4.8 MB, 4,310 rows) -&gt; Stem: marine_claim</w:t>
              <w:br/>
              <w:br/>
              <w:t>G4: Run data profiling on Marine raw tables? [y/n]</w:t>
              <w:br/>
              <w:t>USER: y</w:t>
              <w:br/>
              <w:t>AI: Executing read-only Livy profiling session on marine_policy and marine_claim...</w:t>
              <w:br/>
              <w:t>Profiling Summary:</w:t>
              <w:br/>
              <w:t>- marine_policy: 15,420 rows, 18 columns. Key candidate: policy_no. Date format detected: yyyy/MM/dd.</w:t>
              <w:br/>
              <w:t>- marine_claim: 4,310 rows, 12 columns. Key candidate: claim_id. Date format detected: yyyy/MM/dd.</w:t>
              <w:br/>
              <w:br/>
              <w:t>G5: Are you satisfied with the data profile? [APPROVE/DECLINE]</w:t>
              <w:br/>
              <w:t>USER: APPROVE</w:t>
              <w:br/>
              <w:t>AI: Data profile approved. Profile attributes stored in session execution memory. Ready for Bronze layer generation (Gate G6).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