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LIQUIDITY AGENT</w:t>
      </w:r>
    </w:p>
    <w:p>
      <w:pPr>
        <w:spacing w:after="120" w:before="0"/>
        <w:jc w:val="center"/>
      </w:pPr>
      <w:r>
        <w:rPr>
          <w:rFonts w:ascii="Arial" w:cs="Arial" w:eastAsia="Arial" w:hAnsi="Arial"/>
          <w:i/>
          <w:iCs/>
          <w:color w:val="404040"/>
          <w:sz w:val="28"/>
          <w:szCs w:val="28"/>
        </w:rPr>
        <w:t xml:space="preserve">Complete Reference: Calculations, Definitions &amp; Architecture</w:t>
      </w:r>
    </w:p>
    <w:p>
      <w:pPr>
        <w:pBdr>
          <w:bottom w:val="single" w:color="2E75B6" w:sz="6"/>
        </w:pBdr>
        <w:spacing w:after="1440" w:before="120"/>
        <w:jc w:val="center"/>
      </w:pPr>
      <w:r>
        <w:rPr>
          <w:rFonts w:ascii="Arial" w:cs="Arial" w:eastAsia="Arial" w:hAnsi="Arial"/>
          <w:color w:val="2E75B6"/>
          <w:sz w:val="22"/>
          <w:szCs w:val="22"/>
        </w:rPr>
        <w:t xml:space="preserve">Institutional-Grade Equity Liquidity &amp; Exit-Risk Scoring Engine</w:t>
      </w:r>
    </w:p>
    <w:p>
      <w:pPr>
        <w:pStyle w:val="Heading1"/>
        <w:shd w:fill="1F4E79" w:val="clear"/>
        <w:spacing w:after="120" w:before="360"/>
        <w:ind w:left="120" w:right="120"/>
      </w:pPr>
      <w:r>
        <w:rPr>
          <w:rFonts w:ascii="Arial" w:cs="Arial" w:eastAsia="Arial" w:hAnsi="Arial"/>
          <w:b/>
          <w:bCs/>
          <w:color w:val="FFFFFF"/>
          <w:sz w:val="32"/>
          <w:szCs w:val="32"/>
        </w:rPr>
        <w:t xml:space="preserve">1.  Overview</w:t>
      </w:r>
    </w:p>
    <w:p>
      <w:pPr>
        <w:spacing w:after="60" w:before="60" w:line="276"/>
      </w:pPr>
      <w:r>
        <w:rPr>
          <w:rFonts w:ascii="Arial" w:cs="Arial" w:eastAsia="Arial" w:hAnsi="Arial"/>
          <w:color w:val="404040"/>
          <w:sz w:val="20"/>
          <w:szCs w:val="20"/>
        </w:rPr>
        <w:t xml:space="preserve">The Liquidity Agent is an institutional-grade equity liquidity and exit-risk scoring engine. It ingests 90 days of live OHLCV and structural market data from yfinance, computes a battery of liquidity, volatility and market-structure metrics, runs them through a rule-based scoring matrix, and emits a tiered go/no-go signal (Tier 1 Unrestricted to Tier 4 Blacklist) accompanied by a plain-English narrative and a data confidence score.</w:t>
      </w:r>
    </w:p>
    <w:p>
      <w:pPr>
        <w:spacing w:after="40" w:before="40"/>
      </w:pPr>
      <w:r>
        <w:t xml:space="preserve"/>
      </w:r>
    </w:p>
    <w:p>
      <w:pPr>
        <w:spacing w:after="60" w:before="60" w:line="276"/>
      </w:pPr>
      <w:r>
        <w:rPr>
          <w:rFonts w:ascii="Arial" w:cs="Arial" w:eastAsia="Arial" w:hAnsi="Arial"/>
          <w:color w:val="404040"/>
          <w:sz w:val="20"/>
          <w:szCs w:val="20"/>
        </w:rPr>
        <w:t xml:space="preserve">The agent is fully runnable offline using deterministic fallback logic. When an OpenAI API key is present, an LLM layer provides qualitative analyst commentary and answers free-form natural-language questions about any ticker or basket of tickers.</w:t>
      </w:r>
    </w:p>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2.  Pipeline</w:t>
      </w:r>
    </w:p>
    <w:p>
      <w:pPr>
        <w:spacing w:after="60" w:before="60" w:line="276"/>
      </w:pPr>
      <w:r>
        <w:rPr>
          <w:rFonts w:ascii="Arial" w:cs="Arial" w:eastAsia="Arial" w:hAnsi="Arial"/>
          <w:color w:val="404040"/>
          <w:sz w:val="20"/>
          <w:szCs w:val="20"/>
        </w:rPr>
        <w:t xml:space="preserve">The pipeline has eight sequential stages:</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920"/>
      </w:tblGrid>
      <w:tr>
        <w:tc>
          <w:tcPr>
            <w:tcW w:type="dxa" w:w="5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26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692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color w:val="1F4E79"/>
                <w:sz w:val="18"/>
                <w:szCs w:val="18"/>
              </w:rPr>
              <w:t xml:space="preserve">1</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data_ingestion/yfinance_loader.py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Fetch last 90 trading days OHLCV + float, short%, institutional data, quarterly cashflow, market cap</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2.1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metrics/adv_dollar.py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Average Daily Dollar Volume (30d &amp; 90d), 99th-percentile clipped</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color w:val="1F4E79"/>
                <w:sz w:val="18"/>
                <w:szCs w:val="18"/>
              </w:rPr>
              <w:t xml:space="preserve">2.2</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metrics/volume_cv.py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Volume Coefficient of Variation (30d &amp; 90d)</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2.3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metrics/amihud.py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Amihud Illiquidity Ratio (30d rolling mean)</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color w:val="1F4E79"/>
                <w:sz w:val="18"/>
                <w:szCs w:val="18"/>
              </w:rPr>
              <w:t xml:space="preserve">3</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structural/constraints.py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Float shares, short interest, top-10 institutional concentration, buyback BIR &amp; yield</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liquidation/dtl.py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Days-To-Liquidate at 1% and 5% of float</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color w:val="1F4E79"/>
                <w:sz w:val="18"/>
                <w:szCs w:val="18"/>
              </w:rPr>
              <w:t xml:space="preserve">5</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scoring/rules.py, tiers.py, overrides.py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Rule-based dimension scoring, Tier 1-4 assignment, Mirage (short-squeeze) override</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Out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output/dashboard.py, narrative.py, confidence.py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Terminal dashboard, plain-English narrative, data-confidence report</w:t>
            </w:r>
          </w:p>
        </w:tc>
      </w:tr>
      <w:tr>
        <w:tc>
          <w:tcPr>
            <w:tcW w:type="dxa" w:w="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color w:val="1F4E79"/>
                <w:sz w:val="18"/>
                <w:szCs w:val="18"/>
              </w:rPr>
              <w:t xml:space="preserve">Agent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agent/llm_agent.py, interpreter.py</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Natural-language query layer; LLM or deterministic fallback; ticker resolver with typo tolerance</w:t>
            </w:r>
          </w:p>
        </w:tc>
      </w:tr>
    </w:tbl>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3.  Data Ingestion</w:t>
      </w:r>
    </w:p>
    <w:p>
      <w:pPr>
        <w:spacing w:after="60" w:before="60" w:line="276"/>
      </w:pPr>
      <w:r>
        <w:rPr>
          <w:rFonts w:ascii="Arial" w:cs="Arial" w:eastAsia="Arial" w:hAnsi="Arial"/>
          <w:color w:val="404040"/>
          <w:sz w:val="20"/>
          <w:szCs w:val="20"/>
        </w:rPr>
        <w:t xml:space="preserve">All market data is fetched once per query via yfinance and bundled into a MarketData dataclass. Downstream modules never re-fetch — they receive MarketData and operate on it.</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3.1  Lookback Window</w:t>
      </w:r>
    </w:p>
    <w:p>
      <w:pPr>
        <w:spacing w:after="60" w:before="60" w:line="276"/>
      </w:pPr>
      <w:r>
        <w:rPr>
          <w:rFonts w:ascii="Arial" w:cs="Arial" w:eastAsia="Arial" w:hAnsi="Arial"/>
          <w:color w:val="404040"/>
          <w:sz w:val="20"/>
          <w:szCs w:val="20"/>
        </w:rPr>
        <w:t xml:space="preserve">The agent requests ~130 calendar days of OHLCV (90 trading days x 1.45 calendar pad) to ensure at least 90 usable trading rows after weekends and holidays are removed. Data is trimmed to the last 90 trading days before any metric is computed.</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3.2  Fields Collected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70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ohlcv</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DataFrame of Open, High, Low, Close, Volume indexed by trading 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float_shares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Number of shares available to the public (floatShares from yfinance info)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shares_outstanding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Total shares issued by the company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short_percent_float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Fraction of the float sold short (shortPercentOfFloat)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top10_institutional_pct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Fraction of shares held by the top 10 institutional owners (heldPercentInstitutions)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quarterly_cashflow</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yfinance quarterly cashflow DataFrame used for buyback signal extraction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market_cap</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Current market capitalisation in USD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as_of</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UTC timestamp of the fetch (used for data-age calculations)</w:t>
            </w:r>
          </w:p>
        </w:tc>
      </w:tr>
    </w:tbl>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4.  Metrics</w:t>
      </w:r>
    </w:p>
    <w:p>
      <w:pPr>
        <w:pStyle w:val="Heading2"/>
        <w:pBdr>
          <w:bottom w:val="single" w:color="2E75B6" w:sz="4"/>
        </w:pBdr>
        <w:spacing w:after="80" w:before="280"/>
      </w:pPr>
      <w:r>
        <w:rPr>
          <w:rFonts w:ascii="Arial" w:cs="Arial" w:eastAsia="Arial" w:hAnsi="Arial"/>
          <w:b/>
          <w:bCs/>
          <w:color w:val="1F4E79"/>
          <w:sz w:val="26"/>
          <w:szCs w:val="26"/>
        </w:rPr>
        <w:t xml:space="preserve">4.1  Moving Averages (SMA &amp; EMA)</w:t>
      </w:r>
    </w:p>
    <w:p>
      <w:pPr>
        <w:spacing w:after="60" w:before="60" w:line="276"/>
      </w:pPr>
      <w:r>
        <w:rPr>
          <w:rFonts w:ascii="Arial" w:cs="Arial" w:eastAsia="Arial" w:hAnsi="Arial"/>
          <w:color w:val="404040"/>
          <w:sz w:val="20"/>
          <w:szCs w:val="20"/>
        </w:rPr>
        <w:t xml:space="preserve">Both simple and exponential moving averages are available for internal smoothing. The key difference is how they handle old data rolling off:</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Simple Moving Average (SMA)</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SMA_t  =  (1/n) * SUM(P_{t-i}) for i = 0 to n-1</w:t>
      </w:r>
    </w:p>
    <w:p>
      <w:pPr>
        <w:spacing w:after="60" w:before="60" w:line="276"/>
      </w:pPr>
      <w:r>
        <w:rPr>
          <w:rFonts w:ascii="Arial" w:cs="Arial" w:eastAsia="Arial" w:hAnsi="Arial"/>
          <w:color w:val="404040"/>
          <w:sz w:val="20"/>
          <w:szCs w:val="20"/>
        </w:rPr>
        <w:t xml:space="preserve">Weights every observation in the window equally. When a spike rolls out of the window the SMA drops abruptly — described in the codebase as 'dropping data off a cliff'.</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Exponential Moving Average (EMA)</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EMA_t  =  P_t * alpha  +  EMA_{t-1} * (1 - alpha)     where  alpha = 2 / (n + 1)</w:t>
      </w:r>
    </w:p>
    <w:p>
      <w:pPr>
        <w:spacing w:after="60" w:before="60" w:line="276"/>
      </w:pPr>
      <w:r>
        <w:rPr>
          <w:rFonts w:ascii="Arial" w:cs="Arial" w:eastAsia="Arial" w:hAnsi="Arial"/>
          <w:color w:val="404040"/>
          <w:sz w:val="20"/>
          <w:szCs w:val="20"/>
        </w:rPr>
        <w:t xml:space="preserve">More recent observations receive higher weight. Old data decays smoothly rather than falling off a cliff. Used in contexts where sudden historical spikes should not abruptly distort the current estimate.</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4.2  Average Daily Dollar Volume (ADV$)</w:t>
      </w:r>
    </w:p>
    <w:p>
      <w:pPr>
        <w:spacing w:after="60" w:before="60" w:line="276"/>
      </w:pPr>
      <w:r>
        <w:rPr>
          <w:rFonts w:ascii="Arial" w:cs="Arial" w:eastAsia="Arial" w:hAnsi="Arial"/>
          <w:color w:val="404040"/>
          <w:sz w:val="20"/>
          <w:szCs w:val="20"/>
        </w:rPr>
        <w:t xml:space="preserve">ADV$ is the headline absolute-liquidity measure. It answers: how many dollars of this stock change hands on a typical day?</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Step 1 — Daily Dollar Volume</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DV_t  =  Close_t  x  Volume_t</w:t>
      </w:r>
    </w:p>
    <w:p>
      <w:pPr>
        <w:pStyle w:val="Heading3"/>
        <w:spacing w:after="60" w:before="200"/>
      </w:pPr>
      <w:r>
        <w:rPr>
          <w:rFonts w:ascii="Arial" w:cs="Arial" w:eastAsia="Arial" w:hAnsi="Arial"/>
          <w:b/>
          <w:bCs/>
          <w:color w:val="404040"/>
          <w:sz w:val="22"/>
          <w:szCs w:val="22"/>
        </w:rPr>
        <w:t xml:space="preserve">Step 2 — Outlier Clipping</w:t>
      </w:r>
    </w:p>
    <w:p>
      <w:pPr>
        <w:spacing w:after="60" w:before="60" w:line="276"/>
      </w:pPr>
      <w:r>
        <w:rPr>
          <w:rFonts w:ascii="Arial" w:cs="Arial" w:eastAsia="Arial" w:hAnsi="Arial"/>
          <w:color w:val="404040"/>
          <w:sz w:val="20"/>
          <w:szCs w:val="20"/>
        </w:rPr>
        <w:t xml:space="preserve">DV_t is clipped at the 99th percentile across the full history to remove anomalous single-day spikes (halted-stock reopenings, index-rebalancing extremes, data errors).</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DV_t_clipped  =  min( DV_t,  percentile_99(DV) )</w:t>
      </w:r>
    </w:p>
    <w:p>
      <w:pPr>
        <w:pStyle w:val="Heading3"/>
        <w:spacing w:after="60" w:before="200"/>
      </w:pPr>
      <w:r>
        <w:rPr>
          <w:rFonts w:ascii="Arial" w:cs="Arial" w:eastAsia="Arial" w:hAnsi="Arial"/>
          <w:b/>
          <w:bCs/>
          <w:color w:val="404040"/>
          <w:sz w:val="22"/>
          <w:szCs w:val="22"/>
        </w:rPr>
        <w:t xml:space="preserve">Step 3 — Rolling Means</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ADV$_30d  =  mean( DV_clipped over last 30 trading days )</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ADV$_90d  =  mean( DV_clipped over last 90 trading days )</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Derived: Liquidity Drain Ratio</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LDR  =  ADV$_30d  /  ADV$_90d</w:t>
      </w:r>
    </w:p>
    <w:p>
      <w:pPr>
        <w:spacing w:after="60" w:before="60" w:line="276"/>
      </w:pPr>
      <w:r>
        <w:rPr>
          <w:rFonts w:ascii="Arial" w:cs="Arial" w:eastAsia="Arial" w:hAnsi="Arial"/>
          <w:color w:val="404040"/>
          <w:sz w:val="20"/>
          <w:szCs w:val="20"/>
        </w:rPr>
        <w:t xml:space="preserve">A ratio well below 1.0 signals that recent trading activity is materially below the longer-term baseline — structural liquidity drain. The agent flags this when LDR &lt; 0.5 (30-day volume is less than half of 90-day average).</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Scoring Thresholds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c>
          <w:tcPr>
            <w:tcW w:type="dxa" w:w="3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ADV$30d Range</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w:t>
            </w:r>
          </w:p>
        </w:tc>
        <w:tc>
          <w:tcPr>
            <w:tcW w:type="dxa" w:w="1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Band</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&gt;= $10,000,000</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0</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Low</w:t>
            </w:r>
          </w:p>
        </w:tc>
      </w:tr>
      <w:tr>
        <w:tc>
          <w:tcPr>
            <w:tcW w:type="dxa" w:w="30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$2,000,000 – $9,999,999</w:t>
            </w:r>
          </w:p>
        </w:tc>
        <w:tc>
          <w:tcPr>
            <w:tcW w:type="dxa" w:w="15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1</w:t>
            </w:r>
          </w:p>
        </w:tc>
        <w:tc>
          <w:tcPr>
            <w:tcW w:type="dxa" w:w="15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$500,000 – $1,999,999</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2</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&lt; $500,000</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3</w:t>
            </w:r>
          </w:p>
        </w:tc>
        <w:tc>
          <w:tcPr>
            <w:tcW w:type="dxa" w:w="1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Critical</w:t>
            </w:r>
          </w:p>
        </w:tc>
      </w:tr>
    </w:tbl>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4.3  Volume Coefficient of Variation (Volume CV)</w:t>
      </w:r>
    </w:p>
    <w:p>
      <w:pPr>
        <w:spacing w:after="60" w:before="60" w:line="276"/>
      </w:pPr>
      <w:r>
        <w:rPr>
          <w:rFonts w:ascii="Arial" w:cs="Arial" w:eastAsia="Arial" w:hAnsi="Arial"/>
          <w:color w:val="404040"/>
          <w:sz w:val="20"/>
          <w:szCs w:val="20"/>
        </w:rPr>
        <w:t xml:space="preserve">ADV$ tells you the average volume but not how reliable that average is. Volume CV measures the day-to-day stability of trading activity. A high CV means the average is a statistical illusion driven by a few hyperactive days.</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CV_k  =  std(Volume over k days)  /  mean(Volume over k days)</w:t>
      </w:r>
    </w:p>
    <w:p>
      <w:pPr>
        <w:spacing w:after="60" w:before="60" w:line="276"/>
      </w:pPr>
      <w:r>
        <w:rPr>
          <w:rFonts w:ascii="Arial" w:cs="Arial" w:eastAsia="Arial" w:hAnsi="Arial"/>
          <w:color w:val="404040"/>
          <w:sz w:val="20"/>
          <w:szCs w:val="20"/>
        </w:rPr>
        <w:t xml:space="preserve">Both 30-day and 90-day windows are computed. The 30-day CV is the scored dimension.</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Interpretation</w:t>
      </w:r>
    </w:p>
    <w:p>
      <w:pPr>
        <w:pStyle w:val="ListParagraph"/>
        <w:numPr>
          <w:ilvl w:val="0"/>
          <w:numId w:val="2"/>
        </w:numPr>
        <w:spacing w:after="40" w:before="40"/>
      </w:pPr>
      <w:r>
        <w:rPr>
          <w:rFonts w:ascii="Arial" w:cs="Arial" w:eastAsia="Arial" w:hAnsi="Arial"/>
          <w:color w:val="404040"/>
          <w:sz w:val="20"/>
          <w:szCs w:val="20"/>
        </w:rPr>
        <w:t xml:space="preserve">CV &lt; 0.30 — very steady, predictable flow; ADV is a reliable estimate</w:t>
      </w:r>
    </w:p>
    <w:p>
      <w:pPr>
        <w:pStyle w:val="ListParagraph"/>
        <w:numPr>
          <w:ilvl w:val="0"/>
          <w:numId w:val="2"/>
        </w:numPr>
        <w:spacing w:after="40" w:before="40"/>
      </w:pPr>
      <w:r>
        <w:rPr>
          <w:rFonts w:ascii="Arial" w:cs="Arial" w:eastAsia="Arial" w:hAnsi="Arial"/>
          <w:color w:val="404040"/>
          <w:sz w:val="20"/>
          <w:szCs w:val="20"/>
        </w:rPr>
        <w:t xml:space="preserve">CV 0.30–0.60 — some variability; still acceptable</w:t>
      </w:r>
    </w:p>
    <w:p>
      <w:pPr>
        <w:pStyle w:val="ListParagraph"/>
        <w:numPr>
          <w:ilvl w:val="0"/>
          <w:numId w:val="2"/>
        </w:numPr>
        <w:spacing w:after="40" w:before="40"/>
      </w:pPr>
      <w:r>
        <w:rPr>
          <w:rFonts w:ascii="Arial" w:cs="Arial" w:eastAsia="Arial" w:hAnsi="Arial"/>
          <w:color w:val="404040"/>
          <w:sz w:val="20"/>
          <w:szCs w:val="20"/>
        </w:rPr>
        <w:t xml:space="preserve">CV 0.60–1.00 — erratic; realised slippage may differ meaningfully from model</w:t>
      </w:r>
    </w:p>
    <w:p>
      <w:pPr>
        <w:pStyle w:val="ListParagraph"/>
        <w:numPr>
          <w:ilvl w:val="0"/>
          <w:numId w:val="2"/>
        </w:numPr>
        <w:spacing w:after="40" w:before="40"/>
      </w:pPr>
      <w:r>
        <w:rPr>
          <w:rFonts w:ascii="Arial" w:cs="Arial" w:eastAsia="Arial" w:hAnsi="Arial"/>
          <w:color w:val="404040"/>
          <w:sz w:val="20"/>
          <w:szCs w:val="20"/>
        </w:rPr>
        <w:t xml:space="preserve">CV &gt; 1.00 — Critical band; a few extreme days dominate the average; ADV is misleading</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Scoring Thresholds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tblGrid>
      <w:tr>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 CV Range</w:t>
            </w:r>
          </w:p>
        </w:tc>
        <w:tc>
          <w:tcPr>
            <w:tcW w:type="dxa" w:w="1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w:t>
            </w:r>
          </w:p>
        </w:tc>
        <w:tc>
          <w:tcPr>
            <w:tcW w:type="dxa" w:w="1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&lt; 0.30</w:t>
            </w:r>
          </w:p>
        </w:tc>
        <w:tc>
          <w:tcPr>
            <w:tcW w:type="dxa" w:w="12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0</w:t>
            </w:r>
          </w:p>
        </w:tc>
        <w:tc>
          <w:tcPr>
            <w:tcW w:type="dxa" w:w="12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Low</w:t>
            </w:r>
          </w:p>
        </w:tc>
      </w:tr>
      <w:tr>
        <w:tc>
          <w:tcPr>
            <w:tcW w:type="dxa" w:w="25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0.30 – 0.59</w:t>
            </w:r>
          </w:p>
        </w:tc>
        <w:tc>
          <w:tcPr>
            <w:tcW w:type="dxa" w:w="125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1</w:t>
            </w:r>
          </w:p>
        </w:tc>
        <w:tc>
          <w:tcPr>
            <w:tcW w:type="dxa" w:w="125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0.60 – 0.99</w:t>
            </w:r>
          </w:p>
        </w:tc>
        <w:tc>
          <w:tcPr>
            <w:tcW w:type="dxa" w:w="125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2</w:t>
            </w:r>
          </w:p>
        </w:tc>
        <w:tc>
          <w:tcPr>
            <w:tcW w:type="dxa" w:w="125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High</w:t>
            </w:r>
          </w:p>
        </w:tc>
      </w:tr>
      <w:tr>
        <w:tc>
          <w:tcPr>
            <w:tcW w:type="dxa" w:w="2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&gt;= 1.00</w:t>
            </w:r>
          </w:p>
        </w:tc>
        <w:tc>
          <w:tcPr>
            <w:tcW w:type="dxa" w:w="125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3</w:t>
            </w:r>
          </w:p>
        </w:tc>
        <w:tc>
          <w:tcPr>
            <w:tcW w:type="dxa" w:w="125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Critical</w:t>
            </w:r>
          </w:p>
        </w:tc>
      </w:tr>
    </w:tbl>
    <w:p>
      <w:pPr>
        <w:shd w:fill="FFFACD" w:val="clear"/>
        <w:spacing w:after="60" w:before="60"/>
        <w:ind w:left="360"/>
      </w:pPr>
      <w:r>
        <w:rPr>
          <w:rFonts w:ascii="Arial" w:cs="Arial" w:eastAsia="Arial" w:hAnsi="Arial"/>
          <w:i/>
          <w:iCs/>
          <w:color w:val="7F6000"/>
          <w:sz w:val="18"/>
          <w:szCs w:val="18"/>
        </w:rPr>
        <w:t xml:space="preserve">Volume CV is only shown in the dashboard Summary panel when it reaches the Critical band (&gt;= 1.0). It is always scored internally.</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4.4  Amihud Illiquidity Ratio</w:t>
      </w:r>
    </w:p>
    <w:p>
      <w:pPr>
        <w:spacing w:after="60" w:before="60" w:line="276"/>
      </w:pPr>
      <w:r>
        <w:rPr>
          <w:rFonts w:ascii="Arial" w:cs="Arial" w:eastAsia="Arial" w:hAnsi="Arial"/>
          <w:color w:val="404040"/>
          <w:sz w:val="20"/>
          <w:szCs w:val="20"/>
        </w:rPr>
        <w:t xml:space="preserve">The Amihud ratio measures price impact per dollar traded — how much the price moves for every million dollars of volume. It is the most direct indicator of market impact and expected slippage on large orders.</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Daily Amihud</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A_t  =  |R_t|  /  DV_t_millions</w:t>
      </w:r>
    </w:p>
    <w:p>
      <w:pPr>
        <w:spacing w:after="60" w:before="60" w:line="276"/>
      </w:pPr>
      <w:r>
        <w:rPr>
          <w:rFonts w:ascii="Arial" w:cs="Arial" w:eastAsia="Arial" w:hAnsi="Arial"/>
          <w:color w:val="404040"/>
          <w:sz w:val="20"/>
          <w:szCs w:val="20"/>
        </w:rPr>
        <w:t xml:space="preserve">Where R_t = (Close_t - Close_{t-1}) / Close_{t-1} is the daily return, and DV_t_millions = (Close_t x Volume_t) / 1,000,000.</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Amihud_30d  =  mean( A_t over last 30 trading days )</w:t>
      </w:r>
    </w:p>
    <w:p>
      <w:pPr>
        <w:spacing w:after="60" w:before="60" w:line="276"/>
      </w:pPr>
      <w:r>
        <w:rPr>
          <w:rFonts w:ascii="Arial" w:cs="Arial" w:eastAsia="Arial" w:hAnsi="Arial"/>
          <w:color w:val="404040"/>
          <w:sz w:val="20"/>
          <w:szCs w:val="20"/>
        </w:rPr>
        <w:t xml:space="preserve">Days with zero dollar volume are excluded to avoid division by zero.</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Interpretation</w:t>
      </w:r>
    </w:p>
    <w:p>
      <w:pPr>
        <w:pStyle w:val="ListParagraph"/>
        <w:numPr>
          <w:ilvl w:val="0"/>
          <w:numId w:val="2"/>
        </w:numPr>
        <w:spacing w:after="40" w:before="40"/>
      </w:pPr>
      <w:r>
        <w:rPr>
          <w:rFonts w:ascii="Arial" w:cs="Arial" w:eastAsia="Arial" w:hAnsi="Arial"/>
          <w:color w:val="404040"/>
          <w:sz w:val="20"/>
          <w:szCs w:val="20"/>
        </w:rPr>
        <w:t xml:space="preserve">A ~ 0.005 — highly liquid; takes ~$100M of flow to move the price 0.5%</w:t>
      </w:r>
    </w:p>
    <w:p>
      <w:pPr>
        <w:pStyle w:val="ListParagraph"/>
        <w:numPr>
          <w:ilvl w:val="0"/>
          <w:numId w:val="2"/>
        </w:numPr>
        <w:spacing w:after="40" w:before="40"/>
      </w:pPr>
      <w:r>
        <w:rPr>
          <w:rFonts w:ascii="Arial" w:cs="Arial" w:eastAsia="Arial" w:hAnsi="Arial"/>
          <w:color w:val="404040"/>
          <w:sz w:val="20"/>
          <w:szCs w:val="20"/>
        </w:rPr>
        <w:t xml:space="preserve">A ~ 0.05 — moderate price sensitivity; mid-size orders leave a visible footprint</w:t>
      </w:r>
    </w:p>
    <w:p>
      <w:pPr>
        <w:pStyle w:val="ListParagraph"/>
        <w:numPr>
          <w:ilvl w:val="0"/>
          <w:numId w:val="2"/>
        </w:numPr>
        <w:spacing w:after="40" w:before="40"/>
      </w:pPr>
      <w:r>
        <w:rPr>
          <w:rFonts w:ascii="Arial" w:cs="Arial" w:eastAsia="Arial" w:hAnsi="Arial"/>
          <w:color w:val="404040"/>
          <w:sz w:val="20"/>
          <w:szCs w:val="20"/>
        </w:rPr>
        <w:t xml:space="preserve">A ~ 0.20 — elevated impact; even modest orders cause noticeable dislocation</w:t>
      </w:r>
    </w:p>
    <w:p>
      <w:pPr>
        <w:pStyle w:val="ListParagraph"/>
        <w:numPr>
          <w:ilvl w:val="0"/>
          <w:numId w:val="2"/>
        </w:numPr>
        <w:spacing w:after="40" w:before="40"/>
      </w:pPr>
      <w:r>
        <w:rPr>
          <w:rFonts w:ascii="Arial" w:cs="Arial" w:eastAsia="Arial" w:hAnsi="Arial"/>
          <w:color w:val="404040"/>
          <w:sz w:val="20"/>
          <w:szCs w:val="20"/>
        </w:rPr>
        <w:t xml:space="preserve">A ~ 2.5 — extremely illiquid; $1M of flow moves the price 2.5%</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Scoring Thresholds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tblGrid>
      <w:tr>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Amihud Range</w:t>
            </w:r>
          </w:p>
        </w:tc>
        <w:tc>
          <w:tcPr>
            <w:tcW w:type="dxa" w:w="1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w:t>
            </w:r>
          </w:p>
        </w:tc>
        <w:tc>
          <w:tcPr>
            <w:tcW w:type="dxa" w:w="1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&lt; 0.01</w:t>
            </w:r>
          </w:p>
        </w:tc>
        <w:tc>
          <w:tcPr>
            <w:tcW w:type="dxa" w:w="12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0</w:t>
            </w:r>
          </w:p>
        </w:tc>
        <w:tc>
          <w:tcPr>
            <w:tcW w:type="dxa" w:w="12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Low</w:t>
            </w:r>
          </w:p>
        </w:tc>
      </w:tr>
      <w:tr>
        <w:tc>
          <w:tcPr>
            <w:tcW w:type="dxa" w:w="25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0.01 – 0.049</w:t>
            </w:r>
          </w:p>
        </w:tc>
        <w:tc>
          <w:tcPr>
            <w:tcW w:type="dxa" w:w="125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1</w:t>
            </w:r>
          </w:p>
        </w:tc>
        <w:tc>
          <w:tcPr>
            <w:tcW w:type="dxa" w:w="125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0.05 – 0.199</w:t>
            </w:r>
          </w:p>
        </w:tc>
        <w:tc>
          <w:tcPr>
            <w:tcW w:type="dxa" w:w="125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2</w:t>
            </w:r>
          </w:p>
        </w:tc>
        <w:tc>
          <w:tcPr>
            <w:tcW w:type="dxa" w:w="125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High</w:t>
            </w:r>
          </w:p>
        </w:tc>
      </w:tr>
      <w:tr>
        <w:tc>
          <w:tcPr>
            <w:tcW w:type="dxa" w:w="2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&gt;= 0.20</w:t>
            </w:r>
          </w:p>
        </w:tc>
        <w:tc>
          <w:tcPr>
            <w:tcW w:type="dxa" w:w="125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3</w:t>
            </w:r>
          </w:p>
        </w:tc>
        <w:tc>
          <w:tcPr>
            <w:tcW w:type="dxa" w:w="125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Critical</w:t>
            </w:r>
          </w:p>
        </w:tc>
      </w:tr>
    </w:tbl>
    <w:p>
      <w:pPr>
        <w:shd w:fill="FFFACD" w:val="clear"/>
        <w:spacing w:after="60" w:before="60"/>
        <w:ind w:left="360"/>
      </w:pPr>
      <w:r>
        <w:rPr>
          <w:rFonts w:ascii="Arial" w:cs="Arial" w:eastAsia="Arial" w:hAnsi="Arial"/>
          <w:i/>
          <w:iCs/>
          <w:color w:val="7F6000"/>
          <w:sz w:val="18"/>
          <w:szCs w:val="18"/>
        </w:rPr>
        <w:t xml:space="preserve">Amihud is scored but NOT volunteered in the dashboard or narrative unless the user explicitly asks about price impact, slippage, or market impact.</w:t>
      </w:r>
    </w:p>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5.  Structural Constraints</w:t>
      </w:r>
    </w:p>
    <w:p>
      <w:pPr>
        <w:spacing w:after="60" w:before="60" w:line="276"/>
      </w:pPr>
      <w:r>
        <w:rPr>
          <w:rFonts w:ascii="Arial" w:cs="Arial" w:eastAsia="Arial" w:hAnsi="Arial"/>
          <w:color w:val="404040"/>
          <w:sz w:val="20"/>
          <w:szCs w:val="20"/>
        </w:rPr>
        <w:t xml:space="preserve">Structural constraints are independent of recent trading activity but materially shape a stock's true liquidity profile. They come from the company's ownership structure, not price/volume data.</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5.1  Float Shares</w:t>
      </w:r>
    </w:p>
    <w:p>
      <w:pPr>
        <w:spacing w:after="60" w:before="60" w:line="276"/>
      </w:pPr>
      <w:r>
        <w:rPr>
          <w:rFonts w:ascii="Arial" w:cs="Arial" w:eastAsia="Arial" w:hAnsi="Arial"/>
          <w:color w:val="404040"/>
          <w:sz w:val="20"/>
          <w:szCs w:val="20"/>
        </w:rPr>
        <w:t xml:space="preserve">Float shares are the number of shares actually available for public trading — total shares outstanding minus shares held by insiders, strategic holders, locked-up employees, and other restricted holders.</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Float %  =  Float_shares  /  Shares_outstanding</w:t>
      </w:r>
    </w:p>
    <w:p>
      <w:pPr>
        <w:pStyle w:val="Heading3"/>
        <w:spacing w:after="60" w:before="200"/>
      </w:pPr>
      <w:r>
        <w:rPr>
          <w:rFonts w:ascii="Arial" w:cs="Arial" w:eastAsia="Arial" w:hAnsi="Arial"/>
          <w:b/>
          <w:bCs/>
          <w:color w:val="404040"/>
          <w:sz w:val="22"/>
          <w:szCs w:val="22"/>
        </w:rPr>
        <w:t xml:space="preserve">Properties</w:t>
      </w:r>
    </w:p>
    <w:p>
      <w:pPr>
        <w:pStyle w:val="ListParagraph"/>
        <w:numPr>
          <w:ilvl w:val="0"/>
          <w:numId w:val="2"/>
        </w:numPr>
        <w:spacing w:after="40" w:before="40"/>
      </w:pPr>
      <w:r>
        <w:rPr>
          <w:rFonts w:ascii="Arial" w:cs="Arial" w:eastAsia="Arial" w:hAnsi="Arial"/>
          <w:color w:val="404040"/>
          <w:sz w:val="20"/>
          <w:szCs w:val="20"/>
        </w:rPr>
        <w:t xml:space="preserve">has_thin_float = True when Float_shares &lt; 10,000,000</w:t>
      </w:r>
    </w:p>
    <w:p>
      <w:pPr>
        <w:pStyle w:val="ListParagraph"/>
        <w:numPr>
          <w:ilvl w:val="0"/>
          <w:numId w:val="2"/>
        </w:numPr>
        <w:spacing w:after="40" w:before="40"/>
      </w:pPr>
      <w:r>
        <w:rPr>
          <w:rFonts w:ascii="Arial" w:cs="Arial" w:eastAsia="Arial" w:hAnsi="Arial"/>
          <w:color w:val="404040"/>
          <w:sz w:val="20"/>
          <w:szCs w:val="20"/>
        </w:rPr>
        <w:t xml:space="preserve">A thin float means even modest institutional orders represent a disproportionate fraction of available supply</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Scoring Thresholds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tblGrid>
      <w:tr>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Free Float (shares)</w:t>
            </w:r>
          </w:p>
        </w:tc>
        <w:tc>
          <w:tcPr>
            <w:tcW w:type="dxa" w:w="1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w:t>
            </w:r>
          </w:p>
        </w:tc>
        <w:tc>
          <w:tcPr>
            <w:tcW w:type="dxa" w:w="1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&gt;= 50,000,000</w:t>
            </w:r>
          </w:p>
        </w:tc>
        <w:tc>
          <w:tcPr>
            <w:tcW w:type="dxa" w:w="12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0</w:t>
            </w:r>
          </w:p>
        </w:tc>
        <w:tc>
          <w:tcPr>
            <w:tcW w:type="dxa" w:w="12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Low</w:t>
            </w:r>
          </w:p>
        </w:tc>
      </w:tr>
      <w:tr>
        <w:tc>
          <w:tcPr>
            <w:tcW w:type="dxa" w:w="25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20,000,000 – 49,999,999</w:t>
            </w:r>
          </w:p>
        </w:tc>
        <w:tc>
          <w:tcPr>
            <w:tcW w:type="dxa" w:w="125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1</w:t>
            </w:r>
          </w:p>
        </w:tc>
        <w:tc>
          <w:tcPr>
            <w:tcW w:type="dxa" w:w="125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5,000,000 – 19,999,999</w:t>
            </w:r>
          </w:p>
        </w:tc>
        <w:tc>
          <w:tcPr>
            <w:tcW w:type="dxa" w:w="125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2</w:t>
            </w:r>
          </w:p>
        </w:tc>
        <w:tc>
          <w:tcPr>
            <w:tcW w:type="dxa" w:w="125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High</w:t>
            </w:r>
          </w:p>
        </w:tc>
      </w:tr>
      <w:tr>
        <w:tc>
          <w:tcPr>
            <w:tcW w:type="dxa" w:w="2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&lt; 5,000,000</w:t>
            </w:r>
          </w:p>
        </w:tc>
        <w:tc>
          <w:tcPr>
            <w:tcW w:type="dxa" w:w="125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3</w:t>
            </w:r>
          </w:p>
        </w:tc>
        <w:tc>
          <w:tcPr>
            <w:tcW w:type="dxa" w:w="125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Critical</w:t>
            </w:r>
          </w:p>
        </w:tc>
      </w:tr>
    </w:tbl>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5.2  Short Interest (Short % of Float)</w:t>
      </w:r>
    </w:p>
    <w:p>
      <w:pPr>
        <w:spacing w:after="60" w:before="60" w:line="276"/>
      </w:pPr>
      <w:r>
        <w:rPr>
          <w:rFonts w:ascii="Arial" w:cs="Arial" w:eastAsia="Arial" w:hAnsi="Arial"/>
          <w:color w:val="404040"/>
          <w:sz w:val="20"/>
          <w:szCs w:val="20"/>
        </w:rPr>
        <w:t xml:space="preserve">The fraction of the public float that has been sold short. High short interest signals crowded bearish positioning and creates short-squeeze vulnerability — the mechanism behind the Mirage Override (Section 7).</w:t>
      </w:r>
    </w:p>
    <w:p>
      <w:pPr>
        <w:pStyle w:val="ListParagraph"/>
        <w:numPr>
          <w:ilvl w:val="0"/>
          <w:numId w:val="2"/>
        </w:numPr>
        <w:spacing w:after="40" w:before="40"/>
      </w:pPr>
      <w:r>
        <w:rPr>
          <w:rFonts w:ascii="Arial" w:cs="Arial" w:eastAsia="Arial" w:hAnsi="Arial"/>
          <w:color w:val="404040"/>
          <w:sz w:val="20"/>
          <w:szCs w:val="20"/>
        </w:rPr>
        <w:t xml:space="preserve">has_high_short_interest = True when Short_pct_float &gt; 25%</w:t>
      </w:r>
    </w:p>
    <w:p>
      <w:pPr>
        <w:pStyle w:val="ListParagraph"/>
        <w:numPr>
          <w:ilvl w:val="0"/>
          <w:numId w:val="2"/>
        </w:numPr>
        <w:spacing w:after="40" w:before="40"/>
      </w:pPr>
      <w:r>
        <w:rPr>
          <w:rFonts w:ascii="Arial" w:cs="Arial" w:eastAsia="Arial" w:hAnsi="Arial"/>
          <w:color w:val="404040"/>
          <w:sz w:val="20"/>
          <w:szCs w:val="20"/>
        </w:rPr>
        <w:t xml:space="preserve">&gt; 30% — heavily elevated; strong short-squeeze vulnerability</w:t>
      </w:r>
    </w:p>
    <w:p>
      <w:pPr>
        <w:pStyle w:val="ListParagraph"/>
        <w:numPr>
          <w:ilvl w:val="0"/>
          <w:numId w:val="2"/>
        </w:numPr>
        <w:spacing w:after="40" w:before="40"/>
      </w:pPr>
      <w:r>
        <w:rPr>
          <w:rFonts w:ascii="Arial" w:cs="Arial" w:eastAsia="Arial" w:hAnsi="Arial"/>
          <w:color w:val="404040"/>
          <w:sz w:val="20"/>
          <w:szCs w:val="20"/>
        </w:rPr>
        <w:t xml:space="preserve">15% – 30% — notably high; risk of sharp covering rallies</w:t>
      </w:r>
    </w:p>
    <w:p>
      <w:pPr>
        <w:pStyle w:val="ListParagraph"/>
        <w:numPr>
          <w:ilvl w:val="0"/>
          <w:numId w:val="2"/>
        </w:numPr>
        <w:spacing w:after="40" w:before="40"/>
      </w:pPr>
      <w:r>
        <w:rPr>
          <w:rFonts w:ascii="Arial" w:cs="Arial" w:eastAsia="Arial" w:hAnsi="Arial"/>
          <w:color w:val="404040"/>
          <w:sz w:val="20"/>
          <w:szCs w:val="20"/>
        </w:rPr>
        <w:t xml:space="preserve">5% – 15% — modest; unlikely to materially affect execution</w:t>
      </w:r>
    </w:p>
    <w:p>
      <w:pPr>
        <w:pStyle w:val="ListParagraph"/>
        <w:numPr>
          <w:ilvl w:val="0"/>
          <w:numId w:val="2"/>
        </w:numPr>
        <w:spacing w:after="40" w:before="40"/>
      </w:pPr>
      <w:r>
        <w:rPr>
          <w:rFonts w:ascii="Arial" w:cs="Arial" w:eastAsia="Arial" w:hAnsi="Arial"/>
          <w:color w:val="404040"/>
          <w:sz w:val="20"/>
          <w:szCs w:val="20"/>
        </w:rPr>
        <w:t xml:space="preserve">&lt; 5% — negligible</w:t>
      </w:r>
    </w:p>
    <w:p>
      <w:pPr>
        <w:shd w:fill="FFFACD" w:val="clear"/>
        <w:spacing w:after="60" w:before="60"/>
        <w:ind w:left="360"/>
      </w:pPr>
      <w:r>
        <w:rPr>
          <w:rFonts w:ascii="Arial" w:cs="Arial" w:eastAsia="Arial" w:hAnsi="Arial"/>
          <w:i/>
          <w:iCs/>
          <w:color w:val="7F6000"/>
          <w:sz w:val="18"/>
          <w:szCs w:val="18"/>
        </w:rPr>
        <w:t xml:space="preserve">Short interest is not a directly scored dimension. It feeds into the Mirage Override and is always displayed in the dashboard for context.</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5.3  Top-10 Institutional Concentration</w:t>
      </w:r>
    </w:p>
    <w:p>
      <w:pPr>
        <w:spacing w:after="60" w:before="60" w:line="276"/>
      </w:pPr>
      <w:r>
        <w:rPr>
          <w:rFonts w:ascii="Arial" w:cs="Arial" w:eastAsia="Arial" w:hAnsi="Arial"/>
          <w:color w:val="404040"/>
          <w:sz w:val="20"/>
          <w:szCs w:val="20"/>
        </w:rPr>
        <w:t xml:space="preserve">The fraction of all shares held by the ten largest institutional owners. Heavy concentration means order flow arrives in large blocks around rebalancing events (quarterly, earnings), creating episodic liquidity gaps even in otherwise liquid stocks.</w:t>
      </w:r>
    </w:p>
    <w:p>
      <w:pPr>
        <w:shd w:fill="FFFACD" w:val="clear"/>
        <w:spacing w:after="60" w:before="60"/>
        <w:ind w:left="360"/>
      </w:pPr>
      <w:r>
        <w:rPr>
          <w:rFonts w:ascii="Arial" w:cs="Arial" w:eastAsia="Arial" w:hAnsi="Arial"/>
          <w:i/>
          <w:iCs/>
          <w:color w:val="7F6000"/>
          <w:sz w:val="18"/>
          <w:szCs w:val="18"/>
        </w:rPr>
        <w:t xml:space="preserve">Institutional concentration is displayed in the dashboard for context but is not a scored dimension in the scoring matrix.</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5.4  Buyback Signal: BIR &amp; Buyback Yield</w:t>
      </w:r>
    </w:p>
    <w:p>
      <w:pPr>
        <w:spacing w:after="60" w:before="60" w:line="276"/>
      </w:pPr>
      <w:r>
        <w:rPr>
          <w:rFonts w:ascii="Arial" w:cs="Arial" w:eastAsia="Arial" w:hAnsi="Arial"/>
          <w:color w:val="404040"/>
          <w:sz w:val="20"/>
          <w:szCs w:val="20"/>
        </w:rPr>
        <w:t xml:space="preserve">These two metrics detect when a company's own share repurchase programme is artificially inflating the reported ADV$ figure. If a company is buying back a large fraction of its own daily volume, the ADV$ overstates true third-party liquidity.</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Quarterly Spend Extraction</w:t>
      </w:r>
    </w:p>
    <w:p>
      <w:pPr>
        <w:spacing w:after="60" w:before="60" w:line="276"/>
      </w:pPr>
      <w:r>
        <w:rPr>
          <w:rFonts w:ascii="Arial" w:cs="Arial" w:eastAsia="Arial" w:hAnsi="Arial"/>
          <w:color w:val="404040"/>
          <w:sz w:val="20"/>
          <w:szCs w:val="20"/>
        </w:rPr>
        <w:t xml:space="preserve">The most recent quarter's repurchase outflow is extracted from yfinance's quarterly_cashflow DataFrame under the row label 'Repurchase Of Capital Stock' (and several variant spellings). yfinance reports the cash outflow as a negative number; the agent takes the absolute value.</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Buyback Intensity Ratio (BIR)</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BIR  =  Quarterly_spend  /  ( ADV$_30d  x  63 trading days )</w:t>
      </w:r>
    </w:p>
    <w:p>
      <w:pPr>
        <w:spacing w:after="60" w:before="60" w:line="276"/>
      </w:pPr>
      <w:r>
        <w:rPr>
          <w:rFonts w:ascii="Arial" w:cs="Arial" w:eastAsia="Arial" w:hAnsi="Arial"/>
          <w:color w:val="404040"/>
          <w:sz w:val="20"/>
          <w:szCs w:val="20"/>
        </w:rPr>
        <w:t xml:space="preserve">Compares how much the company spent on buybacks in one quarter against the total estimated quarterly trading volume (ADV$30d x 63 days). BIR &gt; 15% means the company itself accounted for more than 15% of its own quarterly volume — the reported ADV$ materially overstates third-party liquidity.</w:t>
      </w:r>
    </w:p>
    <w:p>
      <w:pPr>
        <w:pStyle w:val="ListParagraph"/>
        <w:numPr>
          <w:ilvl w:val="0"/>
          <w:numId w:val="2"/>
        </w:numPr>
        <w:spacing w:after="40" w:before="40"/>
      </w:pPr>
      <w:r>
        <w:rPr>
          <w:rFonts w:ascii="Arial" w:cs="Arial" w:eastAsia="Arial" w:hAnsi="Arial"/>
          <w:color w:val="404040"/>
          <w:sz w:val="20"/>
          <w:szCs w:val="20"/>
        </w:rPr>
        <w:t xml:space="preserve">BIR &lt; 10% — shown in green in the dashboard</w:t>
      </w:r>
    </w:p>
    <w:p>
      <w:pPr>
        <w:pStyle w:val="ListParagraph"/>
        <w:numPr>
          <w:ilvl w:val="0"/>
          <w:numId w:val="2"/>
        </w:numPr>
        <w:spacing w:after="40" w:before="40"/>
      </w:pPr>
      <w:r>
        <w:rPr>
          <w:rFonts w:ascii="Arial" w:cs="Arial" w:eastAsia="Arial" w:hAnsi="Arial"/>
          <w:color w:val="404040"/>
          <w:sz w:val="20"/>
          <w:szCs w:val="20"/>
        </w:rPr>
        <w:t xml:space="preserve">BIR 10% – 15% — shown in yellow (elevated, below flag threshold)</w:t>
      </w:r>
    </w:p>
    <w:p>
      <w:pPr>
        <w:pStyle w:val="ListParagraph"/>
        <w:numPr>
          <w:ilvl w:val="0"/>
          <w:numId w:val="2"/>
        </w:numPr>
        <w:spacing w:after="40" w:before="40"/>
      </w:pPr>
      <w:r>
        <w:rPr>
          <w:rFonts w:ascii="Arial" w:cs="Arial" w:eastAsia="Arial" w:hAnsi="Arial"/>
          <w:color w:val="404040"/>
          <w:sz w:val="20"/>
          <w:szCs w:val="20"/>
        </w:rPr>
        <w:t xml:space="preserve">BIR &gt; 15% — flagged in red; inflation_flag = True; warning added to narrative</w:t>
      </w:r>
    </w:p>
    <w:p>
      <w:pPr>
        <w:pStyle w:val="ListParagraph"/>
        <w:numPr>
          <w:ilvl w:val="0"/>
          <w:numId w:val="2"/>
        </w:numPr>
        <w:spacing w:after="40" w:before="40"/>
      </w:pPr>
      <w:r>
        <w:rPr>
          <w:rFonts w:ascii="Arial" w:cs="Arial" w:eastAsia="Arial" w:hAnsi="Arial"/>
          <w:color w:val="404040"/>
          <w:sz w:val="20"/>
          <w:szCs w:val="20"/>
        </w:rPr>
        <w:t xml:space="preserve">BIR &gt; 30% — 'aggressive' language used in warnings</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Buyback Yield</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Buyback_yield  =  ( Quarterly_spend  x  4 )  /  Market_cap</w:t>
      </w:r>
    </w:p>
    <w:p>
      <w:pPr>
        <w:spacing w:after="60" w:before="60" w:line="276"/>
      </w:pPr>
      <w:r>
        <w:rPr>
          <w:rFonts w:ascii="Arial" w:cs="Arial" w:eastAsia="Arial" w:hAnsi="Arial"/>
          <w:color w:val="404040"/>
          <w:sz w:val="20"/>
          <w:szCs w:val="20"/>
        </w:rPr>
        <w:t xml:space="preserve">The annualised repurchase spend as a fraction of market capitalisation. Captures the pace at which the float is being compressed over time. Shown in the dashboard always for context.</w:t>
      </w:r>
    </w:p>
    <w:p>
      <w:pPr>
        <w:spacing w:after="40" w:before="40"/>
      </w:pPr>
      <w:r>
        <w:t xml:space="preserve"/>
      </w:r>
    </w:p>
    <w:p>
      <w:pPr>
        <w:shd w:fill="FFFACD" w:val="clear"/>
        <w:spacing w:after="60" w:before="60"/>
        <w:ind w:left="360"/>
      </w:pPr>
      <w:r>
        <w:rPr>
          <w:rFonts w:ascii="Arial" w:cs="Arial" w:eastAsia="Arial" w:hAnsi="Arial"/>
          <w:i/>
          <w:iCs/>
          <w:color w:val="7F6000"/>
          <w:sz w:val="18"/>
          <w:szCs w:val="18"/>
        </w:rPr>
        <w:t xml:space="preserve">BIR is always displayed in the dashboard with colour coding (green / yellow / red). When cashflow data is unavailable, the confidence score is penalised by 5 points and a data-quality warning is raised.</w:t>
      </w:r>
    </w:p>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6.  Days To Liquidate (DTL)</w:t>
      </w:r>
    </w:p>
    <w:p>
      <w:pPr>
        <w:spacing w:after="60" w:before="60" w:line="276"/>
      </w:pPr>
      <w:r>
        <w:rPr>
          <w:rFonts w:ascii="Arial" w:cs="Arial" w:eastAsia="Arial" w:hAnsi="Arial"/>
          <w:color w:val="404040"/>
          <w:sz w:val="20"/>
          <w:szCs w:val="20"/>
        </w:rPr>
        <w:t xml:space="preserve">DTL answers the most practical exit-risk question: if we hold this much stock, how many trading days does it take to fully exit without dominating the tape?</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DTL  =  N_shares  /  ( ADV_shares  x  Participation_Rate )</w:t>
      </w:r>
    </w:p>
    <w:p>
      <w:pPr>
        <w:spacing w:after="60" w:before="60" w:line="276"/>
      </w:pPr>
      <w:r>
        <w:rPr>
          <w:rFonts w:ascii="Arial" w:cs="Arial" w:eastAsia="Arial" w:hAnsi="Arial"/>
          <w:color w:val="404040"/>
          <w:sz w:val="20"/>
          <w:szCs w:val="20"/>
        </w:rPr>
        <w:t xml:space="preserve">Where:</w:t>
      </w:r>
    </w:p>
    <w:p>
      <w:pPr>
        <w:pStyle w:val="ListParagraph"/>
        <w:numPr>
          <w:ilvl w:val="0"/>
          <w:numId w:val="2"/>
        </w:numPr>
        <w:spacing w:after="40" w:before="40"/>
      </w:pPr>
      <w:r>
        <w:rPr>
          <w:rFonts w:ascii="Arial" w:cs="Arial" w:eastAsia="Arial" w:hAnsi="Arial"/>
          <w:color w:val="404040"/>
          <w:sz w:val="20"/>
          <w:szCs w:val="20"/>
        </w:rPr>
        <w:t xml:space="preserve">N_shares = the position size in shares (Float_shares x position percentage)</w:t>
      </w:r>
    </w:p>
    <w:p>
      <w:pPr>
        <w:pStyle w:val="ListParagraph"/>
        <w:numPr>
          <w:ilvl w:val="0"/>
          <w:numId w:val="2"/>
        </w:numPr>
        <w:spacing w:after="40" w:before="40"/>
      </w:pPr>
      <w:r>
        <w:rPr>
          <w:rFonts w:ascii="Arial" w:cs="Arial" w:eastAsia="Arial" w:hAnsi="Arial"/>
          <w:color w:val="404040"/>
          <w:sz w:val="20"/>
          <w:szCs w:val="20"/>
        </w:rPr>
        <w:t xml:space="preserve">ADV_shares = the 30-day trailing mean of daily share volume (not dollar volume)</w:t>
      </w:r>
    </w:p>
    <w:p>
      <w:pPr>
        <w:pStyle w:val="ListParagraph"/>
        <w:numPr>
          <w:ilvl w:val="0"/>
          <w:numId w:val="2"/>
        </w:numPr>
        <w:spacing w:after="40" w:before="40"/>
      </w:pPr>
      <w:r>
        <w:rPr>
          <w:rFonts w:ascii="Arial" w:cs="Arial" w:eastAsia="Arial" w:hAnsi="Arial"/>
          <w:color w:val="404040"/>
          <w:sz w:val="20"/>
          <w:szCs w:val="20"/>
        </w:rPr>
        <w:t xml:space="preserve">Participation_Rate = 10% (default) — the fraction of daily volume the trade is capped at to avoid moving the market</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6.1  Standard Position Sizes</w:t>
      </w:r>
    </w:p>
    <w:p>
      <w:pPr>
        <w:spacing w:after="60" w:before="60" w:line="276"/>
      </w:pPr>
      <w:r>
        <w:rPr>
          <w:rFonts w:ascii="Arial" w:cs="Arial" w:eastAsia="Arial" w:hAnsi="Arial"/>
          <w:color w:val="404040"/>
          <w:sz w:val="20"/>
          <w:szCs w:val="20"/>
        </w:rPr>
        <w:t xml:space="preserve">The agent computes DTL at two standard position sizes:</w:t>
      </w:r>
    </w:p>
    <w:p>
      <w:pPr>
        <w:pStyle w:val="ListParagraph"/>
        <w:numPr>
          <w:ilvl w:val="0"/>
          <w:numId w:val="2"/>
        </w:numPr>
        <w:spacing w:after="40" w:before="40"/>
      </w:pPr>
      <w:r>
        <w:rPr>
          <w:rFonts w:ascii="Arial" w:cs="Arial" w:eastAsia="Arial" w:hAnsi="Arial"/>
          <w:color w:val="404040"/>
          <w:sz w:val="20"/>
          <w:szCs w:val="20"/>
        </w:rPr>
        <w:t xml:space="preserve">DTL at 1% of float — a smaller, more manageable stake</w:t>
      </w:r>
    </w:p>
    <w:p>
      <w:pPr>
        <w:pStyle w:val="ListParagraph"/>
        <w:numPr>
          <w:ilvl w:val="0"/>
          <w:numId w:val="2"/>
        </w:numPr>
        <w:spacing w:after="40" w:before="40"/>
      </w:pPr>
      <w:r>
        <w:rPr>
          <w:rFonts w:ascii="Arial" w:cs="Arial" w:eastAsia="Arial" w:hAnsi="Arial"/>
          <w:color w:val="404040"/>
          <w:sz w:val="20"/>
          <w:szCs w:val="20"/>
        </w:rPr>
        <w:t xml:space="preserve">DTL at 5% of float — the scored dimension; a meaningful institutional position</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6.2  Scoring Thresholds (DTL at 5% of float)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tblGrid>
      <w:tr>
        <w:tc>
          <w:tcPr>
            <w:tcW w:type="dxa" w:w="2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DTL (days)</w:t>
            </w:r>
          </w:p>
        </w:tc>
        <w:tc>
          <w:tcPr>
            <w:tcW w:type="dxa" w:w="1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w:t>
            </w:r>
          </w:p>
        </w:tc>
        <w:tc>
          <w:tcPr>
            <w:tcW w:type="dxa" w:w="1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&lt; 1 day</w:t>
            </w:r>
          </w:p>
        </w:tc>
        <w:tc>
          <w:tcPr>
            <w:tcW w:type="dxa" w:w="12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0</w:t>
            </w:r>
          </w:p>
        </w:tc>
        <w:tc>
          <w:tcPr>
            <w:tcW w:type="dxa" w:w="125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Low</w:t>
            </w:r>
          </w:p>
        </w:tc>
      </w:tr>
      <w:tr>
        <w:tc>
          <w:tcPr>
            <w:tcW w:type="dxa" w:w="25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1 – 2.99 days</w:t>
            </w:r>
          </w:p>
        </w:tc>
        <w:tc>
          <w:tcPr>
            <w:tcW w:type="dxa" w:w="125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1</w:t>
            </w:r>
          </w:p>
        </w:tc>
        <w:tc>
          <w:tcPr>
            <w:tcW w:type="dxa" w:w="125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Medium</w:t>
            </w:r>
          </w:p>
        </w:tc>
      </w:tr>
      <w:tr>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3 – 4.99 days</w:t>
            </w:r>
          </w:p>
        </w:tc>
        <w:tc>
          <w:tcPr>
            <w:tcW w:type="dxa" w:w="125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2</w:t>
            </w:r>
          </w:p>
        </w:tc>
        <w:tc>
          <w:tcPr>
            <w:tcW w:type="dxa" w:w="125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High</w:t>
            </w:r>
          </w:p>
        </w:tc>
      </w:tr>
      <w:tr>
        <w:tc>
          <w:tcPr>
            <w:tcW w:type="dxa" w:w="25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&gt;= 5 days</w:t>
            </w:r>
          </w:p>
        </w:tc>
        <w:tc>
          <w:tcPr>
            <w:tcW w:type="dxa" w:w="125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3</w:t>
            </w:r>
          </w:p>
        </w:tc>
        <w:tc>
          <w:tcPr>
            <w:tcW w:type="dxa" w:w="125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Critical</w:t>
            </w:r>
          </w:p>
        </w:tc>
      </w:tr>
    </w:tbl>
    <w:p>
      <w:pPr>
        <w:shd w:fill="FFFACD" w:val="clear"/>
        <w:spacing w:after="60" w:before="60"/>
        <w:ind w:left="360"/>
      </w:pPr>
      <w:r>
        <w:rPr>
          <w:rFonts w:ascii="Arial" w:cs="Arial" w:eastAsia="Arial" w:hAnsi="Arial"/>
          <w:i/>
          <w:iCs/>
          <w:color w:val="7F6000"/>
          <w:sz w:val="18"/>
          <w:szCs w:val="18"/>
        </w:rPr>
        <w:t xml:space="preserve">DTL is scored but NOT volunteered in the dashboard or narrative unless the user explicitly asks about exit risk, liquidation time, or days to unwind.</w:t>
      </w:r>
    </w:p>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7.  Scoring Engine</w:t>
      </w:r>
    </w:p>
    <w:p>
      <w:pPr>
        <w:pStyle w:val="Heading2"/>
        <w:pBdr>
          <w:bottom w:val="single" w:color="2E75B6" w:sz="4"/>
        </w:pBdr>
        <w:spacing w:after="80" w:before="280"/>
      </w:pPr>
      <w:r>
        <w:rPr>
          <w:rFonts w:ascii="Arial" w:cs="Arial" w:eastAsia="Arial" w:hAnsi="Arial"/>
          <w:b/>
          <w:bCs/>
          <w:color w:val="1F4E79"/>
          <w:sz w:val="26"/>
          <w:szCs w:val="26"/>
        </w:rPr>
        <w:t xml:space="preserve">7.1  Dimension Scoring</w:t>
      </w:r>
    </w:p>
    <w:p>
      <w:pPr>
        <w:spacing w:after="60" w:before="60" w:line="276"/>
      </w:pPr>
      <w:r>
        <w:rPr>
          <w:rFonts w:ascii="Arial" w:cs="Arial" w:eastAsia="Arial" w:hAnsi="Arial"/>
          <w:color w:val="404040"/>
          <w:sz w:val="20"/>
          <w:szCs w:val="20"/>
        </w:rPr>
        <w:t xml:space="preserve">Five dimensions are each scored 0-3 points based on the thresholds defined above. A dimension value of None (data unavailable) is conservatively treated as the maximum-risk band (3 points) — missing data is treated as unknown risk, not zero risk.</w:t>
      </w:r>
    </w:p>
    <w:p>
      <w:pPr>
        <w:spacing w:after="40" w:before="40"/>
      </w:pPr>
      <w:r>
        <w:t xml:space="preserve"/>
      </w:r>
    </w:p>
    <w:p>
      <w:pPr>
        <w:pStyle w:val="Heading3"/>
        <w:spacing w:after="60" w:before="200"/>
      </w:pPr>
      <w:r>
        <w:rPr>
          <w:rFonts w:ascii="Arial" w:cs="Arial" w:eastAsia="Arial" w:hAnsi="Arial"/>
          <w:b/>
          <w:bCs/>
          <w:color w:val="404040"/>
          <w:sz w:val="22"/>
          <w:szCs w:val="22"/>
        </w:rPr>
        <w:t xml:space="preserve">Full Scoring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1512"/>
        <w:gridCol w:w="1512"/>
        <w:gridCol w:w="1512"/>
        <w:gridCol w:w="1512"/>
      </w:tblGrid>
      <w:tr>
        <w:tc>
          <w:tcPr>
            <w:tcW w:type="dxa" w:w="2016"/>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2016"/>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512"/>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+0 Low</w:t>
            </w:r>
          </w:p>
        </w:tc>
        <w:tc>
          <w:tcPr>
            <w:tcW w:type="dxa" w:w="1512"/>
            <w:tcBorders>
              <w:top w:val="single" w:color="999999" w:sz="1"/>
              <w:left w:val="single" w:color="999999" w:sz="1"/>
              <w:bottom w:val="single" w:color="999999" w:sz="1"/>
              <w:right w:val="single" w:color="999999" w:sz="1"/>
            </w:tcBorders>
            <w:shd w:fill="FFFACD" w:val="clear"/>
            <w:tcMar>
              <w:top w:type="dxa" w:w="80"/>
              <w:left w:type="dxa" w:w="120"/>
              <w:bottom w:type="dxa" w:w="80"/>
              <w:right w:type="dxa" w:w="120"/>
            </w:tcMar>
            <w:vAlign w:val="center"/>
          </w:tcPr>
          <w:p>
            <w:pPr>
              <w:jc w:val="center"/>
            </w:pPr>
            <w:r>
              <w:rPr>
                <w:rFonts w:ascii="Arial" w:cs="Arial" w:eastAsia="Arial" w:hAnsi="Arial"/>
                <w:b/>
                <w:bCs/>
                <w:color w:val="7F6000"/>
                <w:sz w:val="18"/>
                <w:szCs w:val="18"/>
              </w:rPr>
              <w:t xml:space="preserve">+1 Medium</w:t>
            </w:r>
          </w:p>
        </w:tc>
        <w:tc>
          <w:tcPr>
            <w:tcW w:type="dxa" w:w="1512"/>
            <w:tcBorders>
              <w:top w:val="single" w:color="999999" w:sz="1"/>
              <w:left w:val="single" w:color="999999" w:sz="1"/>
              <w:bottom w:val="single" w:color="999999" w:sz="1"/>
              <w:right w:val="single" w:color="999999" w:sz="1"/>
            </w:tcBorders>
            <w:shd w:fill="FCE4D6" w:val="clear"/>
            <w:tcMar>
              <w:top w:type="dxa" w:w="80"/>
              <w:left w:type="dxa" w:w="120"/>
              <w:bottom w:type="dxa" w:w="80"/>
              <w:right w:type="dxa" w:w="120"/>
            </w:tcMar>
            <w:vAlign w:val="center"/>
          </w:tcPr>
          <w:p>
            <w:pPr>
              <w:jc w:val="center"/>
            </w:pPr>
            <w:r>
              <w:rPr>
                <w:rFonts w:ascii="Arial" w:cs="Arial" w:eastAsia="Arial" w:hAnsi="Arial"/>
                <w:b/>
                <w:bCs/>
                <w:color w:val="7F3F00"/>
                <w:sz w:val="18"/>
                <w:szCs w:val="18"/>
              </w:rPr>
              <w:t xml:space="preserve">+2 High</w:t>
            </w:r>
          </w:p>
        </w:tc>
        <w:tc>
          <w:tcPr>
            <w:tcW w:type="dxa" w:w="1512"/>
            <w:tcBorders>
              <w:top w:val="single" w:color="999999" w:sz="1"/>
              <w:left w:val="single" w:color="999999" w:sz="1"/>
              <w:bottom w:val="single" w:color="999999" w:sz="1"/>
              <w:right w:val="single" w:color="999999" w:sz="1"/>
            </w:tcBorders>
            <w:shd w:fill="FFE7E7" w:val="clear"/>
            <w:tcMar>
              <w:top w:type="dxa" w:w="80"/>
              <w:left w:type="dxa" w:w="120"/>
              <w:bottom w:type="dxa" w:w="80"/>
              <w:right w:type="dxa" w:w="120"/>
            </w:tcMar>
            <w:vAlign w:val="center"/>
          </w:tcPr>
          <w:p>
            <w:pPr>
              <w:jc w:val="center"/>
            </w:pPr>
            <w:r>
              <w:rPr>
                <w:rFonts w:ascii="Arial" w:cs="Arial" w:eastAsia="Arial" w:hAnsi="Arial"/>
                <w:b/>
                <w:bCs/>
                <w:color w:val="7F0000"/>
                <w:sz w:val="18"/>
                <w:szCs w:val="18"/>
              </w:rPr>
              <w:t xml:space="preserve">+3 Critical</w:t>
            </w:r>
          </w:p>
        </w:tc>
      </w:tr>
      <w:tr>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Absolute Liquidity</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ADV$30d</w:t>
            </w:r>
          </w:p>
        </w:tc>
        <w:tc>
          <w:tcPr>
            <w:tcW w:type="dxa" w:w="151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&gt;= $10M</w:t>
            </w:r>
          </w:p>
        </w:tc>
        <w:tc>
          <w:tcPr>
            <w:tcW w:type="dxa" w:w="1512"/>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$2M-$10M</w:t>
            </w:r>
          </w:p>
        </w:tc>
        <w:tc>
          <w:tcPr>
            <w:tcW w:type="dxa" w:w="151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$500K-$2M</w:t>
            </w:r>
          </w:p>
        </w:tc>
        <w:tc>
          <w:tcPr>
            <w:tcW w:type="dxa" w:w="1512"/>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&lt; $500K</w:t>
            </w:r>
          </w:p>
        </w:tc>
      </w:tr>
      <w:tr>
        <w:tc>
          <w:tcPr>
            <w:tcW w:type="dxa" w:w="201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Price Impact</w:t>
            </w:r>
          </w:p>
        </w:tc>
        <w:tc>
          <w:tcPr>
            <w:tcW w:type="dxa" w:w="201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Amihud 30d</w:t>
            </w:r>
          </w:p>
        </w:tc>
        <w:tc>
          <w:tcPr>
            <w:tcW w:type="dxa" w:w="151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&lt; 0.01</w:t>
            </w:r>
          </w:p>
        </w:tc>
        <w:tc>
          <w:tcPr>
            <w:tcW w:type="dxa" w:w="1512"/>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0.01-0.05</w:t>
            </w:r>
          </w:p>
        </w:tc>
        <w:tc>
          <w:tcPr>
            <w:tcW w:type="dxa" w:w="151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0.05-0.20</w:t>
            </w:r>
          </w:p>
        </w:tc>
        <w:tc>
          <w:tcPr>
            <w:tcW w:type="dxa" w:w="1512"/>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&gt;= 0.20</w:t>
            </w:r>
          </w:p>
        </w:tc>
      </w:tr>
      <w:tr>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Volume Stability</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Volume CV 30d</w:t>
            </w:r>
          </w:p>
        </w:tc>
        <w:tc>
          <w:tcPr>
            <w:tcW w:type="dxa" w:w="151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&lt; 0.30</w:t>
            </w:r>
          </w:p>
        </w:tc>
        <w:tc>
          <w:tcPr>
            <w:tcW w:type="dxa" w:w="1512"/>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0.30-0.60</w:t>
            </w:r>
          </w:p>
        </w:tc>
        <w:tc>
          <w:tcPr>
            <w:tcW w:type="dxa" w:w="151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0.60-1.00</w:t>
            </w:r>
          </w:p>
        </w:tc>
        <w:tc>
          <w:tcPr>
            <w:tcW w:type="dxa" w:w="1512"/>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&gt;= 1.00</w:t>
            </w:r>
          </w:p>
        </w:tc>
      </w:tr>
      <w:tr>
        <w:tc>
          <w:tcPr>
            <w:tcW w:type="dxa" w:w="201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18"/>
                <w:szCs w:val="18"/>
              </w:rPr>
              <w:t xml:space="preserve">Exit Capacity</w:t>
            </w:r>
          </w:p>
        </w:tc>
        <w:tc>
          <w:tcPr>
            <w:tcW w:type="dxa" w:w="201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DTL at 5% float</w:t>
            </w:r>
          </w:p>
        </w:tc>
        <w:tc>
          <w:tcPr>
            <w:tcW w:type="dxa" w:w="151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&lt; 1 day</w:t>
            </w:r>
          </w:p>
        </w:tc>
        <w:tc>
          <w:tcPr>
            <w:tcW w:type="dxa" w:w="1512"/>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1-3 days</w:t>
            </w:r>
          </w:p>
        </w:tc>
        <w:tc>
          <w:tcPr>
            <w:tcW w:type="dxa" w:w="151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3-5 days</w:t>
            </w:r>
          </w:p>
        </w:tc>
        <w:tc>
          <w:tcPr>
            <w:tcW w:type="dxa" w:w="1512"/>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&gt;= 5 days</w:t>
            </w:r>
          </w:p>
        </w:tc>
      </w:tr>
      <w:tr>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Market Structure</w:t>
            </w:r>
          </w:p>
        </w:tc>
        <w:tc>
          <w:tcPr>
            <w:tcW w:type="dxa" w:w="20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Free Float shares</w:t>
            </w:r>
          </w:p>
        </w:tc>
        <w:tc>
          <w:tcPr>
            <w:tcW w:type="dxa" w:w="151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&gt;= 50M</w:t>
            </w:r>
          </w:p>
        </w:tc>
        <w:tc>
          <w:tcPr>
            <w:tcW w:type="dxa" w:w="1512"/>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20M-50M</w:t>
            </w:r>
          </w:p>
        </w:tc>
        <w:tc>
          <w:tcPr>
            <w:tcW w:type="dxa" w:w="151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5M-20M</w:t>
            </w:r>
          </w:p>
        </w:tc>
        <w:tc>
          <w:tcPr>
            <w:tcW w:type="dxa" w:w="1512"/>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&lt; 5M</w:t>
            </w:r>
          </w:p>
        </w:tc>
      </w:tr>
    </w:tbl>
    <w:p>
      <w:pPr>
        <w:spacing w:after="40" w:before="40"/>
      </w:pPr>
      <w:r>
        <w:t xml:space="preserve"/>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Raw Score  =  sum of points across all 5 dimensions   (range: 0 – 15)</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7.2  Tier Assignment</w:t>
      </w:r>
    </w:p>
    <w:p>
      <w:pPr>
        <w:spacing w:after="60" w:before="60" w:line="276"/>
      </w:pPr>
      <w:r>
        <w:rPr>
          <w:rFonts w:ascii="Arial" w:cs="Arial" w:eastAsia="Arial" w:hAnsi="Arial"/>
          <w:color w:val="404040"/>
          <w:sz w:val="20"/>
          <w:szCs w:val="20"/>
        </w:rPr>
        <w:t xml:space="preserve">The raw score is mapped to one of four execution tiers. Each tier carries a mandatory action policy.</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520"/>
        <w:gridCol w:w="5160"/>
      </w:tblGrid>
      <w:tr>
        <w:tc>
          <w:tcPr>
            <w:tcW w:type="dxa" w:w="1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12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252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w:t>
            </w:r>
          </w:p>
        </w:tc>
        <w:tc>
          <w:tcPr>
            <w:tcW w:type="dxa" w:w="51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Policy</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color w:val="375623"/>
                <w:sz w:val="18"/>
                <w:szCs w:val="18"/>
              </w:rPr>
              <w:t xml:space="preserve">0 – 4</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Tier 1</w:t>
            </w:r>
          </w:p>
        </w:tc>
        <w:tc>
          <w:tcPr>
            <w:tcW w:type="dxa" w:w="2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color w:val="375623"/>
                <w:sz w:val="18"/>
                <w:szCs w:val="18"/>
              </w:rPr>
              <w:t xml:space="preserve">Unrestricted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Safe for automated market orders; up to 5% stake without pre-trade approval</w:t>
            </w:r>
          </w:p>
        </w:tc>
      </w:tr>
      <w:tr>
        <w:tc>
          <w:tcPr>
            <w:tcW w:type="dxa" w:w="12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center"/>
            </w:pPr>
            <w:r>
              <w:rPr>
                <w:rFonts w:ascii="Arial" w:cs="Arial" w:eastAsia="Arial" w:hAnsi="Arial"/>
                <w:color w:val="7F6000"/>
                <w:sz w:val="18"/>
                <w:szCs w:val="18"/>
              </w:rPr>
              <w:t xml:space="preserve">5 – 6</w:t>
            </w:r>
          </w:p>
        </w:tc>
        <w:tc>
          <w:tcPr>
            <w:tcW w:type="dxa" w:w="120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tcPr>
          <w:p>
            <w:r>
              <w:rPr>
                <w:rFonts w:ascii="Arial" w:cs="Arial" w:eastAsia="Arial" w:hAnsi="Arial"/>
                <w:b/>
                <w:bCs/>
                <w:color w:val="7F6000"/>
                <w:sz w:val="18"/>
                <w:szCs w:val="18"/>
              </w:rPr>
              <w:t xml:space="preserve">Tier 2</w:t>
            </w:r>
          </w:p>
        </w:tc>
        <w:tc>
          <w:tcPr>
            <w:tcW w:type="dxa" w:w="2520"/>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color w:val="7F6000"/>
                <w:sz w:val="18"/>
                <w:szCs w:val="18"/>
              </w:rPr>
              <w:t xml:space="preserve">Position Sizing Caps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Position-sizing caps; max 1% of float; Limit / TWAP only</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color w:val="7F3F00"/>
                <w:sz w:val="18"/>
                <w:szCs w:val="18"/>
              </w:rPr>
              <w:t xml:space="preserve">7 – 8</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7F3F00"/>
                <w:sz w:val="18"/>
                <w:szCs w:val="18"/>
              </w:rPr>
              <w:t xml:space="preserve">Tier 3</w:t>
            </w:r>
          </w:p>
        </w:tc>
        <w:tc>
          <w:tcPr>
            <w:tcW w:type="dxa" w:w="25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color w:val="7F3F00"/>
                <w:sz w:val="18"/>
                <w:szCs w:val="18"/>
              </w:rPr>
              <w:t xml:space="preserve">Algorithmic Execution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Algorithmic execution only (VWAP, max 5% participation rate); compliance sign-off required</w:t>
            </w:r>
          </w:p>
        </w:tc>
      </w:tr>
      <w:tr>
        <w:tc>
          <w:tcPr>
            <w:tcW w:type="dxa" w:w="12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center"/>
            </w:pPr>
            <w:r>
              <w:rPr>
                <w:rFonts w:ascii="Arial" w:cs="Arial" w:eastAsia="Arial" w:hAnsi="Arial"/>
                <w:color w:val="7F0000"/>
                <w:sz w:val="18"/>
                <w:szCs w:val="18"/>
              </w:rPr>
              <w:t xml:space="preserve">&gt;= 9</w:t>
            </w:r>
          </w:p>
        </w:tc>
        <w:tc>
          <w:tcPr>
            <w:tcW w:type="dxa" w:w="12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b/>
                <w:bCs/>
                <w:color w:val="7F0000"/>
                <w:sz w:val="18"/>
                <w:szCs w:val="18"/>
              </w:rPr>
              <w:t xml:space="preserve">Tier 4</w:t>
            </w:r>
          </w:p>
        </w:tc>
        <w:tc>
          <w:tcPr>
            <w:tcW w:type="dxa" w:w="252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pPr>
              <w:jc w:val="left"/>
            </w:pPr>
            <w:r>
              <w:rPr>
                <w:rFonts w:ascii="Arial" w:cs="Arial" w:eastAsia="Arial" w:hAnsi="Arial"/>
                <w:color w:val="7F0000"/>
                <w:sz w:val="18"/>
                <w:szCs w:val="18"/>
              </w:rPr>
              <w:t xml:space="preserve">Blacklist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Automated hard-block. Exit risk too high — do not enter</w:t>
            </w:r>
          </w:p>
        </w:tc>
      </w:tr>
    </w:tbl>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7.3  Warning Flags</w:t>
      </w:r>
    </w:p>
    <w:p>
      <w:pPr>
        <w:spacing w:after="60" w:before="60" w:line="276"/>
      </w:pPr>
      <w:r>
        <w:rPr>
          <w:rFonts w:ascii="Arial" w:cs="Arial" w:eastAsia="Arial" w:hAnsi="Arial"/>
          <w:color w:val="404040"/>
          <w:sz w:val="20"/>
          <w:szCs w:val="20"/>
        </w:rPr>
        <w:t xml:space="preserve">In addition to the tier score, the engine raises human-readable flags for conditions that warrant trader attention but are not captured in the raw score alone:</w:t>
      </w:r>
    </w:p>
    <w:p>
      <w:pPr>
        <w:pStyle w:val="ListParagraph"/>
        <w:numPr>
          <w:ilvl w:val="0"/>
          <w:numId w:val="2"/>
        </w:numPr>
        <w:spacing w:after="40" w:before="40"/>
      </w:pPr>
      <w:r>
        <w:rPr>
          <w:rFonts w:ascii="Arial" w:cs="Arial" w:eastAsia="Arial" w:hAnsi="Arial"/>
          <w:color w:val="404040"/>
          <w:sz w:val="20"/>
          <w:szCs w:val="20"/>
        </w:rPr>
        <w:t xml:space="preserve">Liquidity Drain — raised when ADV$30d / ADV$90d &lt; 0.50 (recent volume is less than half of 90-day baseline)</w:t>
      </w:r>
    </w:p>
    <w:p>
      <w:pPr>
        <w:pStyle w:val="ListParagraph"/>
        <w:numPr>
          <w:ilvl w:val="0"/>
          <w:numId w:val="2"/>
        </w:numPr>
        <w:spacing w:after="40" w:before="40"/>
      </w:pPr>
      <w:r>
        <w:rPr>
          <w:rFonts w:ascii="Arial" w:cs="Arial" w:eastAsia="Arial" w:hAnsi="Arial"/>
          <w:color w:val="404040"/>
          <w:sz w:val="20"/>
          <w:szCs w:val="20"/>
        </w:rPr>
        <w:t xml:space="preserve">Volume CV Critical — raised when volume_cv_30d &gt;= 0.60 (High or Critical band)</w:t>
      </w:r>
    </w:p>
    <w:p>
      <w:pPr>
        <w:pStyle w:val="ListParagraph"/>
        <w:numPr>
          <w:ilvl w:val="0"/>
          <w:numId w:val="2"/>
        </w:numPr>
        <w:spacing w:after="40" w:before="40"/>
      </w:pPr>
      <w:r>
        <w:rPr>
          <w:rFonts w:ascii="Arial" w:cs="Arial" w:eastAsia="Arial" w:hAnsi="Arial"/>
          <w:color w:val="404040"/>
          <w:sz w:val="20"/>
          <w:szCs w:val="20"/>
        </w:rPr>
        <w:t xml:space="preserve">Free Float Critical — raised when free_float_shares is in High or Critical band (&lt; 20M shares)</w:t>
      </w:r>
    </w:p>
    <w:p>
      <w:pPr>
        <w:pStyle w:val="ListParagraph"/>
        <w:numPr>
          <w:ilvl w:val="0"/>
          <w:numId w:val="2"/>
        </w:numPr>
        <w:spacing w:after="40" w:before="40"/>
      </w:pPr>
      <w:r>
        <w:rPr>
          <w:rFonts w:ascii="Arial" w:cs="Arial" w:eastAsia="Arial" w:hAnsi="Arial"/>
          <w:color w:val="404040"/>
          <w:sz w:val="20"/>
          <w:szCs w:val="20"/>
        </w:rPr>
        <w:t xml:space="preserve">Buyback Inflation — raised when BIR &gt; 15%; text varies by severity (15-30% = 'modestly inflated'; &gt; 30% = 'aggressive buyback programme')</w:t>
      </w:r>
    </w:p>
    <w:p>
      <w:pPr>
        <w:pStyle w:val="ListParagraph"/>
        <w:numPr>
          <w:ilvl w:val="0"/>
          <w:numId w:val="2"/>
        </w:numPr>
        <w:spacing w:after="40" w:before="40"/>
      </w:pPr>
      <w:r>
        <w:rPr>
          <w:rFonts w:ascii="Arial" w:cs="Arial" w:eastAsia="Arial" w:hAnsi="Arial"/>
          <w:color w:val="404040"/>
          <w:sz w:val="20"/>
          <w:szCs w:val="20"/>
        </w:rPr>
        <w:t xml:space="preserve">Short Squeeze Override — raised when the Mirage Override is triggered (see Section 8)</w:t>
      </w:r>
    </w:p>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8.  Mirage Override (Short Squeeze Risk)</w:t>
      </w:r>
    </w:p>
    <w:p>
      <w:pPr>
        <w:spacing w:after="60" w:before="60" w:line="276"/>
      </w:pPr>
      <w:r>
        <w:rPr>
          <w:rFonts w:ascii="Arial" w:cs="Arial" w:eastAsia="Arial" w:hAnsi="Arial"/>
          <w:color w:val="404040"/>
          <w:sz w:val="20"/>
          <w:szCs w:val="20"/>
        </w:rPr>
        <w:t xml:space="preserve">The Mirage Override is a structural hard-rule that sits on top of the scoring engine. It exists to catch a specific and dangerous scenario: a low-float stock being temporarily pumped by a short squeeze. In this state the ADV$ may look Tier-1, but the liquidity is illusory — it collapses the moment the squeeze unwinds.</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8.1  Trigger Condition</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Triggered  =  ( Float_shares &lt; 10,000,000 )  AND  ( Short_pct_float &gt; 25% )</w:t>
      </w:r>
    </w:p>
    <w:p>
      <w:pPr>
        <w:pStyle w:val="Heading2"/>
        <w:pBdr>
          <w:bottom w:val="single" w:color="2E75B6" w:sz="4"/>
        </w:pBdr>
        <w:spacing w:after="80" w:before="280"/>
      </w:pPr>
      <w:r>
        <w:rPr>
          <w:rFonts w:ascii="Arial" w:cs="Arial" w:eastAsia="Arial" w:hAnsi="Arial"/>
          <w:b/>
          <w:bCs/>
          <w:color w:val="1F4E79"/>
          <w:sz w:val="26"/>
          <w:szCs w:val="26"/>
        </w:rPr>
        <w:t xml:space="preserve">8.2  Effect</w:t>
      </w:r>
    </w:p>
    <w:p>
      <w:pPr>
        <w:spacing w:after="60" w:before="60" w:line="276"/>
      </w:pPr>
      <w:r>
        <w:rPr>
          <w:rFonts w:ascii="Arial" w:cs="Arial" w:eastAsia="Arial" w:hAnsi="Arial"/>
          <w:color w:val="404040"/>
          <w:sz w:val="20"/>
          <w:szCs w:val="20"/>
        </w:rPr>
        <w:t xml:space="preserve">When triggered, the final tier is forced upward (downgraded toward Tier 4) by 2 tier steps regardless of the raw score. The override records the original base tier, the new final tier, and the number of steps downgraded.</w:t>
      </w:r>
    </w:p>
    <w:p>
      <w:pPr>
        <w:pBdr>
          <w:left w:val="single" w:color="2E75B6" w:sz="8"/>
        </w:pBdr>
        <w:shd w:fill="F8F8F8" w:val="clear"/>
        <w:spacing w:after="100" w:before="100"/>
        <w:ind w:left="360" w:right="360"/>
        <w:jc w:val="center"/>
      </w:pPr>
      <w:r>
        <w:rPr>
          <w:rFonts w:ascii="Courier New" w:cs="Courier New" w:eastAsia="Courier New" w:hAnsi="Courier New"/>
          <w:b/>
          <w:bCs/>
          <w:color w:val="1F4E79"/>
          <w:sz w:val="20"/>
          <w:szCs w:val="20"/>
        </w:rPr>
        <w:t xml:space="preserve">new_tier_number  =  min( 4,  base_tier_number + 2 )</w:t>
      </w:r>
    </w:p>
    <w:p>
      <w:pPr>
        <w:spacing w:after="40" w:before="40"/>
      </w:pPr>
      <w:r>
        <w:t xml:space="preserve"/>
      </w:r>
    </w:p>
    <w:p>
      <w:pPr>
        <w:shd w:fill="FFFACD" w:val="clear"/>
        <w:spacing w:after="60" w:before="60"/>
        <w:ind w:left="360"/>
      </w:pPr>
      <w:r>
        <w:rPr>
          <w:rFonts w:ascii="Arial" w:cs="Arial" w:eastAsia="Arial" w:hAnsi="Arial"/>
          <w:i/>
          <w:iCs/>
          <w:color w:val="7F6000"/>
          <w:sz w:val="18"/>
          <w:szCs w:val="18"/>
        </w:rPr>
        <w:t xml:space="preserve">Example: a stock with raw score 3 (Tier 1) that has float 5M and short% 30% will be force-downgraded to Tier 3 — Algorithmic Execution Only.</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8.3  Rationale</w:t>
      </w:r>
    </w:p>
    <w:p>
      <w:pPr>
        <w:spacing w:after="60" w:before="60" w:line="276"/>
      </w:pPr>
      <w:r>
        <w:rPr>
          <w:rFonts w:ascii="Arial" w:cs="Arial" w:eastAsia="Arial" w:hAnsi="Arial"/>
          <w:color w:val="404040"/>
          <w:sz w:val="20"/>
          <w:szCs w:val="20"/>
        </w:rPr>
        <w:t xml:space="preserve">Short squeeze pumps artificially inflate ADV$ because short sellers are forced to buy regardless of price, generating volume that will not recur once the squeeze resolves. The thin float amplifies this effect and guarantees a liquidity vacuum afterward. The agent treats elevated ADV$ in this scenario as a 'mirage' — visible but not real.</w:t>
      </w:r>
    </w:p>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9.  Output Layer</w:t>
      </w:r>
    </w:p>
    <w:p>
      <w:pPr>
        <w:pStyle w:val="Heading2"/>
        <w:pBdr>
          <w:bottom w:val="single" w:color="2E75B6" w:sz="4"/>
        </w:pBdr>
        <w:spacing w:after="80" w:before="280"/>
      </w:pPr>
      <w:r>
        <w:rPr>
          <w:rFonts w:ascii="Arial" w:cs="Arial" w:eastAsia="Arial" w:hAnsi="Arial"/>
          <w:b/>
          <w:bCs/>
          <w:color w:val="1F4E79"/>
          <w:sz w:val="26"/>
          <w:szCs w:val="26"/>
        </w:rPr>
        <w:t xml:space="preserve">9.1  Data Confidence Score</w:t>
      </w:r>
    </w:p>
    <w:p>
      <w:pPr>
        <w:spacing w:after="60" w:before="60" w:line="276"/>
      </w:pPr>
      <w:r>
        <w:rPr>
          <w:rFonts w:ascii="Arial" w:cs="Arial" w:eastAsia="Arial" w:hAnsi="Arial"/>
          <w:color w:val="404040"/>
          <w:sz w:val="20"/>
          <w:szCs w:val="20"/>
        </w:rPr>
        <w:t xml:space="preserve">Before the dashboard is rendered, the agent computes a data confidence score (0-100%) reflecting how reliable the metrics are. This score is derived by deducting points for data-quality problems: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2700"/>
      </w:tblGrid>
      <w:tr>
        <w:tc>
          <w:tcPr>
            <w:tcW w:type="dxa" w:w="45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Penalty</w:t>
            </w:r>
          </w:p>
        </w:tc>
        <w:tc>
          <w:tcPr>
            <w:tcW w:type="dxa" w:w="27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Warning Raised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Fewer than 60 trading days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Up to -60 pts (2 pts per missing day)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Yes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Last bar cannot be timestamped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-50 pts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Data feed not synced in &gt; 5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-10 pts per day beyond 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Yes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Float shares missing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-10 pts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Short% missing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-10 pts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Yes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Quarterly cashflow unavailable (BIR blind spot)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-5 pts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Yes</w:t>
            </w:r>
          </w:p>
        </w:tc>
      </w:tr>
    </w:tbl>
    <w:p>
      <w:pPr>
        <w:spacing w:after="40" w:before="40"/>
      </w:pPr>
      <w:r>
        <w:t xml:space="preserve"/>
      </w:r>
    </w:p>
    <w:p>
      <w:pPr>
        <w:pStyle w:val="Heading3"/>
        <w:spacing w:after="60" w:before="200"/>
      </w:pPr>
      <w:r>
        <w:rPr>
          <w:rFonts w:ascii="Arial" w:cs="Arial" w:eastAsia="Arial" w:hAnsi="Arial"/>
          <w:b/>
          <w:bCs/>
          <w:color w:val="404040"/>
          <w:sz w:val="22"/>
          <w:szCs w:val="22"/>
        </w:rPr>
        <w:t xml:space="preserve">Confidence Labels</w:t>
      </w:r>
    </w:p>
    <w:p>
      <w:pPr>
        <w:pStyle w:val="ListParagraph"/>
        <w:numPr>
          <w:ilvl w:val="0"/>
          <w:numId w:val="2"/>
        </w:numPr>
        <w:spacing w:after="40" w:before="40"/>
      </w:pPr>
      <w:r>
        <w:rPr>
          <w:rFonts w:ascii="Arial" w:cs="Arial" w:eastAsia="Arial" w:hAnsi="Arial"/>
          <w:color w:val="404040"/>
          <w:sz w:val="20"/>
          <w:szCs w:val="20"/>
        </w:rPr>
        <w:t xml:space="preserve">&gt;= 90% — High</w:t>
      </w:r>
    </w:p>
    <w:p>
      <w:pPr>
        <w:pStyle w:val="ListParagraph"/>
        <w:numPr>
          <w:ilvl w:val="0"/>
          <w:numId w:val="2"/>
        </w:numPr>
        <w:spacing w:after="40" w:before="40"/>
      </w:pPr>
      <w:r>
        <w:rPr>
          <w:rFonts w:ascii="Arial" w:cs="Arial" w:eastAsia="Arial" w:hAnsi="Arial"/>
          <w:color w:val="404040"/>
          <w:sz w:val="20"/>
          <w:szCs w:val="20"/>
        </w:rPr>
        <w:t xml:space="preserve">70% – 89% — Moderate</w:t>
      </w:r>
    </w:p>
    <w:p>
      <w:pPr>
        <w:pStyle w:val="ListParagraph"/>
        <w:numPr>
          <w:ilvl w:val="0"/>
          <w:numId w:val="2"/>
        </w:numPr>
        <w:spacing w:after="40" w:before="40"/>
      </w:pPr>
      <w:r>
        <w:rPr>
          <w:rFonts w:ascii="Arial" w:cs="Arial" w:eastAsia="Arial" w:hAnsi="Arial"/>
          <w:color w:val="404040"/>
          <w:sz w:val="20"/>
          <w:szCs w:val="20"/>
        </w:rPr>
        <w:t xml:space="preserve">40% – 69% — Low</w:t>
      </w:r>
    </w:p>
    <w:p>
      <w:pPr>
        <w:pStyle w:val="ListParagraph"/>
        <w:numPr>
          <w:ilvl w:val="0"/>
          <w:numId w:val="2"/>
        </w:numPr>
        <w:spacing w:after="40" w:before="40"/>
      </w:pPr>
      <w:r>
        <w:rPr>
          <w:rFonts w:ascii="Arial" w:cs="Arial" w:eastAsia="Arial" w:hAnsi="Arial"/>
          <w:color w:val="404040"/>
          <w:sz w:val="20"/>
          <w:szCs w:val="20"/>
        </w:rPr>
        <w:t xml:space="preserve">&lt; 40% — Poor</w:t>
      </w:r>
    </w:p>
    <w:p>
      <w:pPr>
        <w:shd w:fill="FFFACD" w:val="clear"/>
        <w:spacing w:after="60" w:before="60"/>
        <w:ind w:left="360"/>
      </w:pPr>
      <w:r>
        <w:rPr>
          <w:rFonts w:ascii="Arial" w:cs="Arial" w:eastAsia="Arial" w:hAnsi="Arial"/>
          <w:i/>
          <w:iCs/>
          <w:color w:val="7F6000"/>
          <w:sz w:val="18"/>
          <w:szCs w:val="18"/>
        </w:rPr>
        <w:t xml:space="preserve">A confidence score below 70% (Moderate) is considered non-actionable. The dashboard shows a data-quality warning panel whenever any penalty is triggered.</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9.2  Dashboard Panels</w:t>
      </w:r>
    </w:p>
    <w:p>
      <w:pPr>
        <w:spacing w:after="60" w:before="60" w:line="276"/>
      </w:pPr>
      <w:r>
        <w:rPr>
          <w:rFonts w:ascii="Arial" w:cs="Arial" w:eastAsia="Arial" w:hAnsi="Arial"/>
          <w:color w:val="404040"/>
          <w:sz w:val="20"/>
          <w:szCs w:val="20"/>
        </w:rPr>
        <w:t xml:space="preserve">The terminal dashboard (rendered via the Rich library) consists of the following panels in order:</w:t>
      </w:r>
    </w:p>
    <w:p>
      <w:pPr>
        <w:spacing w:after="40" w:before="40"/>
      </w:pPr>
      <w:r>
        <w:t xml:space="preserve"/>
      </w:r>
    </w:p>
    <w:p>
      <w:pPr>
        <w:pStyle w:val="ListParagraph"/>
        <w:numPr>
          <w:ilvl w:val="0"/>
          <w:numId w:val="2"/>
        </w:numPr>
        <w:spacing w:after="40" w:before="40"/>
      </w:pPr>
      <w:r>
        <w:rPr>
          <w:rFonts w:ascii="Arial" w:cs="Arial" w:eastAsia="Arial" w:hAnsi="Arial"/>
          <w:color w:val="404040"/>
          <w:sz w:val="20"/>
          <w:szCs w:val="20"/>
        </w:rPr>
        <w:t xml:space="preserve">Header Panel — Ticker, Final Tier badge, raw score, confidence label, short-squeeze risk status</w:t>
      </w:r>
    </w:p>
    <w:p>
      <w:pPr>
        <w:pStyle w:val="ListParagraph"/>
        <w:numPr>
          <w:ilvl w:val="0"/>
          <w:numId w:val="2"/>
        </w:numPr>
        <w:spacing w:after="40" w:before="40"/>
      </w:pPr>
      <w:r>
        <w:rPr>
          <w:rFonts w:ascii="Arial" w:cs="Arial" w:eastAsia="Arial" w:hAnsi="Arial"/>
          <w:color w:val="404040"/>
          <w:sz w:val="20"/>
          <w:szCs w:val="20"/>
        </w:rPr>
        <w:t xml:space="preserve">Summary Panel — 2-3 sentence deterministic narrative (see Section 9.3)</w:t>
      </w:r>
    </w:p>
    <w:p>
      <w:pPr>
        <w:pStyle w:val="ListParagraph"/>
        <w:numPr>
          <w:ilvl w:val="0"/>
          <w:numId w:val="2"/>
        </w:numPr>
        <w:spacing w:after="40" w:before="40"/>
      </w:pPr>
      <w:r>
        <w:rPr>
          <w:rFonts w:ascii="Arial" w:cs="Arial" w:eastAsia="Arial" w:hAnsi="Arial"/>
          <w:color w:val="404040"/>
          <w:sz w:val="20"/>
          <w:szCs w:val="20"/>
        </w:rPr>
        <w:t xml:space="preserve">LLM / Analyst Interpretation Panel — qualitative analyst paragraph (LLM if key present, deterministic fallback otherwise)</w:t>
      </w:r>
    </w:p>
    <w:p>
      <w:pPr>
        <w:pStyle w:val="ListParagraph"/>
        <w:numPr>
          <w:ilvl w:val="0"/>
          <w:numId w:val="2"/>
        </w:numPr>
        <w:spacing w:after="40" w:before="40"/>
      </w:pPr>
      <w:r>
        <w:rPr>
          <w:rFonts w:ascii="Arial" w:cs="Arial" w:eastAsia="Arial" w:hAnsi="Arial"/>
          <w:color w:val="404040"/>
          <w:sz w:val="20"/>
          <w:szCs w:val="20"/>
        </w:rPr>
        <w:t xml:space="preserve">Liquidity Metrics Table — ADV$30d always; Volume CV and Free Float only when Critical; Float%, Short%, Top-10 institutional%, Buyback Spend, Buyback Yield, BIR (always, colour-coded)</w:t>
      </w:r>
    </w:p>
    <w:p>
      <w:pPr>
        <w:pStyle w:val="ListParagraph"/>
        <w:numPr>
          <w:ilvl w:val="0"/>
          <w:numId w:val="2"/>
        </w:numPr>
        <w:spacing w:after="40" w:before="40"/>
      </w:pPr>
      <w:r>
        <w:rPr>
          <w:rFonts w:ascii="Arial" w:cs="Arial" w:eastAsia="Arial" w:hAnsi="Arial"/>
          <w:color w:val="404040"/>
          <w:sz w:val="20"/>
          <w:szCs w:val="20"/>
        </w:rPr>
        <w:t xml:space="preserve">Short Squeeze Detail Panel — shown only when Mirage Override is triggered</w:t>
      </w:r>
    </w:p>
    <w:p>
      <w:pPr>
        <w:pStyle w:val="ListParagraph"/>
        <w:numPr>
          <w:ilvl w:val="0"/>
          <w:numId w:val="2"/>
        </w:numPr>
        <w:spacing w:after="40" w:before="40"/>
      </w:pPr>
      <w:r>
        <w:rPr>
          <w:rFonts w:ascii="Arial" w:cs="Arial" w:eastAsia="Arial" w:hAnsi="Arial"/>
          <w:color w:val="404040"/>
          <w:sz w:val="20"/>
          <w:szCs w:val="20"/>
        </w:rPr>
        <w:t xml:space="preserve">Flags Raised Panel — shown only when flags exist</w:t>
      </w:r>
    </w:p>
    <w:p>
      <w:pPr>
        <w:pStyle w:val="ListParagraph"/>
        <w:numPr>
          <w:ilvl w:val="0"/>
          <w:numId w:val="2"/>
        </w:numPr>
        <w:spacing w:after="40" w:before="40"/>
      </w:pPr>
      <w:r>
        <w:rPr>
          <w:rFonts w:ascii="Arial" w:cs="Arial" w:eastAsia="Arial" w:hAnsi="Arial"/>
          <w:color w:val="404040"/>
          <w:sz w:val="20"/>
          <w:szCs w:val="20"/>
        </w:rPr>
        <w:t xml:space="preserve">Data Quality Warnings Panel — shown only when confidence penalties were applied</w:t>
      </w:r>
    </w:p>
    <w:p>
      <w:pPr>
        <w:pStyle w:val="ListParagraph"/>
        <w:numPr>
          <w:ilvl w:val="0"/>
          <w:numId w:val="2"/>
        </w:numPr>
        <w:spacing w:after="40" w:before="40"/>
      </w:pPr>
      <w:r>
        <w:rPr>
          <w:rFonts w:ascii="Arial" w:cs="Arial" w:eastAsia="Arial" w:hAnsi="Arial"/>
          <w:color w:val="404040"/>
          <w:sz w:val="20"/>
          <w:szCs w:val="20"/>
        </w:rPr>
        <w:t xml:space="preserve">Action Line — the tier's mandatory execution policy</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9.3  Narrative Generation</w:t>
      </w:r>
    </w:p>
    <w:p>
      <w:pPr>
        <w:spacing w:after="60" w:before="60" w:line="276"/>
      </w:pPr>
      <w:r>
        <w:rPr>
          <w:rFonts w:ascii="Arial" w:cs="Arial" w:eastAsia="Arial" w:hAnsi="Arial"/>
          <w:color w:val="404040"/>
          <w:sz w:val="20"/>
          <w:szCs w:val="20"/>
        </w:rPr>
        <w:t xml:space="preserve">The narrative is a deterministic template built from three sentences:</w:t>
      </w:r>
    </w:p>
    <w:p>
      <w:pPr>
        <w:spacing w:after="40" w:before="40"/>
      </w:pPr>
      <w:r>
        <w:t xml:space="preserve"/>
      </w:r>
    </w:p>
    <w:p>
      <w:pPr>
        <w:pStyle w:val="ListParagraph"/>
        <w:numPr>
          <w:ilvl w:val="0"/>
          <w:numId w:val="2"/>
        </w:numPr>
        <w:spacing w:after="40" w:before="40"/>
      </w:pPr>
      <w:r>
        <w:rPr>
          <w:rFonts w:ascii="Arial" w:cs="Arial" w:eastAsia="Arial" w:hAnsi="Arial"/>
          <w:color w:val="404040"/>
          <w:sz w:val="20"/>
          <w:szCs w:val="20"/>
        </w:rPr>
        <w:t xml:space="preserve">Liquidity sentence — always included. States the ticker, tier descriptor (highly liquid / moderately liquid / thinly traded / structurally illiquid), and 30-day ADV$.</w:t>
      </w:r>
    </w:p>
    <w:p>
      <w:pPr>
        <w:pStyle w:val="ListParagraph"/>
        <w:numPr>
          <w:ilvl w:val="0"/>
          <w:numId w:val="2"/>
        </w:numPr>
        <w:spacing w:after="40" w:before="40"/>
      </w:pPr>
      <w:r>
        <w:rPr>
          <w:rFonts w:ascii="Arial" w:cs="Arial" w:eastAsia="Arial" w:hAnsi="Arial"/>
          <w:color w:val="404040"/>
          <w:sz w:val="20"/>
          <w:szCs w:val="20"/>
        </w:rPr>
        <w:t xml:space="preserve">Structural sentence — included when the Mirage Override is triggered (short-squeeze warning), or when Volume CV exceeds 1.0 (erratic trading warning).</w:t>
      </w:r>
    </w:p>
    <w:p>
      <w:pPr>
        <w:pStyle w:val="ListParagraph"/>
        <w:numPr>
          <w:ilvl w:val="0"/>
          <w:numId w:val="2"/>
        </w:numPr>
        <w:spacing w:after="40" w:before="40"/>
      </w:pPr>
      <w:r>
        <w:rPr>
          <w:rFonts w:ascii="Arial" w:cs="Arial" w:eastAsia="Arial" w:hAnsi="Arial"/>
          <w:color w:val="404040"/>
          <w:sz w:val="20"/>
          <w:szCs w:val="20"/>
        </w:rPr>
        <w:t xml:space="preserve">Buyback sentence — included only when BIR &gt; 15% (inflation_flag = True). Describes the degree of ADV$ inflation in plain English.</w:t>
      </w:r>
    </w:p>
    <w:p>
      <w:pPr>
        <w:spacing w:after="40" w:before="40"/>
      </w:pPr>
      <w:r>
        <w:t xml:space="preserve"/>
      </w:r>
    </w:p>
    <w:p>
      <w:pPr>
        <w:shd w:fill="FFFACD" w:val="clear"/>
        <w:spacing w:after="60" w:before="60"/>
        <w:ind w:left="360"/>
      </w:pPr>
      <w:r>
        <w:rPr>
          <w:rFonts w:ascii="Arial" w:cs="Arial" w:eastAsia="Arial" w:hAnsi="Arial"/>
          <w:i/>
          <w:iCs/>
          <w:color w:val="7F6000"/>
          <w:sz w:val="18"/>
          <w:szCs w:val="18"/>
        </w:rPr>
        <w:t xml:space="preserve">Amihud and DTL are intentionally omitted from the narrative and dashboard unless the user's question explicitly mentions price impact, exit speed, slippage, or liquidation time. This avoids overwhelming traders with metrics they don't need for routine decisions.</w:t>
      </w:r>
    </w:p>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10.  LLM Agent Layer</w:t>
      </w:r>
    </w:p>
    <w:p>
      <w:pPr>
        <w:pStyle w:val="Heading2"/>
        <w:pBdr>
          <w:bottom w:val="single" w:color="2E75B6" w:sz="4"/>
        </w:pBdr>
        <w:spacing w:after="80" w:before="280"/>
      </w:pPr>
      <w:r>
        <w:rPr>
          <w:rFonts w:ascii="Arial" w:cs="Arial" w:eastAsia="Arial" w:hAnsi="Arial"/>
          <w:b/>
          <w:bCs/>
          <w:color w:val="1F4E79"/>
          <w:sz w:val="26"/>
          <w:szCs w:val="26"/>
        </w:rPr>
        <w:t xml:space="preserve">10.1  Entry Points</w:t>
      </w:r>
    </w:p>
    <w:p>
      <w:pPr>
        <w:pStyle w:val="ListParagraph"/>
        <w:numPr>
          <w:ilvl w:val="0"/>
          <w:numId w:val="2"/>
        </w:numPr>
        <w:spacing w:after="40" w:before="40"/>
      </w:pPr>
      <w:r>
        <w:rPr>
          <w:rFonts w:ascii="Arial" w:cs="Arial" w:eastAsia="Arial" w:hAnsi="Arial"/>
          <w:color w:val="404040"/>
          <w:sz w:val="20"/>
          <w:szCs w:val="20"/>
        </w:rPr>
        <w:t xml:space="preserve">ask(question) — single or multi-ticker natural language question. Auto-routes to compare() if 2+ tickers detected.</w:t>
      </w:r>
    </w:p>
    <w:p>
      <w:pPr>
        <w:pStyle w:val="ListParagraph"/>
        <w:numPr>
          <w:ilvl w:val="0"/>
          <w:numId w:val="2"/>
        </w:numPr>
        <w:spacing w:after="40" w:before="40"/>
      </w:pPr>
      <w:r>
        <w:rPr>
          <w:rFonts w:ascii="Arial" w:cs="Arial" w:eastAsia="Arial" w:hAnsi="Arial"/>
          <w:color w:val="404040"/>
          <w:sz w:val="20"/>
          <w:szCs w:val="20"/>
        </w:rPr>
        <w:t xml:space="preserve">compare(tickers, question) — scores multiple tickers and produces a ranked comparative paragraph.</w:t>
      </w:r>
    </w:p>
    <w:p>
      <w:pPr>
        <w:pStyle w:val="ListParagraph"/>
        <w:numPr>
          <w:ilvl w:val="0"/>
          <w:numId w:val="2"/>
        </w:numPr>
        <w:spacing w:after="40" w:before="40"/>
      </w:pPr>
      <w:r>
        <w:rPr>
          <w:rFonts w:ascii="Arial" w:cs="Arial" w:eastAsia="Arial" w:hAnsi="Arial"/>
          <w:color w:val="404040"/>
          <w:sz w:val="20"/>
          <w:szCs w:val="20"/>
        </w:rPr>
        <w:t xml:space="preserve">chat (REPL) — interactive session mode with typo-tolerant ticker resolution.</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10.2  Ticker Resolution (4-Layer)</w:t>
      </w:r>
    </w:p>
    <w:p>
      <w:pPr>
        <w:spacing w:after="60" w:before="60" w:line="276"/>
      </w:pPr>
      <w:r>
        <w:rPr>
          <w:rFonts w:ascii="Arial" w:cs="Arial" w:eastAsia="Arial" w:hAnsi="Arial"/>
          <w:color w:val="404040"/>
          <w:sz w:val="20"/>
          <w:szCs w:val="20"/>
        </w:rPr>
        <w:t xml:space="preserve">The agent resolves company names and ticker symbols through four layers in sequence, stopping at the first successful match:</w:t>
      </w:r>
    </w:p>
    <w:p>
      <w:pPr>
        <w:pStyle w:val="ListParagraph"/>
        <w:numPr>
          <w:ilvl w:val="0"/>
          <w:numId w:val="2"/>
        </w:numPr>
        <w:spacing w:after="40" w:before="40"/>
      </w:pPr>
      <w:r>
        <w:rPr>
          <w:rFonts w:ascii="Arial" w:cs="Arial" w:eastAsia="Arial" w:hAnsi="Arial"/>
          <w:color w:val="404040"/>
          <w:sz w:val="20"/>
          <w:szCs w:val="20"/>
        </w:rPr>
        <w:t xml:space="preserve">Layer 1 — Direct regex: uppercase symbol pattern (e.g. ZS, AAPL, TSLA)</w:t>
      </w:r>
    </w:p>
    <w:p>
      <w:pPr>
        <w:pStyle w:val="ListParagraph"/>
        <w:numPr>
          <w:ilvl w:val="0"/>
          <w:numId w:val="2"/>
        </w:numPr>
        <w:spacing w:after="40" w:before="40"/>
      </w:pPr>
      <w:r>
        <w:rPr>
          <w:rFonts w:ascii="Arial" w:cs="Arial" w:eastAsia="Arial" w:hAnsi="Arial"/>
          <w:color w:val="404040"/>
          <w:sz w:val="20"/>
          <w:szCs w:val="20"/>
        </w:rPr>
        <w:t xml:space="preserve">Layer 2 — Curated alias dictionary: 'apple' -&gt; AAPL, 'google' -&gt; GOOGL, etc.</w:t>
      </w:r>
    </w:p>
    <w:p>
      <w:pPr>
        <w:pStyle w:val="ListParagraph"/>
        <w:numPr>
          <w:ilvl w:val="0"/>
          <w:numId w:val="2"/>
        </w:numPr>
        <w:spacing w:after="40" w:before="40"/>
      </w:pPr>
      <w:r>
        <w:rPr>
          <w:rFonts w:ascii="Arial" w:cs="Arial" w:eastAsia="Arial" w:hAnsi="Arial"/>
          <w:color w:val="404040"/>
          <w:sz w:val="20"/>
          <w:szCs w:val="20"/>
        </w:rPr>
        <w:t xml:space="preserve">Layer 3 — Fuzzy difflib matching: tolerates typos like 'Apples', 'microsft', 'Aple'</w:t>
      </w:r>
    </w:p>
    <w:p>
      <w:pPr>
        <w:pStyle w:val="ListParagraph"/>
        <w:numPr>
          <w:ilvl w:val="0"/>
          <w:numId w:val="2"/>
        </w:numPr>
        <w:spacing w:after="40" w:before="40"/>
      </w:pPr>
      <w:r>
        <w:rPr>
          <w:rFonts w:ascii="Arial" w:cs="Arial" w:eastAsia="Arial" w:hAnsi="Arial"/>
          <w:color w:val="404040"/>
          <w:sz w:val="20"/>
          <w:szCs w:val="20"/>
        </w:rPr>
        <w:t xml:space="preserve">Layer 4 — LLM fallback: only when layers 1-3 return nothing (e.g. 'ZScaler' -&gt; ZS). Each LLM result is validated against yfinance before being accepted to prevent hallucination.</w:t>
      </w:r>
    </w:p>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10.3  Display Policy — Gated Metrics</w:t>
      </w:r>
    </w:p>
    <w:p>
      <w:pPr>
        <w:spacing w:after="60" w:before="60" w:line="276"/>
      </w:pPr>
      <w:r>
        <w:rPr>
          <w:rFonts w:ascii="Arial" w:cs="Arial" w:eastAsia="Arial" w:hAnsi="Arial"/>
          <w:color w:val="404040"/>
          <w:sz w:val="20"/>
          <w:szCs w:val="20"/>
        </w:rPr>
        <w:t xml:space="preserve">Certain metrics are only disclosed when the user's question explicitly requests them. This policy is enforced via keyword detection in the interpreter and via the LLM system prompt: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3750"/>
        <w:gridCol w:w="3000"/>
      </w:tblGrid>
      <w:tr>
        <w:tc>
          <w:tcPr>
            <w:tcW w:type="dxa" w:w="22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75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Trigger keywords</w:t>
            </w:r>
          </w:p>
        </w:tc>
        <w:tc>
          <w:tcPr>
            <w:tcW w:type="dxa" w:w="30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 behaviour</w:t>
            </w:r>
          </w:p>
        </w:tc>
      </w:tr>
      <w:tr>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Amihud ratio</w:t>
            </w:r>
          </w:p>
        </w:tc>
        <w:tc>
          <w:tcPr>
            <w:tcW w:type="dxa" w:w="3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amihud, price impact, impact, slippage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Never volunteered</w:t>
            </w:r>
          </w:p>
        </w:tc>
      </w:tr>
      <w:t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DTL / exit risk</w:t>
            </w:r>
          </w:p>
        </w:tc>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dtl, exit, days to liquidate, liquidate, unwind, exit speed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Never volunteered</w:t>
            </w:r>
          </w:p>
        </w:tc>
      </w:tr>
      <w:tr>
        <w:tc>
          <w:tcPr>
            <w:tcW w:type="dxa" w:w="22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Volume CV detail</w:t>
            </w:r>
          </w:p>
        </w:tc>
        <w:tc>
          <w:tcPr>
            <w:tcW w:type="dxa" w:w="3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volume cv, coefficient of variation, erratic, cv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Shown only when Critical (&gt;1.0)</w:t>
            </w:r>
          </w:p>
        </w:tc>
      </w:tr>
      <w:t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Float share count</w:t>
            </w:r>
          </w:p>
        </w:tc>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float shares, free float shares, float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Shown only when Critical (&lt;5M)</w:t>
            </w:r>
          </w:p>
        </w:tc>
      </w:tr>
    </w:tbl>
    <w:p>
      <w:pPr>
        <w:spacing w:after="40" w:before="40"/>
      </w:pPr>
      <w:r>
        <w:t xml:space="preserve"/>
      </w:r>
    </w:p>
    <w:p>
      <w:pPr>
        <w:pStyle w:val="Heading2"/>
        <w:pBdr>
          <w:bottom w:val="single" w:color="2E75B6" w:sz="4"/>
        </w:pBdr>
        <w:spacing w:after="80" w:before="280"/>
      </w:pPr>
      <w:r>
        <w:rPr>
          <w:rFonts w:ascii="Arial" w:cs="Arial" w:eastAsia="Arial" w:hAnsi="Arial"/>
          <w:b/>
          <w:bCs/>
          <w:color w:val="1F4E79"/>
          <w:sz w:val="26"/>
          <w:szCs w:val="26"/>
        </w:rPr>
        <w:t xml:space="preserve">10.4  LLM vs. Deterministic Fallback</w:t>
      </w:r>
    </w:p>
    <w:p>
      <w:pPr>
        <w:spacing w:after="60" w:before="60" w:line="276"/>
      </w:pPr>
      <w:r>
        <w:rPr>
          <w:rFonts w:ascii="Arial" w:cs="Arial" w:eastAsia="Arial" w:hAnsi="Arial"/>
          <w:color w:val="404040"/>
          <w:sz w:val="20"/>
          <w:szCs w:val="20"/>
        </w:rPr>
        <w:t xml:space="preserve">When an OpenAI API key is present, the LLM (default: gpt-4o-mini) writes analyst-quality qualitative commentary. When the key is absent or the API call fails, a deterministic fallback generates a plain-English paragraph from the same metrics using vocabulary lookup tables. The fallback is always grounded in actual computed numbers — the agent is fully functional offline.</w:t>
      </w:r>
    </w:p>
    <w:p>
      <w:pPr>
        <w:spacing w:after="40" w:before="40"/>
      </w:pPr>
      <w:r>
        <w:t xml:space="preserve"/>
      </w:r>
    </w:p>
    <w:p>
      <w:pPr>
        <w:pStyle w:val="Heading1"/>
        <w:shd w:fill="1F4E79" w:val="clear"/>
        <w:spacing w:after="120" w:before="360"/>
        <w:ind w:left="120" w:right="120"/>
      </w:pPr>
      <w:r>
        <w:rPr>
          <w:rFonts w:ascii="Arial" w:cs="Arial" w:eastAsia="Arial" w:hAnsi="Arial"/>
          <w:b/>
          <w:bCs/>
          <w:color w:val="FFFFFF"/>
          <w:sz w:val="32"/>
          <w:szCs w:val="32"/>
        </w:rPr>
        <w:t xml:space="preserve">11.  Configuration Reference</w:t>
      </w:r>
    </w:p>
    <w:p>
      <w:pPr>
        <w:spacing w:after="60" w:before="60" w:line="276"/>
      </w:pPr>
      <w:r>
        <w:rPr>
          <w:rFonts w:ascii="Arial" w:cs="Arial" w:eastAsia="Arial" w:hAnsi="Arial"/>
          <w:color w:val="404040"/>
          <w:sz w:val="20"/>
          <w:szCs w:val="20"/>
        </w:rPr>
        <w:t xml:space="preserve">All numeric thresholds are defined in config/settings.py. Editing this file changes the behaviour of the entire pipeline without touching application code.</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5040"/>
      </w:tblGrid>
      <w:tr>
        <w:tc>
          <w:tcPr>
            <w:tcW w:type="dxa" w:w="33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68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50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LOOKBACK_DAYS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90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Number of trading days in the OHLCV window</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SHORT_WINDOW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30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Short rolling window for ADV$, Volume CV, Amihud, DTL</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LONG_WINDOW</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90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Long rolling window for ADV$90d and Volume CV 90d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AMIHUD_WINDOW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30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Window for Amihud ratio calculation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OUTLIER_CLIP_PERCENTILE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0.99 (99th)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Upper percentile for daily dollar volume clipping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PARTICIPATION_RATE_DEFAULT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0.10 (10%)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Maximum fraction of daily volume used in DTL calculation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POSITION_PERCENTAGES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1%, 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Float fractions at which DTL is computed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CONFIDENCE_STALENESS_DAYS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Days after last bar before staleness penalty is applied</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MIN_TRADING_DAYS_FOR_VALID_SCORE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60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Minimum trading-day rows needed before confidence degrades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MIRAGE_OVERRIDE.max_float_shares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10,000,000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Float threshold for short-squeeze override trigger</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MIRAGE_OVERRIDE.min_short_pct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0.25 (25%)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Short% threshold for short-squeeze override trigger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MIRAGE_OVERRIDE.tier_downgrade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Number of tier steps applied by the override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404040"/>
        <w:sz w:val="16"/>
        <w:szCs w:val="16"/>
      </w:rPr>
      <w:t xml:space="preserve">Page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of </w:t>
    </w:r>
    <w:r>
      <w:rPr>
        <w:rFonts w:ascii="Arial" w:cs="Arial" w:eastAsia="Arial" w:hAnsi="Arial"/>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color w:val="404040"/>
        <w:sz w:val="18"/>
        <w:szCs w:val="18"/>
      </w:rPr>
      <w:t xml:space="preserve">Liquidity Agent — Complete Reference</w:t>
    </w:r>
    <w:r>
      <w:rPr>
        <w:rFonts w:ascii="Arial" w:cs="Arial" w:eastAsia="Arial" w:hAnsi="Arial"/>
        <w:sz w:val="18"/>
        <w:szCs w:val="18"/>
      </w:rPr>
      <w:t xml:space="preserve">	</w:t>
    </w:r>
    <w:r>
      <w:rPr>
        <w:rFonts w:ascii="Arial" w:cs="Arial" w:eastAsia="Arial" w:hAnsi="Arial"/>
        <w:b/>
        <w:bCs/>
        <w:color w:val="1F4E7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2026-05-26T05:30:23.098Z</dcterms:created>
  <dcterms:modified xsi:type="dcterms:W3CDTF">2026-05-26T05:30:23.098Z</dcterms:modified>
</cp:coreProperties>
</file>

<file path=docProps/custom.xml><?xml version="1.0" encoding="utf-8"?>
<Properties xmlns="http://schemas.openxmlformats.org/officeDocument/2006/custom-properties" xmlns:vt="http://schemas.openxmlformats.org/officeDocument/2006/docPropsVTypes"/>
</file>