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B2A4A" w:sz="1"/>
              <w:left w:val="single" w:color="1B2A4A" w:sz="1"/>
              <w:bottom w:val="single" w:color="1B2A4A" w:sz="1"/>
              <w:right w:val="single" w:color="1B2A4A" w:sz="1"/>
            </w:tcBorders>
            <w:shd w:fill="1B2A4A" w:val="clear"/>
            <w:tcMar>
              <w:top w:type="dxa" w:w="280"/>
              <w:left w:type="dxa" w:w="280"/>
              <w:bottom w:type="dxa" w:w="60"/>
              <w:right w:type="dxa" w:w="280"/>
            </w:tcMar>
          </w:tcPr>
          <w:p>
            <w:pPr>
              <w:jc w:val="center"/>
            </w:pPr>
            <w:r>
              <w:rPr>
                <w:rFonts w:ascii="Arial" w:cs="Arial" w:eastAsia="Arial" w:hAnsi="Arial"/>
                <w:b/>
                <w:bCs/>
                <w:color w:val="FFFFFF"/>
                <w:sz w:val="52"/>
                <w:szCs w:val="52"/>
              </w:rPr>
              <w:t xml:space="preserve">Business Requirements Document</w:t>
            </w:r>
          </w:p>
        </w:tc>
      </w:tr>
      <w:tr>
        <w:tc>
          <w:tcPr>
            <w:tcW w:type="dxa" w:w="9638"/>
            <w:tcBorders>
              <w:top w:val="single" w:color="1B2A4A" w:sz="1"/>
              <w:left w:val="single" w:color="1B2A4A" w:sz="1"/>
              <w:bottom w:val="single" w:color="1B2A4A" w:sz="1"/>
              <w:right w:val="single" w:color="1B2A4A" w:sz="1"/>
            </w:tcBorders>
            <w:shd w:fill="1B2A4A" w:val="clear"/>
            <w:tcMar>
              <w:top w:type="dxa" w:w="60"/>
              <w:left w:type="dxa" w:w="280"/>
              <w:bottom w:type="dxa" w:w="60"/>
              <w:right w:type="dxa" w:w="280"/>
            </w:tcMar>
          </w:tcPr>
          <w:p>
            <w:pPr>
              <w:jc w:val="center"/>
            </w:pPr>
            <w:r>
              <w:rPr>
                <w:rFonts w:ascii="Arial" w:cs="Arial" w:eastAsia="Arial" w:hAnsi="Arial"/>
                <w:b/>
                <w:bCs/>
                <w:color w:val="BFDBFE"/>
                <w:sz w:val="36"/>
                <w:szCs w:val="36"/>
              </w:rPr>
              <w:t xml:space="preserve">A2A Educational CRM Module</w:t>
            </w:r>
          </w:p>
        </w:tc>
      </w:tr>
      <w:tr>
        <w:tc>
          <w:tcPr>
            <w:tcW w:type="dxa" w:w="9638"/>
            <w:tcBorders>
              <w:top w:val="single" w:color="1B2A4A" w:sz="1"/>
              <w:left w:val="single" w:color="1B2A4A" w:sz="1"/>
              <w:bottom w:val="single" w:color="1B2A4A" w:sz="1"/>
              <w:right w:val="single" w:color="1B2A4A" w:sz="1"/>
            </w:tcBorders>
            <w:shd w:fill="1B2A4A" w:val="clear"/>
            <w:tcMar>
              <w:top w:type="dxa" w:w="60"/>
              <w:left w:type="dxa" w:w="280"/>
              <w:bottom w:type="dxa" w:w="60"/>
              <w:right w:type="dxa" w:w="280"/>
            </w:tcMar>
          </w:tcPr>
          <w:p>
            <w:pPr>
              <w:jc w:val="center"/>
            </w:pPr>
            <w:r>
              <w:rPr>
                <w:rFonts w:ascii="Arial" w:cs="Arial" w:eastAsia="Arial" w:hAnsi="Arial"/>
                <w:color w:val="93C5FD"/>
                <w:sz w:val="26"/>
                <w:szCs w:val="26"/>
              </w:rPr>
              <w:t xml:space="preserve">Admissions-2-Alumni (A2A) ERP  |  MEETCS Pvt. Ltd.</w:t>
            </w:r>
          </w:p>
        </w:tc>
      </w:tr>
      <w:tr>
        <w:tc>
          <w:tcPr>
            <w:tcW w:type="dxa" w:w="9638"/>
            <w:tcBorders>
              <w:top w:val="single" w:color="1B2A4A" w:sz="1"/>
              <w:left w:val="single" w:color="1B2A4A" w:sz="1"/>
              <w:bottom w:val="single" w:color="1B2A4A" w:sz="1"/>
              <w:right w:val="single" w:color="1B2A4A" w:sz="1"/>
            </w:tcBorders>
            <w:shd w:fill="1B2A4A" w:val="clear"/>
            <w:tcMar>
              <w:top w:type="dxa" w:w="40"/>
              <w:left w:type="dxa" w:w="280"/>
              <w:bottom w:type="dxa" w:w="280"/>
              <w:right w:type="dxa" w:w="280"/>
            </w:tcMar>
          </w:tcPr>
          <w:p>
            <w:pPr>
              <w:jc w:val="center"/>
            </w:pPr>
            <w:r>
              <w:rPr>
                <w:rFonts w:ascii="Arial" w:cs="Arial" w:eastAsia="Arial" w:hAnsi="Arial"/>
                <w:color w:val="93C5FD"/>
                <w:sz w:val="22"/>
                <w:szCs w:val="22"/>
              </w:rPr>
              <w:t xml:space="preserve">Version 1.0  |  April 2026  |  Draft — For Review</w:t>
            </w:r>
          </w:p>
        </w:tc>
      </w:tr>
    </w:tbl>
    <w:p>
      <w:pPr>
        <w:spacing w:after="200" w:before="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73"/>
        <w:gridCol w:w="6264"/>
      </w:tblGrid>
      <w:tr>
        <w:tc>
          <w:tcPr>
            <w:tcW w:type="dxa" w:w="3373"/>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1B2A4A"/>
                <w:sz w:val="20"/>
                <w:szCs w:val="20"/>
              </w:rPr>
              <w:t xml:space="preserve">Document Title</w:t>
            </w:r>
          </w:p>
        </w:tc>
        <w:tc>
          <w:tcPr>
            <w:tcW w:type="dxa" w:w="6264"/>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Business Requirements Document — A2A Educational CRM</w:t>
            </w:r>
          </w:p>
        </w:tc>
      </w:tr>
      <w:tr>
        <w:tc>
          <w:tcPr>
            <w:tcW w:type="dxa" w:w="3373"/>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1B2A4A"/>
                <w:sz w:val="20"/>
                <w:szCs w:val="20"/>
              </w:rPr>
              <w:t xml:space="preserve">Document ID</w:t>
            </w:r>
          </w:p>
        </w:tc>
        <w:tc>
          <w:tcPr>
            <w:tcW w:type="dxa" w:w="6264"/>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MEETCS-BRD-CRM-001</w:t>
            </w:r>
          </w:p>
        </w:tc>
      </w:tr>
      <w:tr>
        <w:tc>
          <w:tcPr>
            <w:tcW w:type="dxa" w:w="3373"/>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1B2A4A"/>
                <w:sz w:val="20"/>
                <w:szCs w:val="20"/>
              </w:rPr>
              <w:t xml:space="preserve">Version</w:t>
            </w:r>
          </w:p>
        </w:tc>
        <w:tc>
          <w:tcPr>
            <w:tcW w:type="dxa" w:w="6264"/>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1.0</w:t>
            </w:r>
          </w:p>
        </w:tc>
      </w:tr>
      <w:tr>
        <w:tc>
          <w:tcPr>
            <w:tcW w:type="dxa" w:w="3373"/>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1B2A4A"/>
                <w:sz w:val="20"/>
                <w:szCs w:val="20"/>
              </w:rPr>
              <w:t xml:space="preserve">Status</w:t>
            </w:r>
          </w:p>
        </w:tc>
        <w:tc>
          <w:tcPr>
            <w:tcW w:type="dxa" w:w="6264"/>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Draft — For Review</w:t>
            </w:r>
          </w:p>
        </w:tc>
      </w:tr>
      <w:tr>
        <w:tc>
          <w:tcPr>
            <w:tcW w:type="dxa" w:w="3373"/>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1B2A4A"/>
                <w:sz w:val="20"/>
                <w:szCs w:val="20"/>
              </w:rPr>
              <w:t xml:space="preserve">Prepared By</w:t>
            </w:r>
          </w:p>
        </w:tc>
        <w:tc>
          <w:tcPr>
            <w:tcW w:type="dxa" w:w="6264"/>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Product Management, MEETCS Pvt. Ltd.</w:t>
            </w:r>
          </w:p>
        </w:tc>
      </w:tr>
      <w:tr>
        <w:tc>
          <w:tcPr>
            <w:tcW w:type="dxa" w:w="3373"/>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1B2A4A"/>
                <w:sz w:val="20"/>
                <w:szCs w:val="20"/>
              </w:rPr>
              <w:t xml:space="preserve">Date</w:t>
            </w:r>
          </w:p>
        </w:tc>
        <w:tc>
          <w:tcPr>
            <w:tcW w:type="dxa" w:w="6264"/>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April 2026</w:t>
            </w:r>
          </w:p>
        </w:tc>
      </w:tr>
      <w:tr>
        <w:tc>
          <w:tcPr>
            <w:tcW w:type="dxa" w:w="3373"/>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1B2A4A"/>
                <w:sz w:val="20"/>
                <w:szCs w:val="20"/>
              </w:rPr>
              <w:t xml:space="preserve">Classification</w:t>
            </w:r>
          </w:p>
        </w:tc>
        <w:tc>
          <w:tcPr>
            <w:tcW w:type="dxa" w:w="6264"/>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Internal / Confidential</w:t>
            </w:r>
          </w:p>
        </w:tc>
      </w:tr>
    </w:tbl>
    <w:p>
      <w:pPr>
        <w:spacing w:after="100" w:before="200"/>
      </w:pPr>
    </w:p>
    <w:p>
      <w:pPr>
        <w:jc w:val="center"/>
      </w:pPr>
      <w:r>
        <w:rPr>
          <w:rFonts w:ascii="Arial" w:cs="Arial" w:eastAsia="Arial" w:hAnsi="Arial"/>
          <w:b/>
          <w:bCs/>
          <w:color w:val="DC2626"/>
          <w:sz w:val="18"/>
          <w:szCs w:val="18"/>
        </w:rPr>
        <w:t xml:space="preserve">INTERNAL / CONFIDENTIAL — NOT FOR EXTERNAL DISTRIBUTION</w:t>
      </w:r>
    </w:p>
    <w:p>
      <w:r>
        <w:br w:type="page"/>
      </w:r>
    </w:p>
    <w:p>
      <w:pPr>
        <w:pStyle w:val="Heading1"/>
      </w:pPr>
      <w:r>
        <w:rPr>
          <w:rFonts w:ascii="Arial" w:cs="Arial" w:eastAsia="Arial" w:hAnsi="Arial"/>
          <w:b/>
          <w:bCs/>
          <w:color w:val="FFFFFF"/>
          <w:sz w:val="28"/>
          <w:szCs w:val="28"/>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0" w:before="160"/>
      </w:pPr>
      <w:r>
        <w:rPr>
          <w:rFonts w:ascii="Arial" w:cs="Arial" w:eastAsia="Arial" w:hAnsi="Arial"/>
          <w:b/>
          <w:bCs/>
          <w:i w:val="false"/>
          <w:iCs w:val="false"/>
          <w:color w:val="1B2A4A"/>
          <w:sz w:val="28"/>
          <w:szCs w:val="28"/>
        </w:rPr>
        <w:t xml:space="preserve">1. Executive Summary</w:t>
      </w:r>
    </w:p>
    <w:p>
      <w:pPr>
        <w:spacing w:after="80" w:before="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B2A4A" w:sz="1"/>
              <w:left w:val="single" w:color="1B2A4A" w:sz="1"/>
              <w:bottom w:val="single" w:color="1B2A4A" w:sz="1"/>
              <w:right w:val="single" w:color="1B2A4A" w:sz="1"/>
            </w:tcBorders>
            <w:shd w:fill="1B2A4A" w:val="clear"/>
            <w:tcMar>
              <w:top w:type="dxa" w:w="120"/>
              <w:left w:type="dxa" w:w="160"/>
              <w:bottom w:type="dxa" w:w="120"/>
              <w:right w:type="dxa" w:w="160"/>
            </w:tcMar>
          </w:tcPr>
          <w:p>
            <w:pPr>
              <w:jc w:val="left"/>
            </w:pPr>
            <w:r>
              <w:rPr>
                <w:rFonts w:ascii="Arial" w:cs="Arial" w:eastAsia="Arial" w:hAnsi="Arial"/>
                <w:b/>
                <w:bCs/>
                <w:i w:val="false"/>
                <w:iCs w:val="false"/>
                <w:color w:val="FFFFFF"/>
                <w:sz w:val="28"/>
                <w:szCs w:val="28"/>
              </w:rPr>
              <w:t xml:space="preserve">1. Executive Summary</w:t>
            </w:r>
          </w:p>
        </w:tc>
      </w:tr>
    </w:tbl>
    <w:p>
      <w:pPr>
        <w:spacing w:after="80" w:before="80"/>
      </w:pPr>
    </w:p>
    <w:p>
      <w:pPr>
        <w:spacing w:after="80" w:before="80"/>
      </w:pPr>
    </w:p>
    <w:p>
      <w:pPr>
        <w:spacing w:after="40" w:before="40"/>
      </w:pPr>
    </w:p>
    <w:p>
      <w:pPr>
        <w:spacing w:after="60" w:before="60"/>
        <w:jc w:val="both"/>
      </w:pPr>
      <w:r>
        <w:rPr>
          <w:rFonts w:ascii="Arial" w:cs="Arial" w:eastAsia="Arial" w:hAnsi="Arial"/>
          <w:b w:val="false"/>
          <w:bCs w:val="false"/>
          <w:i w:val="false"/>
          <w:iCs w:val="false"/>
          <w:color w:val="111827"/>
          <w:sz w:val="20"/>
          <w:szCs w:val="20"/>
        </w:rPr>
        <w:t xml:space="preserve">MEETCS Pvt. Ltd. intends to design, build and deploy a best-in-class </w:t>
      </w:r>
      <w:r>
        <w:rPr>
          <w:rFonts w:ascii="Arial" w:cs="Arial" w:eastAsia="Arial" w:hAnsi="Arial"/>
          <w:b/>
          <w:bCs/>
          <w:i w:val="false"/>
          <w:iCs w:val="false"/>
          <w:color w:val="111827"/>
          <w:sz w:val="20"/>
          <w:szCs w:val="20"/>
        </w:rPr>
        <w:t xml:space="preserve">Educational CRM module</w:t>
      </w:r>
      <w:r>
        <w:rPr>
          <w:rFonts w:ascii="Arial" w:cs="Arial" w:eastAsia="Arial" w:hAnsi="Arial"/>
          <w:b w:val="false"/>
          <w:bCs w:val="false"/>
          <w:i w:val="false"/>
          <w:iCs w:val="false"/>
          <w:color w:val="111827"/>
          <w:sz w:val="20"/>
          <w:szCs w:val="20"/>
        </w:rPr>
        <w:t xml:space="preserve"> natively integrated within its </w:t>
      </w:r>
      <w:r>
        <w:rPr>
          <w:rFonts w:ascii="Arial" w:cs="Arial" w:eastAsia="Arial" w:hAnsi="Arial"/>
          <w:b/>
          <w:bCs/>
          <w:i w:val="false"/>
          <w:iCs w:val="false"/>
          <w:color w:val="111827"/>
          <w:sz w:val="20"/>
          <w:szCs w:val="20"/>
        </w:rPr>
        <w:t xml:space="preserve">Admissions-2-Alumni (A2A) Educational ERP</w:t>
      </w:r>
      <w:r>
        <w:rPr>
          <w:rFonts w:ascii="Arial" w:cs="Arial" w:eastAsia="Arial" w:hAnsi="Arial"/>
          <w:b w:val="false"/>
          <w:bCs w:val="false"/>
          <w:i w:val="false"/>
          <w:iCs w:val="false"/>
          <w:color w:val="111827"/>
          <w:sz w:val="20"/>
          <w:szCs w:val="20"/>
        </w:rPr>
        <w:t xml:space="preserve"> platform. This module, referred to herein as </w:t>
      </w:r>
      <w:r>
        <w:rPr>
          <w:rFonts w:ascii="Arial" w:cs="Arial" w:eastAsia="Arial" w:hAnsi="Arial"/>
          <w:b/>
          <w:bCs/>
          <w:i w:val="false"/>
          <w:iCs w:val="false"/>
          <w:color w:val="111827"/>
          <w:sz w:val="20"/>
          <w:szCs w:val="20"/>
        </w:rPr>
        <w:t xml:space="preserve">A2A-CRM</w:t>
      </w:r>
      <w:r>
        <w:rPr>
          <w:rFonts w:ascii="Arial" w:cs="Arial" w:eastAsia="Arial" w:hAnsi="Arial"/>
          <w:b w:val="false"/>
          <w:bCs w:val="false"/>
          <w:i w:val="false"/>
          <w:iCs w:val="false"/>
          <w:color w:val="111827"/>
          <w:sz w:val="20"/>
          <w:szCs w:val="20"/>
        </w:rPr>
        <w:t xml:space="preserve">, will serve as the primary system of engagement for prospective student acquisition, enquiry management, admissions pipeline tracking, enrolment conversion, and lifecycle management right through to alumni engagement.</w:t>
      </w:r>
    </w:p>
    <w:p>
      <w:pPr>
        <w:spacing w:after="40" w:before="40"/>
      </w:pPr>
    </w:p>
    <w:p>
      <w:pPr>
        <w:spacing w:after="60" w:before="60"/>
        <w:jc w:val="both"/>
      </w:pPr>
      <w:r>
        <w:rPr>
          <w:rFonts w:ascii="Arial" w:cs="Arial" w:eastAsia="Arial" w:hAnsi="Arial"/>
          <w:b w:val="false"/>
          <w:bCs w:val="false"/>
          <w:i w:val="false"/>
          <w:iCs w:val="false"/>
          <w:color w:val="111827"/>
          <w:sz w:val="20"/>
          <w:szCs w:val="20"/>
        </w:rPr>
        <w:t xml:space="preserve">The A2A-CRM is designed to replace dependency on third-party CRM platforms such as Meritto, LeadSquared, ExtraAedge, Mastersoft CRM and Salesforce Education Cloud for institutions already on or evaluating the A2A ERP ecosystem. It leverages MEETCS's unique position as an integrated ERP provider to offer seamless, zero-friction data continuity across the entire student lifecycle — from first enquiry to graduation and beyond.</w:t>
      </w:r>
    </w:p>
    <w:p>
      <w:pPr>
        <w:spacing w:after="40" w:before="40"/>
      </w:pPr>
    </w:p>
    <w:p>
      <w:pPr>
        <w:spacing w:after="60" w:before="60"/>
        <w:jc w:val="both"/>
      </w:pPr>
      <w:r>
        <w:rPr>
          <w:rFonts w:ascii="Arial" w:cs="Arial" w:eastAsia="Arial" w:hAnsi="Arial"/>
          <w:b w:val="false"/>
          <w:bCs w:val="false"/>
          <w:i w:val="false"/>
          <w:iCs w:val="false"/>
          <w:color w:val="111827"/>
          <w:sz w:val="20"/>
          <w:szCs w:val="20"/>
        </w:rPr>
        <w:t xml:space="preserve">This document establishes the complete set of business requirements that will guide the design, development, testing and deployment of the A2A-CRM module.</w:t>
      </w:r>
    </w:p>
    <w:p>
      <w:pPr>
        <w:spacing w:after="40" w:before="40"/>
      </w:pPr>
    </w:p>
    <w:p>
      <w:pPr>
        <w:pBdr>
          <w:bottom w:val="single" w:color="D1D5DB" w:sz="3" w:space="1"/>
        </w:pBdr>
        <w:spacing w:after="80" w:before="80"/>
      </w:pPr>
    </w:p>
    <w:p>
      <w:pPr>
        <w:spacing w:after="40" w:before="40"/>
      </w:pPr>
    </w:p>
    <w:p>
      <w:pPr>
        <w:pStyle w:val="Heading1"/>
        <w:spacing w:after="0" w:before="160"/>
      </w:pPr>
      <w:r>
        <w:rPr>
          <w:rFonts w:ascii="Arial" w:cs="Arial" w:eastAsia="Arial" w:hAnsi="Arial"/>
          <w:b/>
          <w:bCs/>
          <w:i w:val="false"/>
          <w:iCs w:val="false"/>
          <w:color w:val="1B2A4A"/>
          <w:sz w:val="28"/>
          <w:szCs w:val="28"/>
        </w:rPr>
        <w:t xml:space="preserve">2. Business Context and Strategic Rationale</w:t>
      </w:r>
    </w:p>
    <w:p>
      <w:pPr>
        <w:spacing w:after="80" w:before="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B2A4A" w:sz="1"/>
              <w:left w:val="single" w:color="1B2A4A" w:sz="1"/>
              <w:bottom w:val="single" w:color="1B2A4A" w:sz="1"/>
              <w:right w:val="single" w:color="1B2A4A" w:sz="1"/>
            </w:tcBorders>
            <w:shd w:fill="1B2A4A" w:val="clear"/>
            <w:tcMar>
              <w:top w:type="dxa" w:w="120"/>
              <w:left w:type="dxa" w:w="160"/>
              <w:bottom w:type="dxa" w:w="120"/>
              <w:right w:type="dxa" w:w="160"/>
            </w:tcMar>
          </w:tcPr>
          <w:p>
            <w:pPr>
              <w:jc w:val="left"/>
            </w:pPr>
            <w:r>
              <w:rPr>
                <w:rFonts w:ascii="Arial" w:cs="Arial" w:eastAsia="Arial" w:hAnsi="Arial"/>
                <w:b/>
                <w:bCs/>
                <w:i w:val="false"/>
                <w:iCs w:val="false"/>
                <w:color w:val="FFFFFF"/>
                <w:sz w:val="28"/>
                <w:szCs w:val="28"/>
              </w:rPr>
              <w:t xml:space="preserve">2. Business Context and Strategic Rationale</w:t>
            </w:r>
          </w:p>
        </w:tc>
      </w:tr>
    </w:tbl>
    <w:p>
      <w:pPr>
        <w:spacing w:after="80" w:before="80"/>
      </w:pPr>
    </w:p>
    <w:p>
      <w:pPr>
        <w:spacing w:after="80" w:before="80"/>
      </w:pPr>
    </w:p>
    <w:p>
      <w:pPr>
        <w:spacing w:after="40" w:before="40"/>
      </w:pPr>
    </w:p>
    <w:p>
      <w:pPr>
        <w:pStyle w:val="Heading3"/>
        <w:spacing w:after="100" w:before="200"/>
      </w:pPr>
      <w:r>
        <w:rPr>
          <w:rFonts w:ascii="Arial" w:cs="Arial" w:eastAsia="Arial" w:hAnsi="Arial"/>
          <w:b/>
          <w:bCs/>
          <w:i w:val="false"/>
          <w:iCs w:val="false"/>
          <w:color w:val="2563EB"/>
          <w:sz w:val="24"/>
          <w:szCs w:val="24"/>
        </w:rPr>
        <w:t xml:space="preserve">2.1 Market Opportunity</w:t>
      </w:r>
    </w:p>
    <w:p>
      <w:pPr>
        <w:spacing w:after="40" w:before="40"/>
      </w:pPr>
    </w:p>
    <w:p>
      <w:pPr>
        <w:spacing w:after="60" w:before="60"/>
        <w:jc w:val="both"/>
      </w:pPr>
      <w:r>
        <w:rPr>
          <w:rFonts w:ascii="Arial" w:cs="Arial" w:eastAsia="Arial" w:hAnsi="Arial"/>
          <w:b w:val="false"/>
          <w:bCs w:val="false"/>
          <w:i w:val="false"/>
          <w:iCs w:val="false"/>
          <w:color w:val="111827"/>
          <w:sz w:val="20"/>
          <w:szCs w:val="20"/>
        </w:rPr>
        <w:t xml:space="preserve">The Indian higher education market comprises over 1,000 universities and 40,000+ colleges, with growing K-12 chains, EdTech platforms, coaching institutes, and vocational training providers all facing intensifying competition for student enrolments. Current CRM solutions in use by Indian educational institutions are either:</w:t>
      </w:r>
    </w:p>
    <w:p>
      <w:pPr>
        <w:spacing w:after="40" w:before="40"/>
      </w:pPr>
    </w:p>
    <w:p>
      <w:pPr>
        <w:pStyle w:val="ListParagraph"/>
        <w:numPr>
          <w:ilvl w:val="0"/>
          <w:numId w:val="2"/>
        </w:numPr>
        <w:spacing w:after="40" w:before="40"/>
      </w:pPr>
      <w:r>
        <w:rPr>
          <w:rFonts w:ascii="Arial" w:cs="Arial" w:eastAsia="Arial" w:hAnsi="Arial"/>
          <w:b w:val="false"/>
          <w:bCs w:val="false"/>
          <w:i w:val="false"/>
          <w:iCs w:val="false"/>
          <w:color w:val="111827"/>
          <w:sz w:val="20"/>
          <w:szCs w:val="20"/>
        </w:rPr>
        <w:t xml:space="preserve">Generic CRMs (Salesforce, Zoho, HubSpot) that require heavy customisation and lack native education workflows, or</w:t>
      </w:r>
    </w:p>
    <w:p>
      <w:pPr>
        <w:pStyle w:val="ListParagraph"/>
        <w:numPr>
          <w:ilvl w:val="0"/>
          <w:numId w:val="2"/>
        </w:numPr>
        <w:spacing w:after="40" w:before="40"/>
      </w:pPr>
      <w:r>
        <w:rPr>
          <w:rFonts w:ascii="Arial" w:cs="Arial" w:eastAsia="Arial" w:hAnsi="Arial"/>
          <w:b w:val="false"/>
          <w:bCs w:val="false"/>
          <w:i w:val="false"/>
          <w:iCs w:val="false"/>
          <w:color w:val="111827"/>
          <w:sz w:val="20"/>
          <w:szCs w:val="20"/>
        </w:rPr>
        <w:t xml:space="preserve">Point solutions (Meritto, ExtraAedge, LeadSquared) focused exclusively on admissions, with no continuity into the post-enrolment ERP world.</w:t>
      </w:r>
    </w:p>
    <w:p>
      <w:pPr>
        <w:spacing w:after="40" w:before="40"/>
      </w:pPr>
    </w:p>
    <w:p>
      <w:pPr>
        <w:spacing w:after="60" w:before="60"/>
        <w:jc w:val="both"/>
      </w:pPr>
      <w:r>
        <w:rPr>
          <w:rFonts w:ascii="Arial" w:cs="Arial" w:eastAsia="Arial" w:hAnsi="Arial"/>
          <w:b w:val="false"/>
          <w:bCs w:val="false"/>
          <w:i w:val="false"/>
          <w:iCs w:val="false"/>
          <w:color w:val="111827"/>
          <w:sz w:val="20"/>
          <w:szCs w:val="20"/>
        </w:rPr>
        <w:t xml:space="preserve">This creates a </w:t>
      </w:r>
      <w:r>
        <w:rPr>
          <w:rFonts w:ascii="Arial" w:cs="Arial" w:eastAsia="Arial" w:hAnsi="Arial"/>
          <w:b/>
          <w:bCs/>
          <w:i w:val="false"/>
          <w:iCs w:val="false"/>
          <w:color w:val="111827"/>
          <w:sz w:val="20"/>
          <w:szCs w:val="20"/>
        </w:rPr>
        <w:t xml:space="preserve">structural integration gap</w:t>
      </w:r>
      <w:r>
        <w:rPr>
          <w:rFonts w:ascii="Arial" w:cs="Arial" w:eastAsia="Arial" w:hAnsi="Arial"/>
          <w:b w:val="false"/>
          <w:bCs w:val="false"/>
          <w:i w:val="false"/>
          <w:iCs w:val="false"/>
          <w:color w:val="111827"/>
          <w:sz w:val="20"/>
          <w:szCs w:val="20"/>
        </w:rPr>
        <w:t xml:space="preserve">: institutions must manage multiple, disconnected systems for CRM, ERP, LMS, and HRMS, leading to data silos, duplicate records, manual reconciliation effort, and lost conversion opportunities.</w:t>
      </w:r>
    </w:p>
    <w:p>
      <w:pPr>
        <w:spacing w:after="40" w:before="40"/>
      </w:pPr>
    </w:p>
    <w:p>
      <w:pPr>
        <w:pStyle w:val="Heading3"/>
        <w:spacing w:after="100" w:before="200"/>
      </w:pPr>
      <w:r>
        <w:rPr>
          <w:rFonts w:ascii="Arial" w:cs="Arial" w:eastAsia="Arial" w:hAnsi="Arial"/>
          <w:b/>
          <w:bCs/>
          <w:i w:val="false"/>
          <w:iCs w:val="false"/>
          <w:color w:val="2563EB"/>
          <w:sz w:val="24"/>
          <w:szCs w:val="24"/>
        </w:rPr>
        <w:t xml:space="preserve">2.2 MEETCS Strategic Position</w:t>
      </w:r>
    </w:p>
    <w:p>
      <w:pPr>
        <w:spacing w:after="40" w:before="40"/>
      </w:pPr>
    </w:p>
    <w:p>
      <w:pPr>
        <w:spacing w:after="60" w:before="60"/>
        <w:jc w:val="both"/>
      </w:pPr>
      <w:r>
        <w:rPr>
          <w:rFonts w:ascii="Arial" w:cs="Arial" w:eastAsia="Arial" w:hAnsi="Arial"/>
          <w:b w:val="false"/>
          <w:bCs w:val="false"/>
          <w:i w:val="false"/>
          <w:iCs w:val="false"/>
          <w:color w:val="111827"/>
          <w:sz w:val="20"/>
          <w:szCs w:val="20"/>
        </w:rPr>
        <w:t xml:space="preserve">MEETCS, through the A2A ERP platform, already manages the post-admission lifecycle: academics, examinations, student services, alumni, and HR. By extending A2A into the </w:t>
      </w:r>
      <w:r>
        <w:rPr>
          <w:rFonts w:ascii="Arial" w:cs="Arial" w:eastAsia="Arial" w:hAnsi="Arial"/>
          <w:b/>
          <w:bCs/>
          <w:i w:val="false"/>
          <w:iCs w:val="false"/>
          <w:color w:val="111827"/>
          <w:sz w:val="20"/>
          <w:szCs w:val="20"/>
        </w:rPr>
        <w:t xml:space="preserve">pre-admission CRM space</w:t>
      </w:r>
      <w:r>
        <w:rPr>
          <w:rFonts w:ascii="Arial" w:cs="Arial" w:eastAsia="Arial" w:hAnsi="Arial"/>
          <w:b w:val="false"/>
          <w:bCs w:val="false"/>
          <w:i w:val="false"/>
          <w:iCs w:val="false"/>
          <w:color w:val="111827"/>
          <w:sz w:val="20"/>
          <w:szCs w:val="20"/>
        </w:rPr>
        <w:t xml:space="preserve">, MEETCS can offer institutions a single, truly unified system spanning Enquiry → Admission → Student → Alumni — a capability no current competitor in the Indian market offers end-to-end.</w:t>
      </w:r>
    </w:p>
    <w:p>
      <w:pPr>
        <w:spacing w:after="40" w:before="40"/>
      </w:pPr>
    </w:p>
    <w:p>
      <w:pPr>
        <w:pStyle w:val="Heading3"/>
        <w:spacing w:after="100" w:before="200"/>
      </w:pPr>
      <w:r>
        <w:rPr>
          <w:rFonts w:ascii="Arial" w:cs="Arial" w:eastAsia="Arial" w:hAnsi="Arial"/>
          <w:b/>
          <w:bCs/>
          <w:i w:val="false"/>
          <w:iCs w:val="false"/>
          <w:color w:val="2563EB"/>
          <w:sz w:val="24"/>
          <w:szCs w:val="24"/>
        </w:rPr>
        <w:t xml:space="preserve">2.3 Key Strategic Drivers</w:t>
      </w:r>
    </w:p>
    <w:p>
      <w:pPr>
        <w:spacing w:after="40" w:before="40"/>
      </w:pPr>
    </w:p>
    <w:p>
      <w:pPr>
        <w:pStyle w:val="ListParagraph"/>
        <w:numPr>
          <w:ilvl w:val="0"/>
          <w:numId w:val="2"/>
        </w:numPr>
        <w:spacing w:after="40" w:before="40"/>
      </w:pPr>
      <w:r>
        <w:rPr>
          <w:rFonts w:ascii="Arial" w:cs="Arial" w:eastAsia="Arial" w:hAnsi="Arial"/>
          <w:b w:val="false"/>
          <w:bCs w:val="false"/>
          <w:i w:val="false"/>
          <w:iCs w:val="false"/>
          <w:color w:val="111827"/>
          <w:sz w:val="20"/>
          <w:szCs w:val="20"/>
        </w:rPr>
        <w:t xml:space="preserve">Increase A2A ERP platform stickiness and reduce churn by eliminating reliance on third-party CRM tools</w:t>
      </w:r>
    </w:p>
    <w:p>
      <w:pPr>
        <w:pStyle w:val="ListParagraph"/>
        <w:numPr>
          <w:ilvl w:val="0"/>
          <w:numId w:val="2"/>
        </w:numPr>
        <w:spacing w:after="40" w:before="40"/>
      </w:pPr>
      <w:r>
        <w:rPr>
          <w:rFonts w:ascii="Arial" w:cs="Arial" w:eastAsia="Arial" w:hAnsi="Arial"/>
          <w:b w:val="false"/>
          <w:bCs w:val="false"/>
          <w:i w:val="false"/>
          <w:iCs w:val="false"/>
          <w:color w:val="111827"/>
          <w:sz w:val="20"/>
          <w:szCs w:val="20"/>
        </w:rPr>
        <w:t xml:space="preserve">Open a new revenue stream: A2A-CRM can be licensed standalone to institutions not yet on the full ERP</w:t>
      </w:r>
    </w:p>
    <w:p>
      <w:pPr>
        <w:pStyle w:val="ListParagraph"/>
        <w:numPr>
          <w:ilvl w:val="0"/>
          <w:numId w:val="2"/>
        </w:numPr>
        <w:spacing w:after="40" w:before="40"/>
      </w:pPr>
      <w:r>
        <w:rPr>
          <w:rFonts w:ascii="Arial" w:cs="Arial" w:eastAsia="Arial" w:hAnsi="Arial"/>
          <w:b w:val="false"/>
          <w:bCs w:val="false"/>
          <w:i w:val="false"/>
          <w:iCs w:val="false"/>
          <w:color w:val="111827"/>
          <w:sz w:val="20"/>
          <w:szCs w:val="20"/>
        </w:rPr>
        <w:t xml:space="preserve">Leverage the existing A2A data model (student master, programmes, fee structures, academic calendar) to eliminate duplicate configuration</w:t>
      </w:r>
    </w:p>
    <w:p>
      <w:pPr>
        <w:pStyle w:val="ListParagraph"/>
        <w:numPr>
          <w:ilvl w:val="0"/>
          <w:numId w:val="2"/>
        </w:numPr>
        <w:spacing w:after="40" w:before="40"/>
      </w:pPr>
      <w:r>
        <w:rPr>
          <w:rFonts w:ascii="Arial" w:cs="Arial" w:eastAsia="Arial" w:hAnsi="Arial"/>
          <w:b w:val="false"/>
          <w:bCs w:val="false"/>
          <w:i w:val="false"/>
          <w:iCs w:val="false"/>
          <w:color w:val="111827"/>
          <w:sz w:val="20"/>
          <w:szCs w:val="20"/>
        </w:rPr>
        <w:t xml:space="preserve">Embed AI and agentic intelligence from day one, building on MEETCS's existing investment in the Anthropic API-powered CRM engine within A2A</w:t>
      </w:r>
    </w:p>
    <w:p>
      <w:pPr>
        <w:pStyle w:val="ListParagraph"/>
        <w:numPr>
          <w:ilvl w:val="0"/>
          <w:numId w:val="2"/>
        </w:numPr>
        <w:spacing w:after="40" w:before="40"/>
      </w:pPr>
      <w:r>
        <w:rPr>
          <w:rFonts w:ascii="Arial" w:cs="Arial" w:eastAsia="Arial" w:hAnsi="Arial"/>
          <w:b w:val="false"/>
          <w:bCs w:val="false"/>
          <w:i w:val="false"/>
          <w:iCs w:val="false"/>
          <w:color w:val="111827"/>
          <w:sz w:val="20"/>
          <w:szCs w:val="20"/>
        </w:rPr>
        <w:t xml:space="preserve">Comply natively with India's </w:t>
      </w:r>
      <w:r>
        <w:rPr>
          <w:rFonts w:ascii="Arial" w:cs="Arial" w:eastAsia="Arial" w:hAnsi="Arial"/>
          <w:b/>
          <w:bCs/>
          <w:i w:val="false"/>
          <w:iCs w:val="false"/>
          <w:color w:val="111827"/>
          <w:sz w:val="20"/>
          <w:szCs w:val="20"/>
        </w:rPr>
        <w:t xml:space="preserve">Digital Personal Data Protection (DPDP) Act, 2023</w:t>
      </w:r>
    </w:p>
    <w:p>
      <w:pPr>
        <w:spacing w:after="40" w:before="40"/>
      </w:pPr>
    </w:p>
    <w:p>
      <w:pPr>
        <w:pBdr>
          <w:bottom w:val="single" w:color="D1D5DB" w:sz="3" w:space="1"/>
        </w:pBdr>
        <w:spacing w:after="80" w:before="80"/>
      </w:pPr>
    </w:p>
    <w:p>
      <w:pPr>
        <w:spacing w:after="40" w:before="40"/>
      </w:pPr>
    </w:p>
    <w:p>
      <w:pPr>
        <w:pStyle w:val="Heading1"/>
        <w:spacing w:after="0" w:before="160"/>
      </w:pPr>
      <w:r>
        <w:rPr>
          <w:rFonts w:ascii="Arial" w:cs="Arial" w:eastAsia="Arial" w:hAnsi="Arial"/>
          <w:b/>
          <w:bCs/>
          <w:i w:val="false"/>
          <w:iCs w:val="false"/>
          <w:color w:val="1B2A4A"/>
          <w:sz w:val="28"/>
          <w:szCs w:val="28"/>
        </w:rPr>
        <w:t xml:space="preserve">3. Scope</w:t>
      </w:r>
    </w:p>
    <w:p>
      <w:pPr>
        <w:spacing w:after="80" w:before="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B2A4A" w:sz="1"/>
              <w:left w:val="single" w:color="1B2A4A" w:sz="1"/>
              <w:bottom w:val="single" w:color="1B2A4A" w:sz="1"/>
              <w:right w:val="single" w:color="1B2A4A" w:sz="1"/>
            </w:tcBorders>
            <w:shd w:fill="1B2A4A" w:val="clear"/>
            <w:tcMar>
              <w:top w:type="dxa" w:w="120"/>
              <w:left w:type="dxa" w:w="160"/>
              <w:bottom w:type="dxa" w:w="120"/>
              <w:right w:type="dxa" w:w="160"/>
            </w:tcMar>
          </w:tcPr>
          <w:p>
            <w:pPr>
              <w:jc w:val="left"/>
            </w:pPr>
            <w:r>
              <w:rPr>
                <w:rFonts w:ascii="Arial" w:cs="Arial" w:eastAsia="Arial" w:hAnsi="Arial"/>
                <w:b/>
                <w:bCs/>
                <w:i w:val="false"/>
                <w:iCs w:val="false"/>
                <w:color w:val="FFFFFF"/>
                <w:sz w:val="28"/>
                <w:szCs w:val="28"/>
              </w:rPr>
              <w:t xml:space="preserve">3. Scope</w:t>
            </w:r>
          </w:p>
        </w:tc>
      </w:tr>
    </w:tbl>
    <w:p>
      <w:pPr>
        <w:spacing w:after="80" w:before="80"/>
      </w:pPr>
    </w:p>
    <w:p>
      <w:pPr>
        <w:spacing w:after="80" w:before="80"/>
      </w:pPr>
    </w:p>
    <w:p>
      <w:pPr>
        <w:spacing w:after="40" w:before="40"/>
      </w:pPr>
    </w:p>
    <w:p>
      <w:pPr>
        <w:pStyle w:val="Heading3"/>
        <w:spacing w:after="100" w:before="200"/>
      </w:pPr>
      <w:r>
        <w:rPr>
          <w:rFonts w:ascii="Arial" w:cs="Arial" w:eastAsia="Arial" w:hAnsi="Arial"/>
          <w:b/>
          <w:bCs/>
          <w:i w:val="false"/>
          <w:iCs w:val="false"/>
          <w:color w:val="2563EB"/>
          <w:sz w:val="24"/>
          <w:szCs w:val="24"/>
        </w:rPr>
        <w:t xml:space="preserve">3.1 In Scope</w:t>
      </w:r>
    </w:p>
    <w:p>
      <w:pPr>
        <w:spacing w:after="40" w:before="40"/>
      </w:pPr>
    </w:p>
    <w:p>
      <w:pPr>
        <w:spacing w:after="60" w:before="60"/>
        <w:jc w:val="both"/>
      </w:pPr>
      <w:r>
        <w:rPr>
          <w:rFonts w:ascii="Arial" w:cs="Arial" w:eastAsia="Arial" w:hAnsi="Arial"/>
          <w:b w:val="false"/>
          <w:bCs w:val="false"/>
          <w:i w:val="false"/>
          <w:iCs w:val="false"/>
          <w:color w:val="111827"/>
          <w:sz w:val="20"/>
          <w:szCs w:val="20"/>
        </w:rPr>
        <w:t xml:space="preserve">The following are within the scope of this BRD and the A2A-CRM module:</w:t>
      </w:r>
    </w:p>
    <w:p>
      <w:pPr>
        <w:spacing w:after="40" w:before="40"/>
      </w:pPr>
    </w:p>
    <w:p>
      <w:pPr>
        <w:pStyle w:val="ListParagraph"/>
        <w:numPr>
          <w:ilvl w:val="0"/>
          <w:numId w:val="2"/>
        </w:numPr>
        <w:spacing w:after="40" w:before="40"/>
      </w:pPr>
      <w:r>
        <w:rPr>
          <w:rFonts w:ascii="Arial" w:cs="Arial" w:eastAsia="Arial" w:hAnsi="Arial"/>
          <w:b w:val="false"/>
          <w:bCs w:val="false"/>
          <w:i w:val="false"/>
          <w:iCs w:val="false"/>
          <w:color w:val="111827"/>
          <w:sz w:val="20"/>
          <w:szCs w:val="20"/>
        </w:rPr>
        <w:t xml:space="preserve">Enquiry and lead capture from all digital and offline channels</w:t>
      </w:r>
    </w:p>
    <w:p>
      <w:pPr>
        <w:pStyle w:val="ListParagraph"/>
        <w:numPr>
          <w:ilvl w:val="0"/>
          <w:numId w:val="2"/>
        </w:numPr>
        <w:spacing w:after="40" w:before="40"/>
      </w:pPr>
      <w:r>
        <w:rPr>
          <w:rFonts w:ascii="Arial" w:cs="Arial" w:eastAsia="Arial" w:hAnsi="Arial"/>
          <w:b w:val="false"/>
          <w:bCs w:val="false"/>
          <w:i w:val="false"/>
          <w:iCs w:val="false"/>
          <w:color w:val="111827"/>
          <w:sz w:val="20"/>
          <w:szCs w:val="20"/>
        </w:rPr>
        <w:t xml:space="preserve">Lead qualification, scoring and nurturing workflows</w:t>
      </w:r>
    </w:p>
    <w:p>
      <w:pPr>
        <w:pStyle w:val="ListParagraph"/>
        <w:numPr>
          <w:ilvl w:val="0"/>
          <w:numId w:val="2"/>
        </w:numPr>
        <w:spacing w:after="40" w:before="40"/>
      </w:pPr>
      <w:r>
        <w:rPr>
          <w:rFonts w:ascii="Arial" w:cs="Arial" w:eastAsia="Arial" w:hAnsi="Arial"/>
          <w:b w:val="false"/>
          <w:bCs w:val="false"/>
          <w:i w:val="false"/>
          <w:iCs w:val="false"/>
          <w:color w:val="111827"/>
          <w:sz w:val="20"/>
          <w:szCs w:val="20"/>
        </w:rPr>
        <w:t xml:space="preserve">Counsellor and counselling centre management</w:t>
      </w:r>
    </w:p>
    <w:p>
      <w:pPr>
        <w:pStyle w:val="ListParagraph"/>
        <w:numPr>
          <w:ilvl w:val="0"/>
          <w:numId w:val="2"/>
        </w:numPr>
        <w:spacing w:after="40" w:before="40"/>
      </w:pPr>
      <w:r>
        <w:rPr>
          <w:rFonts w:ascii="Arial" w:cs="Arial" w:eastAsia="Arial" w:hAnsi="Arial"/>
          <w:b w:val="false"/>
          <w:bCs w:val="false"/>
          <w:i w:val="false"/>
          <w:iCs w:val="false"/>
          <w:color w:val="111827"/>
          <w:sz w:val="20"/>
          <w:szCs w:val="20"/>
        </w:rPr>
        <w:t xml:space="preserve">Application form management and admission pipeline tracking</w:t>
      </w:r>
    </w:p>
    <w:p>
      <w:pPr>
        <w:pStyle w:val="ListParagraph"/>
        <w:numPr>
          <w:ilvl w:val="0"/>
          <w:numId w:val="2"/>
        </w:numPr>
        <w:spacing w:after="40" w:before="40"/>
      </w:pPr>
      <w:r>
        <w:rPr>
          <w:rFonts w:ascii="Arial" w:cs="Arial" w:eastAsia="Arial" w:hAnsi="Arial"/>
          <w:b w:val="false"/>
          <w:bCs w:val="false"/>
          <w:i w:val="false"/>
          <w:iCs w:val="false"/>
          <w:color w:val="111827"/>
          <w:sz w:val="20"/>
          <w:szCs w:val="20"/>
        </w:rPr>
        <w:t xml:space="preserve">Multi-channel communication (Email, SMS, WhatsApp, Voice, IVR)</w:t>
      </w:r>
    </w:p>
    <w:p>
      <w:pPr>
        <w:pStyle w:val="ListParagraph"/>
        <w:numPr>
          <w:ilvl w:val="0"/>
          <w:numId w:val="2"/>
        </w:numPr>
        <w:spacing w:after="40" w:before="40"/>
      </w:pPr>
      <w:r>
        <w:rPr>
          <w:rFonts w:ascii="Arial" w:cs="Arial" w:eastAsia="Arial" w:hAnsi="Arial"/>
          <w:b w:val="false"/>
          <w:bCs w:val="false"/>
          <w:i w:val="false"/>
          <w:iCs w:val="false"/>
          <w:color w:val="111827"/>
          <w:sz w:val="20"/>
          <w:szCs w:val="20"/>
        </w:rPr>
        <w:t xml:space="preserve">Marketing campaign management and automation</w:t>
      </w:r>
    </w:p>
    <w:p>
      <w:pPr>
        <w:pStyle w:val="ListParagraph"/>
        <w:numPr>
          <w:ilvl w:val="0"/>
          <w:numId w:val="2"/>
        </w:numPr>
        <w:spacing w:after="40" w:before="40"/>
      </w:pPr>
      <w:r>
        <w:rPr>
          <w:rFonts w:ascii="Arial" w:cs="Arial" w:eastAsia="Arial" w:hAnsi="Arial"/>
          <w:b w:val="false"/>
          <w:bCs w:val="false"/>
          <w:i w:val="false"/>
          <w:iCs w:val="false"/>
          <w:color w:val="111827"/>
          <w:sz w:val="20"/>
          <w:szCs w:val="20"/>
        </w:rPr>
        <w:t xml:space="preserve">Fee collection, scholarships and payment gateway integration</w:t>
      </w:r>
    </w:p>
    <w:p>
      <w:pPr>
        <w:pStyle w:val="ListParagraph"/>
        <w:numPr>
          <w:ilvl w:val="0"/>
          <w:numId w:val="2"/>
        </w:numPr>
        <w:spacing w:after="40" w:before="40"/>
      </w:pPr>
      <w:r>
        <w:rPr>
          <w:rFonts w:ascii="Arial" w:cs="Arial" w:eastAsia="Arial" w:hAnsi="Arial"/>
          <w:b w:val="false"/>
          <w:bCs w:val="false"/>
          <w:i w:val="false"/>
          <w:iCs w:val="false"/>
          <w:color w:val="111827"/>
          <w:sz w:val="20"/>
          <w:szCs w:val="20"/>
        </w:rPr>
        <w:t xml:space="preserve">Document collection, verification and tracking</w:t>
      </w:r>
    </w:p>
    <w:p>
      <w:pPr>
        <w:pStyle w:val="ListParagraph"/>
        <w:numPr>
          <w:ilvl w:val="0"/>
          <w:numId w:val="2"/>
        </w:numPr>
        <w:spacing w:after="40" w:before="40"/>
      </w:pPr>
      <w:r>
        <w:rPr>
          <w:rFonts w:ascii="Arial" w:cs="Arial" w:eastAsia="Arial" w:hAnsi="Arial"/>
          <w:b w:val="false"/>
          <w:bCs w:val="false"/>
          <w:i w:val="false"/>
          <w:iCs w:val="false"/>
          <w:color w:val="111827"/>
          <w:sz w:val="20"/>
          <w:szCs w:val="20"/>
        </w:rPr>
        <w:t xml:space="preserve">Task management, follow-ups and activity logging</w:t>
      </w:r>
    </w:p>
    <w:p>
      <w:pPr>
        <w:pStyle w:val="ListParagraph"/>
        <w:numPr>
          <w:ilvl w:val="0"/>
          <w:numId w:val="2"/>
        </w:numPr>
        <w:spacing w:after="40" w:before="40"/>
      </w:pPr>
      <w:r>
        <w:rPr>
          <w:rFonts w:ascii="Arial" w:cs="Arial" w:eastAsia="Arial" w:hAnsi="Arial"/>
          <w:b w:val="false"/>
          <w:bCs w:val="false"/>
          <w:i w:val="false"/>
          <w:iCs w:val="false"/>
          <w:color w:val="111827"/>
          <w:sz w:val="20"/>
          <w:szCs w:val="20"/>
        </w:rPr>
        <w:t xml:space="preserve">Telecalling / call centre functionality</w:t>
      </w:r>
    </w:p>
    <w:p>
      <w:pPr>
        <w:pStyle w:val="ListParagraph"/>
        <w:numPr>
          <w:ilvl w:val="0"/>
          <w:numId w:val="2"/>
        </w:numPr>
        <w:spacing w:after="40" w:before="40"/>
      </w:pPr>
      <w:r>
        <w:rPr>
          <w:rFonts w:ascii="Arial" w:cs="Arial" w:eastAsia="Arial" w:hAnsi="Arial"/>
          <w:b w:val="false"/>
          <w:bCs w:val="false"/>
          <w:i w:val="false"/>
          <w:iCs w:val="false"/>
          <w:color w:val="111827"/>
          <w:sz w:val="20"/>
          <w:szCs w:val="20"/>
        </w:rPr>
        <w:t xml:space="preserve">Student self-service portal (pre-admission)</w:t>
      </w:r>
    </w:p>
    <w:p>
      <w:pPr>
        <w:pStyle w:val="ListParagraph"/>
        <w:numPr>
          <w:ilvl w:val="0"/>
          <w:numId w:val="2"/>
        </w:numPr>
        <w:spacing w:after="40" w:before="40"/>
      </w:pPr>
      <w:r>
        <w:rPr>
          <w:rFonts w:ascii="Arial" w:cs="Arial" w:eastAsia="Arial" w:hAnsi="Arial"/>
          <w:b w:val="false"/>
          <w:bCs w:val="false"/>
          <w:i w:val="false"/>
          <w:iCs w:val="false"/>
          <w:color w:val="111827"/>
          <w:sz w:val="20"/>
          <w:szCs w:val="20"/>
        </w:rPr>
        <w:t xml:space="preserve">Channel partner and agent management</w:t>
      </w:r>
    </w:p>
    <w:p>
      <w:pPr>
        <w:pStyle w:val="ListParagraph"/>
        <w:numPr>
          <w:ilvl w:val="0"/>
          <w:numId w:val="2"/>
        </w:numPr>
        <w:spacing w:after="40" w:before="40"/>
      </w:pPr>
      <w:r>
        <w:rPr>
          <w:rFonts w:ascii="Arial" w:cs="Arial" w:eastAsia="Arial" w:hAnsi="Arial"/>
          <w:b w:val="false"/>
          <w:bCs w:val="false"/>
          <w:i w:val="false"/>
          <w:iCs w:val="false"/>
          <w:color w:val="111827"/>
          <w:sz w:val="20"/>
          <w:szCs w:val="20"/>
        </w:rPr>
        <w:t xml:space="preserve">Transition bridge to A2A post-admission modules (Alumni, Academics, HR)</w:t>
      </w:r>
    </w:p>
    <w:p>
      <w:pPr>
        <w:pStyle w:val="ListParagraph"/>
        <w:numPr>
          <w:ilvl w:val="0"/>
          <w:numId w:val="2"/>
        </w:numPr>
        <w:spacing w:after="40" w:before="40"/>
      </w:pPr>
      <w:r>
        <w:rPr>
          <w:rFonts w:ascii="Arial" w:cs="Arial" w:eastAsia="Arial" w:hAnsi="Arial"/>
          <w:b w:val="false"/>
          <w:bCs w:val="false"/>
          <w:i w:val="false"/>
          <w:iCs w:val="false"/>
          <w:color w:val="111827"/>
          <w:sz w:val="20"/>
          <w:szCs w:val="20"/>
        </w:rPr>
        <w:t xml:space="preserve">AI-powered lead scoring, next best action, and agentic proposal/communication drafting</w:t>
      </w:r>
    </w:p>
    <w:p>
      <w:pPr>
        <w:pStyle w:val="ListParagraph"/>
        <w:numPr>
          <w:ilvl w:val="0"/>
          <w:numId w:val="2"/>
        </w:numPr>
        <w:spacing w:after="40" w:before="40"/>
      </w:pPr>
      <w:r>
        <w:rPr>
          <w:rFonts w:ascii="Arial" w:cs="Arial" w:eastAsia="Arial" w:hAnsi="Arial"/>
          <w:b w:val="false"/>
          <w:bCs w:val="false"/>
          <w:i w:val="false"/>
          <w:iCs w:val="false"/>
          <w:color w:val="111827"/>
          <w:sz w:val="20"/>
          <w:szCs w:val="20"/>
        </w:rPr>
        <w:t xml:space="preserve">Analytics, dashboards and MIS reports</w:t>
      </w:r>
    </w:p>
    <w:p>
      <w:pPr>
        <w:pStyle w:val="ListParagraph"/>
        <w:numPr>
          <w:ilvl w:val="0"/>
          <w:numId w:val="2"/>
        </w:numPr>
        <w:spacing w:after="40" w:before="40"/>
      </w:pPr>
      <w:r>
        <w:rPr>
          <w:rFonts w:ascii="Arial" w:cs="Arial" w:eastAsia="Arial" w:hAnsi="Arial"/>
          <w:b w:val="false"/>
          <w:bCs w:val="false"/>
          <w:i w:val="false"/>
          <w:iCs w:val="false"/>
          <w:color w:val="111827"/>
          <w:sz w:val="20"/>
          <w:szCs w:val="20"/>
        </w:rPr>
        <w:t xml:space="preserve">Mobile application (iOS and Android)</w:t>
      </w:r>
    </w:p>
    <w:p>
      <w:pPr>
        <w:pStyle w:val="ListParagraph"/>
        <w:numPr>
          <w:ilvl w:val="0"/>
          <w:numId w:val="2"/>
        </w:numPr>
        <w:spacing w:after="40" w:before="40"/>
      </w:pPr>
      <w:r>
        <w:rPr>
          <w:rFonts w:ascii="Arial" w:cs="Arial" w:eastAsia="Arial" w:hAnsi="Arial"/>
          <w:b w:val="false"/>
          <w:bCs w:val="false"/>
          <w:i w:val="false"/>
          <w:iCs w:val="false"/>
          <w:color w:val="111827"/>
          <w:sz w:val="20"/>
          <w:szCs w:val="20"/>
        </w:rPr>
        <w:t xml:space="preserve">Native A2A ERP integration</w:t>
      </w:r>
    </w:p>
    <w:p>
      <w:pPr>
        <w:pStyle w:val="ListParagraph"/>
        <w:numPr>
          <w:ilvl w:val="0"/>
          <w:numId w:val="2"/>
        </w:numPr>
        <w:spacing w:after="40" w:before="40"/>
      </w:pPr>
      <w:r>
        <w:rPr>
          <w:rFonts w:ascii="Arial" w:cs="Arial" w:eastAsia="Arial" w:hAnsi="Arial"/>
          <w:b w:val="false"/>
          <w:bCs w:val="false"/>
          <w:i w:val="false"/>
          <w:iCs w:val="false"/>
          <w:color w:val="111827"/>
          <w:sz w:val="20"/>
          <w:szCs w:val="20"/>
        </w:rPr>
        <w:t xml:space="preserve">Third-party integration APIs</w:t>
      </w:r>
    </w:p>
    <w:p>
      <w:pPr>
        <w:spacing w:after="40" w:before="40"/>
      </w:pPr>
    </w:p>
    <w:p>
      <w:pPr>
        <w:pStyle w:val="Heading3"/>
        <w:spacing w:after="100" w:before="200"/>
      </w:pPr>
      <w:r>
        <w:rPr>
          <w:rFonts w:ascii="Arial" w:cs="Arial" w:eastAsia="Arial" w:hAnsi="Arial"/>
          <w:b/>
          <w:bCs/>
          <w:i w:val="false"/>
          <w:iCs w:val="false"/>
          <w:color w:val="2563EB"/>
          <w:sz w:val="24"/>
          <w:szCs w:val="24"/>
        </w:rPr>
        <w:t xml:space="preserve">3.2 Out of Scope (Current Version)</w:t>
      </w:r>
    </w:p>
    <w:p>
      <w:pPr>
        <w:spacing w:after="40" w:before="40"/>
      </w:pPr>
    </w:p>
    <w:p>
      <w:pPr>
        <w:pStyle w:val="ListParagraph"/>
        <w:numPr>
          <w:ilvl w:val="0"/>
          <w:numId w:val="2"/>
        </w:numPr>
        <w:spacing w:after="40" w:before="40"/>
      </w:pPr>
      <w:r>
        <w:rPr>
          <w:rFonts w:ascii="Arial" w:cs="Arial" w:eastAsia="Arial" w:hAnsi="Arial"/>
          <w:b w:val="false"/>
          <w:bCs w:val="false"/>
          <w:i w:val="false"/>
          <w:iCs w:val="false"/>
          <w:color w:val="111827"/>
          <w:sz w:val="20"/>
          <w:szCs w:val="20"/>
        </w:rPr>
        <w:t xml:space="preserve">Post-admission academic management (covered by A2A Academics module)</w:t>
      </w:r>
    </w:p>
    <w:p>
      <w:pPr>
        <w:pStyle w:val="ListParagraph"/>
        <w:numPr>
          <w:ilvl w:val="0"/>
          <w:numId w:val="2"/>
        </w:numPr>
        <w:spacing w:after="40" w:before="40"/>
      </w:pPr>
      <w:r>
        <w:rPr>
          <w:rFonts w:ascii="Arial" w:cs="Arial" w:eastAsia="Arial" w:hAnsi="Arial"/>
          <w:b w:val="false"/>
          <w:bCs w:val="false"/>
          <w:i w:val="false"/>
          <w:iCs w:val="false"/>
          <w:color w:val="111827"/>
          <w:sz w:val="20"/>
          <w:szCs w:val="20"/>
        </w:rPr>
        <w:t xml:space="preserve">HRMS functions (covered by TalenTicks)</w:t>
      </w:r>
    </w:p>
    <w:p>
      <w:pPr>
        <w:pStyle w:val="ListParagraph"/>
        <w:numPr>
          <w:ilvl w:val="0"/>
          <w:numId w:val="2"/>
        </w:numPr>
        <w:spacing w:after="40" w:before="40"/>
      </w:pPr>
      <w:r>
        <w:rPr>
          <w:rFonts w:ascii="Arial" w:cs="Arial" w:eastAsia="Arial" w:hAnsi="Arial"/>
          <w:b w:val="false"/>
          <w:bCs w:val="false"/>
          <w:i w:val="false"/>
          <w:iCs w:val="false"/>
          <w:color w:val="111827"/>
          <w:sz w:val="20"/>
          <w:szCs w:val="20"/>
        </w:rPr>
        <w:t xml:space="preserve">Recruitment of staff/faculty (covered by BriskHire)</w:t>
      </w:r>
    </w:p>
    <w:p>
      <w:pPr>
        <w:pStyle w:val="ListParagraph"/>
        <w:numPr>
          <w:ilvl w:val="0"/>
          <w:numId w:val="2"/>
        </w:numPr>
        <w:spacing w:after="40" w:before="40"/>
      </w:pPr>
      <w:r>
        <w:rPr>
          <w:rFonts w:ascii="Arial" w:cs="Arial" w:eastAsia="Arial" w:hAnsi="Arial"/>
          <w:b w:val="false"/>
          <w:bCs w:val="false"/>
          <w:i w:val="false"/>
          <w:iCs w:val="false"/>
          <w:color w:val="111827"/>
          <w:sz w:val="20"/>
          <w:szCs w:val="20"/>
        </w:rPr>
        <w:t xml:space="preserve">International/overseas student visa processing</w:t>
      </w:r>
    </w:p>
    <w:p>
      <w:pPr>
        <w:pStyle w:val="ListParagraph"/>
        <w:numPr>
          <w:ilvl w:val="0"/>
          <w:numId w:val="2"/>
        </w:numPr>
        <w:spacing w:after="40" w:before="40"/>
      </w:pPr>
      <w:r>
        <w:rPr>
          <w:rFonts w:ascii="Arial" w:cs="Arial" w:eastAsia="Arial" w:hAnsi="Arial"/>
          <w:b w:val="false"/>
          <w:bCs w:val="false"/>
          <w:i w:val="false"/>
          <w:iCs w:val="false"/>
          <w:color w:val="111827"/>
          <w:sz w:val="20"/>
          <w:szCs w:val="20"/>
        </w:rPr>
        <w:t xml:space="preserve">Learning Management (covered by CamPLUS / Moodle)</w:t>
      </w:r>
    </w:p>
    <w:p>
      <w:pPr>
        <w:spacing w:after="40" w:before="40"/>
      </w:pPr>
    </w:p>
    <w:p>
      <w:pPr>
        <w:pBdr>
          <w:bottom w:val="single" w:color="D1D5DB" w:sz="3" w:space="1"/>
        </w:pBdr>
        <w:spacing w:after="80" w:before="80"/>
      </w:pPr>
    </w:p>
    <w:p>
      <w:pPr>
        <w:spacing w:after="40" w:before="40"/>
      </w:pPr>
    </w:p>
    <w:p>
      <w:pPr>
        <w:pStyle w:val="Heading1"/>
        <w:spacing w:after="0" w:before="160"/>
      </w:pPr>
      <w:r>
        <w:rPr>
          <w:rFonts w:ascii="Arial" w:cs="Arial" w:eastAsia="Arial" w:hAnsi="Arial"/>
          <w:b/>
          <w:bCs/>
          <w:i w:val="false"/>
          <w:iCs w:val="false"/>
          <w:color w:val="1B2A4A"/>
          <w:sz w:val="28"/>
          <w:szCs w:val="28"/>
        </w:rPr>
        <w:t xml:space="preserve">4. Stakeholders</w:t>
      </w:r>
    </w:p>
    <w:p>
      <w:pPr>
        <w:spacing w:after="80" w:before="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B2A4A" w:sz="1"/>
              <w:left w:val="single" w:color="1B2A4A" w:sz="1"/>
              <w:bottom w:val="single" w:color="1B2A4A" w:sz="1"/>
              <w:right w:val="single" w:color="1B2A4A" w:sz="1"/>
            </w:tcBorders>
            <w:shd w:fill="1B2A4A" w:val="clear"/>
            <w:tcMar>
              <w:top w:type="dxa" w:w="120"/>
              <w:left w:type="dxa" w:w="160"/>
              <w:bottom w:type="dxa" w:w="120"/>
              <w:right w:type="dxa" w:w="160"/>
            </w:tcMar>
          </w:tcPr>
          <w:p>
            <w:pPr>
              <w:jc w:val="left"/>
            </w:pPr>
            <w:r>
              <w:rPr>
                <w:rFonts w:ascii="Arial" w:cs="Arial" w:eastAsia="Arial" w:hAnsi="Arial"/>
                <w:b/>
                <w:bCs/>
                <w:i w:val="false"/>
                <w:iCs w:val="false"/>
                <w:color w:val="FFFFFF"/>
                <w:sz w:val="28"/>
                <w:szCs w:val="28"/>
              </w:rPr>
              <w:t xml:space="preserve">4. Stakeholders</w:t>
            </w:r>
          </w:p>
        </w:tc>
      </w:tr>
    </w:tbl>
    <w:p>
      <w:pPr>
        <w:spacing w:after="80" w:before="80"/>
      </w:pPr>
    </w:p>
    <w:p>
      <w:pPr>
        <w:spacing w:after="80" w:before="80"/>
      </w:pPr>
    </w:p>
    <w:p>
      <w:pPr>
        <w:spacing w:after="40" w:before="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4"/>
      </w:tblGrid>
      <w:tr>
        <w:trPr>
          <w:tblHeader/>
        </w:trPr>
        <w:tc>
          <w:tcPr>
            <w:tcW w:type="dxa" w:w="3212"/>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top"/>
          </w:tcPr>
          <w:p>
            <w:pPr>
              <w:spacing w:after="0"/>
            </w:pPr>
            <w:r>
              <w:rPr>
                <w:rFonts w:ascii="Arial" w:cs="Arial" w:eastAsia="Arial" w:hAnsi="Arial"/>
                <w:b/>
                <w:bCs/>
                <w:i w:val="false"/>
                <w:iCs w:val="false"/>
                <w:color w:val="FFFFFF"/>
                <w:sz w:val="18"/>
                <w:szCs w:val="18"/>
              </w:rPr>
              <w:t xml:space="preserve">Stakeholder Group</w:t>
            </w:r>
          </w:p>
        </w:tc>
        <w:tc>
          <w:tcPr>
            <w:tcW w:type="dxa" w:w="3212"/>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top"/>
          </w:tcPr>
          <w:p>
            <w:pPr>
              <w:spacing w:after="0"/>
            </w:pPr>
            <w:r>
              <w:rPr>
                <w:rFonts w:ascii="Arial" w:cs="Arial" w:eastAsia="Arial" w:hAnsi="Arial"/>
                <w:b/>
                <w:bCs/>
                <w:i w:val="false"/>
                <w:iCs w:val="false"/>
                <w:color w:val="FFFFFF"/>
                <w:sz w:val="18"/>
                <w:szCs w:val="18"/>
              </w:rPr>
              <w:t xml:space="preserve">Role</w:t>
            </w:r>
          </w:p>
        </w:tc>
        <w:tc>
          <w:tcPr>
            <w:tcW w:type="dxa" w:w="3214"/>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top"/>
          </w:tcPr>
          <w:p>
            <w:pPr>
              <w:spacing w:after="0"/>
            </w:pPr>
            <w:r>
              <w:rPr>
                <w:rFonts w:ascii="Arial" w:cs="Arial" w:eastAsia="Arial" w:hAnsi="Arial"/>
                <w:b/>
                <w:bCs/>
                <w:i w:val="false"/>
                <w:iCs w:val="false"/>
                <w:color w:val="FFFFFF"/>
                <w:sz w:val="18"/>
                <w:szCs w:val="18"/>
              </w:rPr>
              <w:t xml:space="preserve">Interest / Influence</w:t>
            </w:r>
          </w:p>
        </w:tc>
      </w:tr>
      <w:tr>
        <w:trPr>
          <w:tblHeader w:val="false"/>
        </w:trPr>
        <w:tc>
          <w:tcPr>
            <w:tcW w:type="dxa" w:w="321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MEETCS Management</w:t>
            </w:r>
          </w:p>
        </w:tc>
        <w:tc>
          <w:tcPr>
            <w:tcW w:type="dxa" w:w="321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Product Owner, Sponsor</w:t>
            </w:r>
          </w:p>
        </w:tc>
        <w:tc>
          <w:tcPr>
            <w:tcW w:type="dxa" w:w="3214"/>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Strategic direction, investment decisions</w:t>
            </w:r>
          </w:p>
        </w:tc>
      </w:tr>
      <w:tr>
        <w:trPr>
          <w:tblHeader w:val="false"/>
        </w:trPr>
        <w:tc>
          <w:tcPr>
            <w:tcW w:type="dxa" w:w="321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A2A Product Team</w:t>
            </w:r>
          </w:p>
        </w:tc>
        <w:tc>
          <w:tcPr>
            <w:tcW w:type="dxa" w:w="321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Requirements, Design, Build</w:t>
            </w:r>
          </w:p>
        </w:tc>
        <w:tc>
          <w:tcPr>
            <w:tcW w:type="dxa" w:w="3214"/>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Feature specification and delivery</w:t>
            </w:r>
          </w:p>
        </w:tc>
      </w:tr>
      <w:tr>
        <w:trPr>
          <w:tblHeader w:val="false"/>
        </w:trPr>
        <w:tc>
          <w:tcPr>
            <w:tcW w:type="dxa" w:w="321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Client — Admissions Head</w:t>
            </w:r>
          </w:p>
        </w:tc>
        <w:tc>
          <w:tcPr>
            <w:tcW w:type="dxa" w:w="321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Primary User</w:t>
            </w:r>
          </w:p>
        </w:tc>
        <w:tc>
          <w:tcPr>
            <w:tcW w:type="dxa" w:w="3214"/>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Enrolment targets, counsellor productivity</w:t>
            </w:r>
          </w:p>
        </w:tc>
      </w:tr>
      <w:tr>
        <w:trPr>
          <w:tblHeader w:val="false"/>
        </w:trPr>
        <w:tc>
          <w:tcPr>
            <w:tcW w:type="dxa" w:w="321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Client — Marketing Team</w:t>
            </w:r>
          </w:p>
        </w:tc>
        <w:tc>
          <w:tcPr>
            <w:tcW w:type="dxa" w:w="321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Primary User</w:t>
            </w:r>
          </w:p>
        </w:tc>
        <w:tc>
          <w:tcPr>
            <w:tcW w:type="dxa" w:w="3214"/>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Campaign execution, lead cost management</w:t>
            </w:r>
          </w:p>
        </w:tc>
      </w:tr>
      <w:tr>
        <w:trPr>
          <w:tblHeader w:val="false"/>
        </w:trPr>
        <w:tc>
          <w:tcPr>
            <w:tcW w:type="dxa" w:w="321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Client — Principal / Director</w:t>
            </w:r>
          </w:p>
        </w:tc>
        <w:tc>
          <w:tcPr>
            <w:tcW w:type="dxa" w:w="321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Decision Maker</w:t>
            </w:r>
          </w:p>
        </w:tc>
        <w:tc>
          <w:tcPr>
            <w:tcW w:type="dxa" w:w="3214"/>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Institution-level dashboards and ROI</w:t>
            </w:r>
          </w:p>
        </w:tc>
      </w:tr>
      <w:tr>
        <w:trPr>
          <w:tblHeader w:val="false"/>
        </w:trPr>
        <w:tc>
          <w:tcPr>
            <w:tcW w:type="dxa" w:w="321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Client — Counsellors</w:t>
            </w:r>
          </w:p>
        </w:tc>
        <w:tc>
          <w:tcPr>
            <w:tcW w:type="dxa" w:w="321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Day-to-day Users</w:t>
            </w:r>
          </w:p>
        </w:tc>
        <w:tc>
          <w:tcPr>
            <w:tcW w:type="dxa" w:w="3214"/>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Lead follow-up, communication, conversion</w:t>
            </w:r>
          </w:p>
        </w:tc>
      </w:tr>
      <w:tr>
        <w:trPr>
          <w:tblHeader w:val="false"/>
        </w:trPr>
        <w:tc>
          <w:tcPr>
            <w:tcW w:type="dxa" w:w="321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Client — Finance / Accounts</w:t>
            </w:r>
          </w:p>
        </w:tc>
        <w:tc>
          <w:tcPr>
            <w:tcW w:type="dxa" w:w="321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User</w:t>
            </w:r>
          </w:p>
        </w:tc>
        <w:tc>
          <w:tcPr>
            <w:tcW w:type="dxa" w:w="3214"/>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Fee management, payment reconciliation</w:t>
            </w:r>
          </w:p>
        </w:tc>
      </w:tr>
      <w:tr>
        <w:trPr>
          <w:tblHeader w:val="false"/>
        </w:trPr>
        <w:tc>
          <w:tcPr>
            <w:tcW w:type="dxa" w:w="321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Client — IT / System Admin</w:t>
            </w:r>
          </w:p>
        </w:tc>
        <w:tc>
          <w:tcPr>
            <w:tcW w:type="dxa" w:w="321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Configurator</w:t>
            </w:r>
          </w:p>
        </w:tc>
        <w:tc>
          <w:tcPr>
            <w:tcW w:type="dxa" w:w="3214"/>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System setup, integrations, user management</w:t>
            </w:r>
          </w:p>
        </w:tc>
      </w:tr>
      <w:tr>
        <w:trPr>
          <w:tblHeader w:val="false"/>
        </w:trPr>
        <w:tc>
          <w:tcPr>
            <w:tcW w:type="dxa" w:w="321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Prospective Students</w:t>
            </w:r>
          </w:p>
        </w:tc>
        <w:tc>
          <w:tcPr>
            <w:tcW w:type="dxa" w:w="321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End Beneficiaries</w:t>
            </w:r>
          </w:p>
        </w:tc>
        <w:tc>
          <w:tcPr>
            <w:tcW w:type="dxa" w:w="3214"/>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Application experience, communication quality</w:t>
            </w:r>
          </w:p>
        </w:tc>
      </w:tr>
      <w:tr>
        <w:trPr>
          <w:tblHeader w:val="false"/>
        </w:trPr>
        <w:tc>
          <w:tcPr>
            <w:tcW w:type="dxa" w:w="321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Channel Partners / Agents</w:t>
            </w:r>
          </w:p>
        </w:tc>
        <w:tc>
          <w:tcPr>
            <w:tcW w:type="dxa" w:w="321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External Users</w:t>
            </w:r>
          </w:p>
        </w:tc>
        <w:tc>
          <w:tcPr>
            <w:tcW w:type="dxa" w:w="3214"/>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Lead submission, commission tracking</w:t>
            </w:r>
          </w:p>
        </w:tc>
      </w:tr>
      <w:tr>
        <w:trPr>
          <w:tblHeader w:val="false"/>
        </w:trPr>
        <w:tc>
          <w:tcPr>
            <w:tcW w:type="dxa" w:w="321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MEETCS Dev Team</w:t>
            </w:r>
          </w:p>
        </w:tc>
        <w:tc>
          <w:tcPr>
            <w:tcW w:type="dxa" w:w="321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Builders</w:t>
            </w:r>
          </w:p>
        </w:tc>
        <w:tc>
          <w:tcPr>
            <w:tcW w:type="dxa" w:w="3214"/>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Technical feasibility, implementation</w:t>
            </w:r>
          </w:p>
        </w:tc>
      </w:tr>
    </w:tbl>
    <w:p>
      <w:pPr>
        <w:spacing w:after="160" w:before="80"/>
      </w:pPr>
    </w:p>
    <w:p>
      <w:pPr>
        <w:spacing w:after="40" w:before="40"/>
      </w:pPr>
    </w:p>
    <w:p>
      <w:pPr>
        <w:pBdr>
          <w:bottom w:val="single" w:color="D1D5DB" w:sz="3" w:space="1"/>
        </w:pBdr>
        <w:spacing w:after="80" w:before="80"/>
      </w:pPr>
    </w:p>
    <w:p>
      <w:pPr>
        <w:spacing w:after="40" w:before="40"/>
      </w:pPr>
    </w:p>
    <w:p>
      <w:pPr>
        <w:pStyle w:val="Heading1"/>
        <w:spacing w:after="0" w:before="160"/>
      </w:pPr>
      <w:r>
        <w:rPr>
          <w:rFonts w:ascii="Arial" w:cs="Arial" w:eastAsia="Arial" w:hAnsi="Arial"/>
          <w:b/>
          <w:bCs/>
          <w:i w:val="false"/>
          <w:iCs w:val="false"/>
          <w:color w:val="1B2A4A"/>
          <w:sz w:val="28"/>
          <w:szCs w:val="28"/>
        </w:rPr>
        <w:t xml:space="preserve">5. Business Objectives and Success Metrics</w:t>
      </w:r>
    </w:p>
    <w:p>
      <w:pPr>
        <w:spacing w:after="80" w:before="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B2A4A" w:sz="1"/>
              <w:left w:val="single" w:color="1B2A4A" w:sz="1"/>
              <w:bottom w:val="single" w:color="1B2A4A" w:sz="1"/>
              <w:right w:val="single" w:color="1B2A4A" w:sz="1"/>
            </w:tcBorders>
            <w:shd w:fill="1B2A4A" w:val="clear"/>
            <w:tcMar>
              <w:top w:type="dxa" w:w="120"/>
              <w:left w:type="dxa" w:w="160"/>
              <w:bottom w:type="dxa" w:w="120"/>
              <w:right w:type="dxa" w:w="160"/>
            </w:tcMar>
          </w:tcPr>
          <w:p>
            <w:pPr>
              <w:jc w:val="left"/>
            </w:pPr>
            <w:r>
              <w:rPr>
                <w:rFonts w:ascii="Arial" w:cs="Arial" w:eastAsia="Arial" w:hAnsi="Arial"/>
                <w:b/>
                <w:bCs/>
                <w:i w:val="false"/>
                <w:iCs w:val="false"/>
                <w:color w:val="FFFFFF"/>
                <w:sz w:val="28"/>
                <w:szCs w:val="28"/>
              </w:rPr>
              <w:t xml:space="preserve">5. Business Objectives and Success Metrics</w:t>
            </w:r>
          </w:p>
        </w:tc>
      </w:tr>
    </w:tbl>
    <w:p>
      <w:pPr>
        <w:spacing w:after="80" w:before="80"/>
      </w:pPr>
    </w:p>
    <w:p>
      <w:pPr>
        <w:spacing w:after="80" w:before="80"/>
      </w:pPr>
    </w:p>
    <w:p>
      <w:pPr>
        <w:spacing w:after="40" w:before="40"/>
      </w:pPr>
    </w:p>
    <w:p>
      <w:pPr>
        <w:pStyle w:val="Heading3"/>
        <w:spacing w:after="100" w:before="200"/>
      </w:pPr>
      <w:r>
        <w:rPr>
          <w:rFonts w:ascii="Arial" w:cs="Arial" w:eastAsia="Arial" w:hAnsi="Arial"/>
          <w:b/>
          <w:bCs/>
          <w:i w:val="false"/>
          <w:iCs w:val="false"/>
          <w:color w:val="2563EB"/>
          <w:sz w:val="24"/>
          <w:szCs w:val="24"/>
        </w:rPr>
        <w:t xml:space="preserve">5.1 Business Objectives</w:t>
      </w:r>
    </w:p>
    <w:p>
      <w:pPr>
        <w:spacing w:after="40" w:before="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top"/>
          </w:tcPr>
          <w:p>
            <w:pPr>
              <w:spacing w:after="0"/>
            </w:pPr>
            <w:r>
              <w:rPr>
                <w:rFonts w:ascii="Arial" w:cs="Arial" w:eastAsia="Arial" w:hAnsi="Arial"/>
                <w:b/>
                <w:bCs/>
                <w:i w:val="false"/>
                <w:iCs w:val="false"/>
                <w:color w:val="FFFFFF"/>
                <w:sz w:val="18"/>
                <w:szCs w:val="18"/>
              </w:rPr>
              <w:t xml:space="preserve">ID</w:t>
            </w:r>
          </w:p>
        </w:tc>
        <w:tc>
          <w:tcPr>
            <w:tcW w:type="dxa" w:w="4819"/>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top"/>
          </w:tcPr>
          <w:p>
            <w:pPr>
              <w:spacing w:after="0"/>
            </w:pPr>
            <w:r>
              <w:rPr>
                <w:rFonts w:ascii="Arial" w:cs="Arial" w:eastAsia="Arial" w:hAnsi="Arial"/>
                <w:b/>
                <w:bCs/>
                <w:i w:val="false"/>
                <w:iCs w:val="false"/>
                <w:color w:val="FFFFFF"/>
                <w:sz w:val="18"/>
                <w:szCs w:val="18"/>
              </w:rPr>
              <w:t xml:space="preserve">Objective</w:t>
            </w:r>
          </w:p>
        </w:tc>
      </w:tr>
      <w:tr>
        <w:trPr>
          <w:tblHeader w:val="false"/>
        </w:trPr>
        <w:tc>
          <w:tcPr>
            <w:tcW w:type="dxa" w:w="4819"/>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BO-01</w:t>
            </w:r>
          </w:p>
        </w:tc>
        <w:tc>
          <w:tcPr>
            <w:tcW w:type="dxa" w:w="4819"/>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Provide institutions with a single, unified platform for the complete pre-admission lifecycle</w:t>
            </w:r>
          </w:p>
        </w:tc>
      </w:tr>
      <w:tr>
        <w:trPr>
          <w:tblHeader w:val="false"/>
        </w:trPr>
        <w:tc>
          <w:tcPr>
            <w:tcW w:type="dxa" w:w="4819"/>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BO-02</w:t>
            </w:r>
          </w:p>
        </w:tc>
        <w:tc>
          <w:tcPr>
            <w:tcW w:type="dxa" w:w="4819"/>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Reduce lead-to-enrolment conversion time by a minimum of 20% versus manual/fragmented processes</w:t>
            </w:r>
          </w:p>
        </w:tc>
      </w:tr>
      <w:tr>
        <w:trPr>
          <w:tblHeader w:val="false"/>
        </w:trPr>
        <w:tc>
          <w:tcPr>
            <w:tcW w:type="dxa" w:w="4819"/>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BO-03</w:t>
            </w:r>
          </w:p>
        </w:tc>
        <w:tc>
          <w:tcPr>
            <w:tcW w:type="dxa" w:w="4819"/>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Eliminate data re-entry between CRM and ERP through native integration</w:t>
            </w:r>
          </w:p>
        </w:tc>
      </w:tr>
      <w:tr>
        <w:trPr>
          <w:tblHeader w:val="false"/>
        </w:trPr>
        <w:tc>
          <w:tcPr>
            <w:tcW w:type="dxa" w:w="4819"/>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BO-04</w:t>
            </w:r>
          </w:p>
        </w:tc>
        <w:tc>
          <w:tcPr>
            <w:tcW w:type="dxa" w:w="4819"/>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Enable data-driven admissions through real-time analytics and AI-assisted decision support</w:t>
            </w:r>
          </w:p>
        </w:tc>
      </w:tr>
      <w:tr>
        <w:trPr>
          <w:tblHeader w:val="false"/>
        </w:trPr>
        <w:tc>
          <w:tcPr>
            <w:tcW w:type="dxa" w:w="4819"/>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BO-05</w:t>
            </w:r>
          </w:p>
        </w:tc>
        <w:tc>
          <w:tcPr>
            <w:tcW w:type="dxa" w:w="4819"/>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Ensure full compliance with DPDP Act 2023 for all student personal data handling</w:t>
            </w:r>
          </w:p>
        </w:tc>
      </w:tr>
      <w:tr>
        <w:trPr>
          <w:tblHeader w:val="false"/>
        </w:trPr>
        <w:tc>
          <w:tcPr>
            <w:tcW w:type="dxa" w:w="4819"/>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BO-06</w:t>
            </w:r>
          </w:p>
        </w:tc>
        <w:tc>
          <w:tcPr>
            <w:tcW w:type="dxa" w:w="4819"/>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Support multi-institution, multi-campus deployments with role-based access and data segregation</w:t>
            </w:r>
          </w:p>
        </w:tc>
      </w:tr>
      <w:tr>
        <w:trPr>
          <w:tblHeader w:val="false"/>
        </w:trPr>
        <w:tc>
          <w:tcPr>
            <w:tcW w:type="dxa" w:w="4819"/>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BO-07</w:t>
            </w:r>
          </w:p>
        </w:tc>
        <w:tc>
          <w:tcPr>
            <w:tcW w:type="dxa" w:w="4819"/>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Deliver a mobile-first experience for counsellors and admissions teams in the field</w:t>
            </w:r>
          </w:p>
        </w:tc>
      </w:tr>
    </w:tbl>
    <w:p>
      <w:pPr>
        <w:spacing w:after="160" w:before="80"/>
      </w:pPr>
    </w:p>
    <w:p>
      <w:pPr>
        <w:spacing w:after="40" w:before="40"/>
      </w:pPr>
    </w:p>
    <w:p>
      <w:pPr>
        <w:pStyle w:val="Heading3"/>
        <w:spacing w:after="100" w:before="200"/>
      </w:pPr>
      <w:r>
        <w:rPr>
          <w:rFonts w:ascii="Arial" w:cs="Arial" w:eastAsia="Arial" w:hAnsi="Arial"/>
          <w:b/>
          <w:bCs/>
          <w:i w:val="false"/>
          <w:iCs w:val="false"/>
          <w:color w:val="2563EB"/>
          <w:sz w:val="24"/>
          <w:szCs w:val="24"/>
        </w:rPr>
        <w:t xml:space="preserve">5.2 Key Performance Indicators</w:t>
      </w:r>
    </w:p>
    <w:p>
      <w:pPr>
        <w:spacing w:after="40" w:before="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top"/>
          </w:tcPr>
          <w:p>
            <w:pPr>
              <w:spacing w:after="0"/>
            </w:pPr>
            <w:r>
              <w:rPr>
                <w:rFonts w:ascii="Arial" w:cs="Arial" w:eastAsia="Arial" w:hAnsi="Arial"/>
                <w:b/>
                <w:bCs/>
                <w:i w:val="false"/>
                <w:iCs w:val="false"/>
                <w:color w:val="FFFFFF"/>
                <w:sz w:val="18"/>
                <w:szCs w:val="18"/>
              </w:rPr>
              <w:t xml:space="preserve">KPI</w:t>
            </w:r>
          </w:p>
        </w:tc>
        <w:tc>
          <w:tcPr>
            <w:tcW w:type="dxa" w:w="4819"/>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top"/>
          </w:tcPr>
          <w:p>
            <w:pPr>
              <w:spacing w:after="0"/>
            </w:pPr>
            <w:r>
              <w:rPr>
                <w:rFonts w:ascii="Arial" w:cs="Arial" w:eastAsia="Arial" w:hAnsi="Arial"/>
                <w:b/>
                <w:bCs/>
                <w:i w:val="false"/>
                <w:iCs w:val="false"/>
                <w:color w:val="FFFFFF"/>
                <w:sz w:val="18"/>
                <w:szCs w:val="18"/>
              </w:rPr>
              <w:t xml:space="preserve">Target</w:t>
            </w:r>
          </w:p>
        </w:tc>
      </w:tr>
      <w:tr>
        <w:trPr>
          <w:tblHeader w:val="false"/>
        </w:trPr>
        <w:tc>
          <w:tcPr>
            <w:tcW w:type="dxa" w:w="4819"/>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Lead Capture Rate (enquiries auto-logged vs manual)</w:t>
            </w:r>
          </w:p>
        </w:tc>
        <w:tc>
          <w:tcPr>
            <w:tcW w:type="dxa" w:w="4819"/>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 95%</w:t>
            </w:r>
          </w:p>
        </w:tc>
      </w:tr>
      <w:tr>
        <w:trPr>
          <w:tblHeader w:val="false"/>
        </w:trPr>
        <w:tc>
          <w:tcPr>
            <w:tcW w:type="dxa" w:w="4819"/>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Lead Response Time (first counsellor contact after enquiry)</w:t>
            </w:r>
          </w:p>
        </w:tc>
        <w:tc>
          <w:tcPr>
            <w:tcW w:type="dxa" w:w="4819"/>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 30 minutes</w:t>
            </w:r>
          </w:p>
        </w:tc>
      </w:tr>
      <w:tr>
        <w:trPr>
          <w:tblHeader w:val="false"/>
        </w:trPr>
        <w:tc>
          <w:tcPr>
            <w:tcW w:type="dxa" w:w="4819"/>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Counsellor Productivity (enquiries handled per day per counsellor)</w:t>
            </w:r>
          </w:p>
        </w:tc>
        <w:tc>
          <w:tcPr>
            <w:tcW w:type="dxa" w:w="4819"/>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+30% vs baseline</w:t>
            </w:r>
          </w:p>
        </w:tc>
      </w:tr>
      <w:tr>
        <w:trPr>
          <w:tblHeader w:val="false"/>
        </w:trPr>
        <w:tc>
          <w:tcPr>
            <w:tcW w:type="dxa" w:w="4819"/>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Application Completion Rate</w:t>
            </w:r>
          </w:p>
        </w:tc>
        <w:tc>
          <w:tcPr>
            <w:tcW w:type="dxa" w:w="4819"/>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 70% of started applications</w:t>
            </w:r>
          </w:p>
        </w:tc>
      </w:tr>
      <w:tr>
        <w:trPr>
          <w:tblHeader w:val="false"/>
        </w:trPr>
        <w:tc>
          <w:tcPr>
            <w:tcW w:type="dxa" w:w="4819"/>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Enquiry-to-Enrolment Conversion Rate</w:t>
            </w:r>
          </w:p>
        </w:tc>
        <w:tc>
          <w:tcPr>
            <w:tcW w:type="dxa" w:w="4819"/>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Benchmark set at Go-Live; 15% improvement Year 1</w:t>
            </w:r>
          </w:p>
        </w:tc>
      </w:tr>
      <w:tr>
        <w:trPr>
          <w:tblHeader w:val="false"/>
        </w:trPr>
        <w:tc>
          <w:tcPr>
            <w:tcW w:type="dxa" w:w="4819"/>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System Uptime</w:t>
            </w:r>
          </w:p>
        </w:tc>
        <w:tc>
          <w:tcPr>
            <w:tcW w:type="dxa" w:w="4819"/>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99.5% excluding planned maintenance</w:t>
            </w:r>
          </w:p>
        </w:tc>
      </w:tr>
      <w:tr>
        <w:trPr>
          <w:tblHeader w:val="false"/>
        </w:trPr>
        <w:tc>
          <w:tcPr>
            <w:tcW w:type="dxa" w:w="4819"/>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Data Migration Accuracy (from legacy systems)</w:t>
            </w:r>
          </w:p>
        </w:tc>
        <w:tc>
          <w:tcPr>
            <w:tcW w:type="dxa" w:w="4819"/>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 99%</w:t>
            </w:r>
          </w:p>
        </w:tc>
      </w:tr>
    </w:tbl>
    <w:p>
      <w:pPr>
        <w:spacing w:after="160" w:before="80"/>
      </w:pPr>
    </w:p>
    <w:p>
      <w:pPr>
        <w:spacing w:after="40" w:before="40"/>
      </w:pPr>
    </w:p>
    <w:p>
      <w:pPr>
        <w:pBdr>
          <w:bottom w:val="single" w:color="D1D5DB" w:sz="3" w:space="1"/>
        </w:pBdr>
        <w:spacing w:after="80" w:before="80"/>
      </w:pPr>
    </w:p>
    <w:p>
      <w:pPr>
        <w:spacing w:after="40" w:before="40"/>
      </w:pPr>
    </w:p>
    <w:p>
      <w:pPr>
        <w:pStyle w:val="Heading1"/>
        <w:spacing w:after="0" w:before="160"/>
      </w:pPr>
      <w:r>
        <w:rPr>
          <w:rFonts w:ascii="Arial" w:cs="Arial" w:eastAsia="Arial" w:hAnsi="Arial"/>
          <w:b/>
          <w:bCs/>
          <w:i w:val="false"/>
          <w:iCs w:val="false"/>
          <w:color w:val="1B2A4A"/>
          <w:sz w:val="28"/>
          <w:szCs w:val="28"/>
        </w:rPr>
        <w:t xml:space="preserve">6. Competitive Landscape Analysis</w:t>
      </w:r>
    </w:p>
    <w:p>
      <w:pPr>
        <w:spacing w:after="80" w:before="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B2A4A" w:sz="1"/>
              <w:left w:val="single" w:color="1B2A4A" w:sz="1"/>
              <w:bottom w:val="single" w:color="1B2A4A" w:sz="1"/>
              <w:right w:val="single" w:color="1B2A4A" w:sz="1"/>
            </w:tcBorders>
            <w:shd w:fill="1B2A4A" w:val="clear"/>
            <w:tcMar>
              <w:top w:type="dxa" w:w="120"/>
              <w:left w:type="dxa" w:w="160"/>
              <w:bottom w:type="dxa" w:w="120"/>
              <w:right w:type="dxa" w:w="160"/>
            </w:tcMar>
          </w:tcPr>
          <w:p>
            <w:pPr>
              <w:jc w:val="left"/>
            </w:pPr>
            <w:r>
              <w:rPr>
                <w:rFonts w:ascii="Arial" w:cs="Arial" w:eastAsia="Arial" w:hAnsi="Arial"/>
                <w:b/>
                <w:bCs/>
                <w:i w:val="false"/>
                <w:iCs w:val="false"/>
                <w:color w:val="FFFFFF"/>
                <w:sz w:val="28"/>
                <w:szCs w:val="28"/>
              </w:rPr>
              <w:t xml:space="preserve">6. Competitive Landscape Analysis</w:t>
            </w:r>
          </w:p>
        </w:tc>
      </w:tr>
    </w:tbl>
    <w:p>
      <w:pPr>
        <w:spacing w:after="80" w:before="80"/>
      </w:pPr>
    </w:p>
    <w:p>
      <w:pPr>
        <w:spacing w:after="80" w:before="80"/>
      </w:pPr>
    </w:p>
    <w:p>
      <w:pPr>
        <w:spacing w:after="40" w:before="40"/>
      </w:pPr>
    </w:p>
    <w:p>
      <w:pPr>
        <w:spacing w:after="60" w:before="60"/>
        <w:jc w:val="both"/>
      </w:pPr>
      <w:r>
        <w:rPr>
          <w:rFonts w:ascii="Arial" w:cs="Arial" w:eastAsia="Arial" w:hAnsi="Arial"/>
          <w:b w:val="false"/>
          <w:bCs w:val="false"/>
          <w:i w:val="false"/>
          <w:iCs w:val="false"/>
          <w:color w:val="111827"/>
          <w:sz w:val="20"/>
          <w:szCs w:val="20"/>
        </w:rPr>
        <w:t xml:space="preserve">The following analysis informs the feature depth and differentiation strategy for A2A-CRM.</w:t>
      </w:r>
    </w:p>
    <w:p>
      <w:pPr>
        <w:spacing w:after="40" w:before="40"/>
      </w:pPr>
    </w:p>
    <w:p>
      <w:pPr>
        <w:pStyle w:val="Heading3"/>
        <w:spacing w:after="100" w:before="200"/>
      </w:pPr>
      <w:r>
        <w:rPr>
          <w:rFonts w:ascii="Arial" w:cs="Arial" w:eastAsia="Arial" w:hAnsi="Arial"/>
          <w:b/>
          <w:bCs/>
          <w:i w:val="false"/>
          <w:iCs w:val="false"/>
          <w:color w:val="2563EB"/>
          <w:sz w:val="24"/>
          <w:szCs w:val="24"/>
        </w:rPr>
        <w:t xml:space="preserve">6.1 Competitor Feature Summary</w:t>
      </w:r>
    </w:p>
    <w:p>
      <w:pPr>
        <w:spacing w:after="40" w:before="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376"/>
        <w:gridCol w:w="1376"/>
        <w:gridCol w:w="1376"/>
        <w:gridCol w:w="1376"/>
        <w:gridCol w:w="1376"/>
        <w:gridCol w:w="1382"/>
      </w:tblGrid>
      <w:tr>
        <w:trPr>
          <w:tblHeader/>
        </w:trPr>
        <w:tc>
          <w:tcPr>
            <w:tcW w:type="dxa" w:w="1376"/>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top"/>
          </w:tcPr>
          <w:p>
            <w:pPr>
              <w:spacing w:after="0"/>
            </w:pPr>
            <w:r>
              <w:rPr>
                <w:rFonts w:ascii="Arial" w:cs="Arial" w:eastAsia="Arial" w:hAnsi="Arial"/>
                <w:b/>
                <w:bCs/>
                <w:i w:val="false"/>
                <w:iCs w:val="false"/>
                <w:color w:val="FFFFFF"/>
                <w:sz w:val="18"/>
                <w:szCs w:val="18"/>
              </w:rPr>
              <w:t xml:space="preserve">Feature Area</w:t>
            </w:r>
          </w:p>
        </w:tc>
        <w:tc>
          <w:tcPr>
            <w:tcW w:type="dxa" w:w="1376"/>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top"/>
          </w:tcPr>
          <w:p>
            <w:pPr>
              <w:spacing w:after="0"/>
            </w:pPr>
            <w:r>
              <w:rPr>
                <w:rFonts w:ascii="Arial" w:cs="Arial" w:eastAsia="Arial" w:hAnsi="Arial"/>
                <w:b/>
                <w:bCs/>
                <w:i w:val="false"/>
                <w:iCs w:val="false"/>
                <w:color w:val="FFFFFF"/>
                <w:sz w:val="18"/>
                <w:szCs w:val="18"/>
              </w:rPr>
              <w:t xml:space="preserve">Meritto</w:t>
            </w:r>
          </w:p>
        </w:tc>
        <w:tc>
          <w:tcPr>
            <w:tcW w:type="dxa" w:w="1376"/>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top"/>
          </w:tcPr>
          <w:p>
            <w:pPr>
              <w:spacing w:after="0"/>
            </w:pPr>
            <w:r>
              <w:rPr>
                <w:rFonts w:ascii="Arial" w:cs="Arial" w:eastAsia="Arial" w:hAnsi="Arial"/>
                <w:b/>
                <w:bCs/>
                <w:i w:val="false"/>
                <w:iCs w:val="false"/>
                <w:color w:val="FFFFFF"/>
                <w:sz w:val="18"/>
                <w:szCs w:val="18"/>
              </w:rPr>
              <w:t xml:space="preserve">LeadSquared</w:t>
            </w:r>
          </w:p>
        </w:tc>
        <w:tc>
          <w:tcPr>
            <w:tcW w:type="dxa" w:w="1376"/>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top"/>
          </w:tcPr>
          <w:p>
            <w:pPr>
              <w:spacing w:after="0"/>
            </w:pPr>
            <w:r>
              <w:rPr>
                <w:rFonts w:ascii="Arial" w:cs="Arial" w:eastAsia="Arial" w:hAnsi="Arial"/>
                <w:b/>
                <w:bCs/>
                <w:i w:val="false"/>
                <w:iCs w:val="false"/>
                <w:color w:val="FFFFFF"/>
                <w:sz w:val="18"/>
                <w:szCs w:val="18"/>
              </w:rPr>
              <w:t xml:space="preserve">ExtraAedge</w:t>
            </w:r>
          </w:p>
        </w:tc>
        <w:tc>
          <w:tcPr>
            <w:tcW w:type="dxa" w:w="1376"/>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top"/>
          </w:tcPr>
          <w:p>
            <w:pPr>
              <w:spacing w:after="0"/>
            </w:pPr>
            <w:r>
              <w:rPr>
                <w:rFonts w:ascii="Arial" w:cs="Arial" w:eastAsia="Arial" w:hAnsi="Arial"/>
                <w:b/>
                <w:bCs/>
                <w:i w:val="false"/>
                <w:iCs w:val="false"/>
                <w:color w:val="FFFFFF"/>
                <w:sz w:val="18"/>
                <w:szCs w:val="18"/>
              </w:rPr>
              <w:t xml:space="preserve">Mastersoft</w:t>
            </w:r>
          </w:p>
        </w:tc>
        <w:tc>
          <w:tcPr>
            <w:tcW w:type="dxa" w:w="1376"/>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top"/>
          </w:tcPr>
          <w:p>
            <w:pPr>
              <w:spacing w:after="0"/>
            </w:pPr>
            <w:r>
              <w:rPr>
                <w:rFonts w:ascii="Arial" w:cs="Arial" w:eastAsia="Arial" w:hAnsi="Arial"/>
                <w:b/>
                <w:bCs/>
                <w:i w:val="false"/>
                <w:iCs w:val="false"/>
                <w:color w:val="FFFFFF"/>
                <w:sz w:val="18"/>
                <w:szCs w:val="18"/>
              </w:rPr>
              <w:t xml:space="preserve">Salesforce Edu Cloud</w:t>
            </w:r>
          </w:p>
        </w:tc>
        <w:tc>
          <w:tcPr>
            <w:tcW w:type="dxa" w:w="1382"/>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top"/>
          </w:tcPr>
          <w:p>
            <w:pPr>
              <w:spacing w:after="0"/>
            </w:pPr>
            <w:r>
              <w:rPr>
                <w:rFonts w:ascii="Arial" w:cs="Arial" w:eastAsia="Arial" w:hAnsi="Arial"/>
                <w:b/>
                <w:bCs/>
                <w:i w:val="false"/>
                <w:iCs w:val="false"/>
                <w:color w:val="FFFFFF"/>
                <w:sz w:val="18"/>
                <w:szCs w:val="18"/>
              </w:rPr>
              <w:t xml:space="preserve">A2A-CRM Target</w:t>
            </w:r>
          </w:p>
        </w:tc>
      </w:tr>
      <w:tr>
        <w:trPr>
          <w:tblHeader w:val="false"/>
        </w:trPr>
        <w:tc>
          <w:tcPr>
            <w:tcW w:type="dxa" w:w="1376"/>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Education-specific workflows</w:t>
            </w:r>
          </w:p>
        </w:tc>
        <w:tc>
          <w:tcPr>
            <w:tcW w:type="dxa" w:w="1376"/>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 Native</w:t>
            </w:r>
          </w:p>
        </w:tc>
        <w:tc>
          <w:tcPr>
            <w:tcW w:type="dxa" w:w="1376"/>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 Configurable</w:t>
            </w:r>
          </w:p>
        </w:tc>
        <w:tc>
          <w:tcPr>
            <w:tcW w:type="dxa" w:w="1376"/>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 Native</w:t>
            </w:r>
          </w:p>
        </w:tc>
        <w:tc>
          <w:tcPr>
            <w:tcW w:type="dxa" w:w="1376"/>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 Native</w:t>
            </w:r>
          </w:p>
        </w:tc>
        <w:tc>
          <w:tcPr>
            <w:tcW w:type="dxa" w:w="1376"/>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 Configurable</w:t>
            </w:r>
          </w:p>
        </w:tc>
        <w:tc>
          <w:tcPr>
            <w:tcW w:type="dxa" w:w="138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 </w:t>
            </w:r>
            <w:r>
              <w:rPr>
                <w:rFonts w:ascii="Arial" w:cs="Arial" w:eastAsia="Arial" w:hAnsi="Arial"/>
                <w:b/>
                <w:bCs/>
                <w:i w:val="false"/>
                <w:iCs w:val="false"/>
                <w:color w:val="111827"/>
                <w:sz w:val="18"/>
                <w:szCs w:val="18"/>
              </w:rPr>
              <w:t xml:space="preserve">Native + ERP-integrated</w:t>
            </w:r>
          </w:p>
        </w:tc>
      </w:tr>
      <w:tr>
        <w:trPr>
          <w:tblHeader w:val="false"/>
        </w:trPr>
        <w:tc>
          <w:tcPr>
            <w:tcW w:type="dxa" w:w="137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Lead Capture — Omnichannel</w:t>
            </w:r>
          </w:p>
        </w:tc>
        <w:tc>
          <w:tcPr>
            <w:tcW w:type="dxa" w:w="137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w:t>
            </w:r>
          </w:p>
        </w:tc>
        <w:tc>
          <w:tcPr>
            <w:tcW w:type="dxa" w:w="137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w:t>
            </w:r>
          </w:p>
        </w:tc>
        <w:tc>
          <w:tcPr>
            <w:tcW w:type="dxa" w:w="137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w:t>
            </w:r>
          </w:p>
        </w:tc>
        <w:tc>
          <w:tcPr>
            <w:tcW w:type="dxa" w:w="137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w:t>
            </w:r>
          </w:p>
        </w:tc>
        <w:tc>
          <w:tcPr>
            <w:tcW w:type="dxa" w:w="137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w:t>
            </w:r>
          </w:p>
        </w:tc>
        <w:tc>
          <w:tcPr>
            <w:tcW w:type="dxa" w:w="138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w:t>
            </w:r>
          </w:p>
        </w:tc>
      </w:tr>
      <w:tr>
        <w:trPr>
          <w:tblHeader w:val="false"/>
        </w:trPr>
        <w:tc>
          <w:tcPr>
            <w:tcW w:type="dxa" w:w="1376"/>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AI Lead Scoring</w:t>
            </w:r>
          </w:p>
        </w:tc>
        <w:tc>
          <w:tcPr>
            <w:tcW w:type="dxa" w:w="1376"/>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 Basic</w:t>
            </w:r>
          </w:p>
        </w:tc>
        <w:tc>
          <w:tcPr>
            <w:tcW w:type="dxa" w:w="1376"/>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w:t>
            </w:r>
          </w:p>
        </w:tc>
        <w:tc>
          <w:tcPr>
            <w:tcW w:type="dxa" w:w="1376"/>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 Data Science</w:t>
            </w:r>
          </w:p>
        </w:tc>
        <w:tc>
          <w:tcPr>
            <w:tcW w:type="dxa" w:w="1376"/>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w:t>
            </w:r>
          </w:p>
        </w:tc>
        <w:tc>
          <w:tcPr>
            <w:tcW w:type="dxa" w:w="1376"/>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 Einstein</w:t>
            </w:r>
          </w:p>
        </w:tc>
        <w:tc>
          <w:tcPr>
            <w:tcW w:type="dxa" w:w="138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 </w:t>
            </w:r>
            <w:r>
              <w:rPr>
                <w:rFonts w:ascii="Arial" w:cs="Arial" w:eastAsia="Arial" w:hAnsi="Arial"/>
                <w:b/>
                <w:bCs/>
                <w:i w:val="false"/>
                <w:iCs w:val="false"/>
                <w:color w:val="111827"/>
                <w:sz w:val="18"/>
                <w:szCs w:val="18"/>
              </w:rPr>
              <w:t xml:space="preserve">Agentic AI (Anthropic)</w:t>
            </w:r>
          </w:p>
        </w:tc>
      </w:tr>
      <w:tr>
        <w:trPr>
          <w:tblHeader w:val="false"/>
        </w:trPr>
        <w:tc>
          <w:tcPr>
            <w:tcW w:type="dxa" w:w="137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WhatsApp Automation</w:t>
            </w:r>
          </w:p>
        </w:tc>
        <w:tc>
          <w:tcPr>
            <w:tcW w:type="dxa" w:w="137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w:t>
            </w:r>
          </w:p>
        </w:tc>
        <w:tc>
          <w:tcPr>
            <w:tcW w:type="dxa" w:w="137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w:t>
            </w:r>
          </w:p>
        </w:tc>
        <w:tc>
          <w:tcPr>
            <w:tcW w:type="dxa" w:w="137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w:t>
            </w:r>
          </w:p>
        </w:tc>
        <w:tc>
          <w:tcPr>
            <w:tcW w:type="dxa" w:w="137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w:t>
            </w:r>
          </w:p>
        </w:tc>
        <w:tc>
          <w:tcPr>
            <w:tcW w:type="dxa" w:w="137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w:t>
            </w:r>
          </w:p>
        </w:tc>
        <w:tc>
          <w:tcPr>
            <w:tcW w:type="dxa" w:w="138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w:t>
            </w:r>
          </w:p>
        </w:tc>
      </w:tr>
      <w:tr>
        <w:trPr>
          <w:tblHeader w:val="false"/>
        </w:trPr>
        <w:tc>
          <w:tcPr>
            <w:tcW w:type="dxa" w:w="1376"/>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Application Form Builder</w:t>
            </w:r>
          </w:p>
        </w:tc>
        <w:tc>
          <w:tcPr>
            <w:tcW w:type="dxa" w:w="1376"/>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w:t>
            </w:r>
          </w:p>
        </w:tc>
        <w:tc>
          <w:tcPr>
            <w:tcW w:type="dxa" w:w="1376"/>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w:t>
            </w:r>
          </w:p>
        </w:tc>
        <w:tc>
          <w:tcPr>
            <w:tcW w:type="dxa" w:w="1376"/>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w:t>
            </w:r>
          </w:p>
        </w:tc>
        <w:tc>
          <w:tcPr>
            <w:tcW w:type="dxa" w:w="1376"/>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w:t>
            </w:r>
          </w:p>
        </w:tc>
        <w:tc>
          <w:tcPr>
            <w:tcW w:type="dxa" w:w="1376"/>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w:t>
            </w:r>
          </w:p>
        </w:tc>
        <w:tc>
          <w:tcPr>
            <w:tcW w:type="dxa" w:w="138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w:t>
            </w:r>
          </w:p>
        </w:tc>
      </w:tr>
      <w:tr>
        <w:trPr>
          <w:tblHeader w:val="false"/>
        </w:trPr>
        <w:tc>
          <w:tcPr>
            <w:tcW w:type="dxa" w:w="137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Fee &amp; Payment Management</w:t>
            </w:r>
          </w:p>
        </w:tc>
        <w:tc>
          <w:tcPr>
            <w:tcW w:type="dxa" w:w="137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w:t>
            </w:r>
          </w:p>
        </w:tc>
        <w:tc>
          <w:tcPr>
            <w:tcW w:type="dxa" w:w="137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w:t>
            </w:r>
          </w:p>
        </w:tc>
        <w:tc>
          <w:tcPr>
            <w:tcW w:type="dxa" w:w="137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w:t>
            </w:r>
          </w:p>
        </w:tc>
        <w:tc>
          <w:tcPr>
            <w:tcW w:type="dxa" w:w="137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w:t>
            </w:r>
          </w:p>
        </w:tc>
        <w:tc>
          <w:tcPr>
            <w:tcW w:type="dxa" w:w="137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w:t>
            </w:r>
          </w:p>
        </w:tc>
        <w:tc>
          <w:tcPr>
            <w:tcW w:type="dxa" w:w="138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 </w:t>
            </w:r>
            <w:r>
              <w:rPr>
                <w:rFonts w:ascii="Arial" w:cs="Arial" w:eastAsia="Arial" w:hAnsi="Arial"/>
                <w:b/>
                <w:bCs/>
                <w:i w:val="false"/>
                <w:iCs w:val="false"/>
                <w:color w:val="111827"/>
                <w:sz w:val="18"/>
                <w:szCs w:val="18"/>
              </w:rPr>
              <w:t xml:space="preserve">Native A2A Fee Engine</w:t>
            </w:r>
          </w:p>
        </w:tc>
      </w:tr>
      <w:tr>
        <w:trPr>
          <w:tblHeader w:val="false"/>
        </w:trPr>
        <w:tc>
          <w:tcPr>
            <w:tcW w:type="dxa" w:w="1376"/>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Post-Admission ERP Integration</w:t>
            </w:r>
          </w:p>
        </w:tc>
        <w:tc>
          <w:tcPr>
            <w:tcW w:type="dxa" w:w="1376"/>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w:t>
            </w:r>
          </w:p>
        </w:tc>
        <w:tc>
          <w:tcPr>
            <w:tcW w:type="dxa" w:w="1376"/>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w:t>
            </w:r>
          </w:p>
        </w:tc>
        <w:tc>
          <w:tcPr>
            <w:tcW w:type="dxa" w:w="1376"/>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w:t>
            </w:r>
          </w:p>
        </w:tc>
        <w:tc>
          <w:tcPr>
            <w:tcW w:type="dxa" w:w="1376"/>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 Partial</w:t>
            </w:r>
          </w:p>
        </w:tc>
        <w:tc>
          <w:tcPr>
            <w:tcW w:type="dxa" w:w="1376"/>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 Add-on</w:t>
            </w:r>
          </w:p>
        </w:tc>
        <w:tc>
          <w:tcPr>
            <w:tcW w:type="dxa" w:w="138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 </w:t>
            </w:r>
            <w:r>
              <w:rPr>
                <w:rFonts w:ascii="Arial" w:cs="Arial" w:eastAsia="Arial" w:hAnsi="Arial"/>
                <w:b/>
                <w:bCs/>
                <w:i w:val="false"/>
                <w:iCs w:val="false"/>
                <w:color w:val="111827"/>
                <w:sz w:val="18"/>
                <w:szCs w:val="18"/>
              </w:rPr>
              <w:t xml:space="preserve">Seamless Native</w:t>
            </w:r>
          </w:p>
        </w:tc>
      </w:tr>
      <w:tr>
        <w:trPr>
          <w:tblHeader w:val="false"/>
        </w:trPr>
        <w:tc>
          <w:tcPr>
            <w:tcW w:type="dxa" w:w="137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Alumni Lifecycle Bridge</w:t>
            </w:r>
          </w:p>
        </w:tc>
        <w:tc>
          <w:tcPr>
            <w:tcW w:type="dxa" w:w="137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w:t>
            </w:r>
          </w:p>
        </w:tc>
        <w:tc>
          <w:tcPr>
            <w:tcW w:type="dxa" w:w="137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w:t>
            </w:r>
          </w:p>
        </w:tc>
        <w:tc>
          <w:tcPr>
            <w:tcW w:type="dxa" w:w="137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w:t>
            </w:r>
          </w:p>
        </w:tc>
        <w:tc>
          <w:tcPr>
            <w:tcW w:type="dxa" w:w="137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w:t>
            </w:r>
          </w:p>
        </w:tc>
        <w:tc>
          <w:tcPr>
            <w:tcW w:type="dxa" w:w="137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w:t>
            </w:r>
          </w:p>
        </w:tc>
        <w:tc>
          <w:tcPr>
            <w:tcW w:type="dxa" w:w="138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 </w:t>
            </w:r>
            <w:r>
              <w:rPr>
                <w:rFonts w:ascii="Arial" w:cs="Arial" w:eastAsia="Arial" w:hAnsi="Arial"/>
                <w:b/>
                <w:bCs/>
                <w:i w:val="false"/>
                <w:iCs w:val="false"/>
                <w:color w:val="111827"/>
                <w:sz w:val="18"/>
                <w:szCs w:val="18"/>
              </w:rPr>
              <w:t xml:space="preserve">A2A Alumni Module</w:t>
            </w:r>
          </w:p>
        </w:tc>
      </w:tr>
      <w:tr>
        <w:trPr>
          <w:tblHeader w:val="false"/>
        </w:trPr>
        <w:tc>
          <w:tcPr>
            <w:tcW w:type="dxa" w:w="1376"/>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HRMS Integration</w:t>
            </w:r>
          </w:p>
        </w:tc>
        <w:tc>
          <w:tcPr>
            <w:tcW w:type="dxa" w:w="1376"/>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w:t>
            </w:r>
          </w:p>
        </w:tc>
        <w:tc>
          <w:tcPr>
            <w:tcW w:type="dxa" w:w="1376"/>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w:t>
            </w:r>
          </w:p>
        </w:tc>
        <w:tc>
          <w:tcPr>
            <w:tcW w:type="dxa" w:w="1376"/>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w:t>
            </w:r>
          </w:p>
        </w:tc>
        <w:tc>
          <w:tcPr>
            <w:tcW w:type="dxa" w:w="1376"/>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w:t>
            </w:r>
          </w:p>
        </w:tc>
        <w:tc>
          <w:tcPr>
            <w:tcW w:type="dxa" w:w="1376"/>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w:t>
            </w:r>
          </w:p>
        </w:tc>
        <w:tc>
          <w:tcPr>
            <w:tcW w:type="dxa" w:w="138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 </w:t>
            </w:r>
            <w:r>
              <w:rPr>
                <w:rFonts w:ascii="Arial" w:cs="Arial" w:eastAsia="Arial" w:hAnsi="Arial"/>
                <w:b/>
                <w:bCs/>
                <w:i w:val="false"/>
                <w:iCs w:val="false"/>
                <w:color w:val="111827"/>
                <w:sz w:val="18"/>
                <w:szCs w:val="18"/>
              </w:rPr>
              <w:t xml:space="preserve">TalenTicks Native</w:t>
            </w:r>
          </w:p>
        </w:tc>
      </w:tr>
      <w:tr>
        <w:trPr>
          <w:tblHeader w:val="false"/>
        </w:trPr>
        <w:tc>
          <w:tcPr>
            <w:tcW w:type="dxa" w:w="137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LMS Integration</w:t>
            </w:r>
          </w:p>
        </w:tc>
        <w:tc>
          <w:tcPr>
            <w:tcW w:type="dxa" w:w="137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w:t>
            </w:r>
          </w:p>
        </w:tc>
        <w:tc>
          <w:tcPr>
            <w:tcW w:type="dxa" w:w="137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w:t>
            </w:r>
          </w:p>
        </w:tc>
        <w:tc>
          <w:tcPr>
            <w:tcW w:type="dxa" w:w="137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w:t>
            </w:r>
          </w:p>
        </w:tc>
        <w:tc>
          <w:tcPr>
            <w:tcW w:type="dxa" w:w="137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w:t>
            </w:r>
          </w:p>
        </w:tc>
        <w:tc>
          <w:tcPr>
            <w:tcW w:type="dxa" w:w="137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w:t>
            </w:r>
          </w:p>
        </w:tc>
        <w:tc>
          <w:tcPr>
            <w:tcW w:type="dxa" w:w="138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 </w:t>
            </w:r>
            <w:r>
              <w:rPr>
                <w:rFonts w:ascii="Arial" w:cs="Arial" w:eastAsia="Arial" w:hAnsi="Arial"/>
                <w:b/>
                <w:bCs/>
                <w:i w:val="false"/>
                <w:iCs w:val="false"/>
                <w:color w:val="111827"/>
                <w:sz w:val="18"/>
                <w:szCs w:val="18"/>
              </w:rPr>
              <w:t xml:space="preserve">CamPLUS / Moodle</w:t>
            </w:r>
          </w:p>
        </w:tc>
      </w:tr>
      <w:tr>
        <w:trPr>
          <w:tblHeader w:val="false"/>
        </w:trPr>
        <w:tc>
          <w:tcPr>
            <w:tcW w:type="dxa" w:w="1376"/>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DPDP Act Compliance (India)</w:t>
            </w:r>
          </w:p>
        </w:tc>
        <w:tc>
          <w:tcPr>
            <w:tcW w:type="dxa" w:w="1376"/>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w:t>
            </w:r>
          </w:p>
        </w:tc>
        <w:tc>
          <w:tcPr>
            <w:tcW w:type="dxa" w:w="1376"/>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w:t>
            </w:r>
          </w:p>
        </w:tc>
        <w:tc>
          <w:tcPr>
            <w:tcW w:type="dxa" w:w="1376"/>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w:t>
            </w:r>
          </w:p>
        </w:tc>
        <w:tc>
          <w:tcPr>
            <w:tcW w:type="dxa" w:w="1376"/>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w:t>
            </w:r>
          </w:p>
        </w:tc>
        <w:tc>
          <w:tcPr>
            <w:tcW w:type="dxa" w:w="1376"/>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w:t>
            </w:r>
          </w:p>
        </w:tc>
        <w:tc>
          <w:tcPr>
            <w:tcW w:type="dxa" w:w="138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 </w:t>
            </w:r>
            <w:r>
              <w:rPr>
                <w:rFonts w:ascii="Arial" w:cs="Arial" w:eastAsia="Arial" w:hAnsi="Arial"/>
                <w:b/>
                <w:bCs/>
                <w:i w:val="false"/>
                <w:iCs w:val="false"/>
                <w:color w:val="111827"/>
                <w:sz w:val="18"/>
                <w:szCs w:val="18"/>
              </w:rPr>
              <w:t xml:space="preserve">Built-in</w:t>
            </w:r>
          </w:p>
        </w:tc>
      </w:tr>
      <w:tr>
        <w:trPr>
          <w:tblHeader w:val="false"/>
        </w:trPr>
        <w:tc>
          <w:tcPr>
            <w:tcW w:type="dxa" w:w="137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Pricing Model</w:t>
            </w:r>
          </w:p>
        </w:tc>
        <w:tc>
          <w:tcPr>
            <w:tcW w:type="dxa" w:w="137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Per application</w:t>
            </w:r>
          </w:p>
        </w:tc>
        <w:tc>
          <w:tcPr>
            <w:tcW w:type="dxa" w:w="137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Subscription</w:t>
            </w:r>
          </w:p>
        </w:tc>
        <w:tc>
          <w:tcPr>
            <w:tcW w:type="dxa" w:w="137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Subscription</w:t>
            </w:r>
          </w:p>
        </w:tc>
        <w:tc>
          <w:tcPr>
            <w:tcW w:type="dxa" w:w="137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Licence</w:t>
            </w:r>
          </w:p>
        </w:tc>
        <w:tc>
          <w:tcPr>
            <w:tcW w:type="dxa" w:w="137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Enterprise</w:t>
            </w:r>
          </w:p>
        </w:tc>
        <w:tc>
          <w:tcPr>
            <w:tcW w:type="dxa" w:w="138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Flexible — Licence + SaaS</w:t>
            </w:r>
          </w:p>
        </w:tc>
      </w:tr>
      <w:tr>
        <w:trPr>
          <w:tblHeader w:val="false"/>
        </w:trPr>
        <w:tc>
          <w:tcPr>
            <w:tcW w:type="dxa" w:w="1376"/>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Mobile App</w:t>
            </w:r>
          </w:p>
        </w:tc>
        <w:tc>
          <w:tcPr>
            <w:tcW w:type="dxa" w:w="1376"/>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w:t>
            </w:r>
          </w:p>
        </w:tc>
        <w:tc>
          <w:tcPr>
            <w:tcW w:type="dxa" w:w="1376"/>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w:t>
            </w:r>
          </w:p>
        </w:tc>
        <w:tc>
          <w:tcPr>
            <w:tcW w:type="dxa" w:w="1376"/>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w:t>
            </w:r>
          </w:p>
        </w:tc>
        <w:tc>
          <w:tcPr>
            <w:tcW w:type="dxa" w:w="1376"/>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w:t>
            </w:r>
          </w:p>
        </w:tc>
        <w:tc>
          <w:tcPr>
            <w:tcW w:type="dxa" w:w="1376"/>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w:t>
            </w:r>
          </w:p>
        </w:tc>
        <w:tc>
          <w:tcPr>
            <w:tcW w:type="dxa" w:w="138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w:t>
            </w:r>
          </w:p>
        </w:tc>
      </w:tr>
      <w:tr>
        <w:trPr>
          <w:tblHeader w:val="false"/>
        </w:trPr>
        <w:tc>
          <w:tcPr>
            <w:tcW w:type="dxa" w:w="137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Telecalling / IVR</w:t>
            </w:r>
          </w:p>
        </w:tc>
        <w:tc>
          <w:tcPr>
            <w:tcW w:type="dxa" w:w="137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w:t>
            </w:r>
          </w:p>
        </w:tc>
        <w:tc>
          <w:tcPr>
            <w:tcW w:type="dxa" w:w="137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w:t>
            </w:r>
          </w:p>
        </w:tc>
        <w:tc>
          <w:tcPr>
            <w:tcW w:type="dxa" w:w="137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w:t>
            </w:r>
          </w:p>
        </w:tc>
        <w:tc>
          <w:tcPr>
            <w:tcW w:type="dxa" w:w="137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w:t>
            </w:r>
          </w:p>
        </w:tc>
        <w:tc>
          <w:tcPr>
            <w:tcW w:type="dxa" w:w="137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w:t>
            </w:r>
          </w:p>
        </w:tc>
        <w:tc>
          <w:tcPr>
            <w:tcW w:type="dxa" w:w="138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w:t>
            </w:r>
          </w:p>
        </w:tc>
      </w:tr>
      <w:tr>
        <w:trPr>
          <w:tblHeader w:val="false"/>
        </w:trPr>
        <w:tc>
          <w:tcPr>
            <w:tcW w:type="dxa" w:w="1376"/>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Agent / Channel Partner Portal</w:t>
            </w:r>
          </w:p>
        </w:tc>
        <w:tc>
          <w:tcPr>
            <w:tcW w:type="dxa" w:w="1376"/>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w:t>
            </w:r>
          </w:p>
        </w:tc>
        <w:tc>
          <w:tcPr>
            <w:tcW w:type="dxa" w:w="1376"/>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w:t>
            </w:r>
          </w:p>
        </w:tc>
        <w:tc>
          <w:tcPr>
            <w:tcW w:type="dxa" w:w="1376"/>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w:t>
            </w:r>
          </w:p>
        </w:tc>
        <w:tc>
          <w:tcPr>
            <w:tcW w:type="dxa" w:w="1376"/>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w:t>
            </w:r>
          </w:p>
        </w:tc>
        <w:tc>
          <w:tcPr>
            <w:tcW w:type="dxa" w:w="1376"/>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w:t>
            </w:r>
          </w:p>
        </w:tc>
        <w:tc>
          <w:tcPr>
            <w:tcW w:type="dxa" w:w="138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w:t>
            </w:r>
          </w:p>
        </w:tc>
      </w:tr>
      <w:tr>
        <w:trPr>
          <w:tblHeader w:val="false"/>
        </w:trPr>
        <w:tc>
          <w:tcPr>
            <w:tcW w:type="dxa" w:w="137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Gamification</w:t>
            </w:r>
          </w:p>
        </w:tc>
        <w:tc>
          <w:tcPr>
            <w:tcW w:type="dxa" w:w="137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w:t>
            </w:r>
          </w:p>
        </w:tc>
        <w:tc>
          <w:tcPr>
            <w:tcW w:type="dxa" w:w="137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w:t>
            </w:r>
          </w:p>
        </w:tc>
        <w:tc>
          <w:tcPr>
            <w:tcW w:type="dxa" w:w="137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w:t>
            </w:r>
          </w:p>
        </w:tc>
        <w:tc>
          <w:tcPr>
            <w:tcW w:type="dxa" w:w="137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w:t>
            </w:r>
          </w:p>
        </w:tc>
        <w:tc>
          <w:tcPr>
            <w:tcW w:type="dxa" w:w="137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w:t>
            </w:r>
          </w:p>
        </w:tc>
        <w:tc>
          <w:tcPr>
            <w:tcW w:type="dxa" w:w="138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 </w:t>
            </w:r>
            <w:r>
              <w:rPr>
                <w:rFonts w:ascii="Arial" w:cs="Arial" w:eastAsia="Arial" w:hAnsi="Arial"/>
                <w:b/>
                <w:bCs/>
                <w:i w:val="false"/>
                <w:iCs w:val="false"/>
                <w:color w:val="111827"/>
                <w:sz w:val="18"/>
                <w:szCs w:val="18"/>
              </w:rPr>
              <w:t xml:space="preserve">TalenTicks DNA</w:t>
            </w:r>
          </w:p>
        </w:tc>
      </w:tr>
    </w:tbl>
    <w:p>
      <w:pPr>
        <w:spacing w:after="160" w:before="80"/>
      </w:pPr>
    </w:p>
    <w:p>
      <w:pPr>
        <w:spacing w:after="40" w:before="40"/>
      </w:pPr>
    </w:p>
    <w:p>
      <w:pPr>
        <w:pStyle w:val="Heading3"/>
        <w:spacing w:after="100" w:before="200"/>
      </w:pPr>
      <w:r>
        <w:rPr>
          <w:rFonts w:ascii="Arial" w:cs="Arial" w:eastAsia="Arial" w:hAnsi="Arial"/>
          <w:b/>
          <w:bCs/>
          <w:i w:val="false"/>
          <w:iCs w:val="false"/>
          <w:color w:val="2563EB"/>
          <w:sz w:val="24"/>
          <w:szCs w:val="24"/>
        </w:rPr>
        <w:t xml:space="preserve">6.2 Key Differentiators for A2A-CRM</w:t>
      </w:r>
    </w:p>
    <w:p>
      <w:pPr>
        <w:spacing w:after="40" w:before="40"/>
      </w:pPr>
    </w:p>
    <w:p>
      <w:pPr>
        <w:pStyle w:val="ListParagraph"/>
        <w:numPr>
          <w:ilvl w:val="0"/>
          <w:numId w:val="3"/>
        </w:numPr>
        <w:spacing w:after="40" w:before="40"/>
      </w:pPr>
      <w:r>
        <w:rPr>
          <w:rFonts w:ascii="Arial" w:cs="Arial" w:eastAsia="Arial" w:hAnsi="Arial"/>
          <w:b/>
          <w:bCs/>
          <w:i w:val="false"/>
          <w:iCs w:val="false"/>
          <w:color w:val="111827"/>
          <w:sz w:val="20"/>
          <w:szCs w:val="20"/>
        </w:rPr>
        <w:t xml:space="preserve">True Admissions-to-Alumni Continuity</w:t>
      </w:r>
      <w:r>
        <w:rPr>
          <w:rFonts w:ascii="Arial" w:cs="Arial" w:eastAsia="Arial" w:hAnsi="Arial"/>
          <w:b w:val="false"/>
          <w:bCs w:val="false"/>
          <w:i w:val="false"/>
          <w:iCs w:val="false"/>
          <w:color w:val="111827"/>
          <w:sz w:val="20"/>
          <w:szCs w:val="20"/>
        </w:rPr>
        <w:t xml:space="preserve"> — No competitor offers a CRM where a lead record seamlessly becomes a student record and then an alumni record within the same platform without data migration or manual mapping.</w:t>
      </w:r>
    </w:p>
    <w:p>
      <w:pPr>
        <w:pStyle w:val="ListParagraph"/>
        <w:numPr>
          <w:ilvl w:val="0"/>
          <w:numId w:val="3"/>
        </w:numPr>
        <w:spacing w:after="40" w:before="40"/>
      </w:pPr>
      <w:r>
        <w:rPr>
          <w:rFonts w:ascii="Arial" w:cs="Arial" w:eastAsia="Arial" w:hAnsi="Arial"/>
          <w:b/>
          <w:bCs/>
          <w:i w:val="false"/>
          <w:iCs w:val="false"/>
          <w:color w:val="111827"/>
          <w:sz w:val="20"/>
          <w:szCs w:val="20"/>
        </w:rPr>
        <w:t xml:space="preserve">Agentic AI Layer</w:t>
      </w:r>
      <w:r>
        <w:rPr>
          <w:rFonts w:ascii="Arial" w:cs="Arial" w:eastAsia="Arial" w:hAnsi="Arial"/>
          <w:b w:val="false"/>
          <w:bCs w:val="false"/>
          <w:i w:val="false"/>
          <w:iCs w:val="false"/>
          <w:color w:val="111827"/>
          <w:sz w:val="20"/>
          <w:szCs w:val="20"/>
        </w:rPr>
        <w:t xml:space="preserve"> — Built on Anthropic's API, A2A-CRM embeds AI for lead scoring, next best action, automated communication drafting, and tender/proposal intelligence — capabilities that competitors are only beginning to explore.</w:t>
      </w:r>
    </w:p>
    <w:p>
      <w:pPr>
        <w:pStyle w:val="ListParagraph"/>
        <w:numPr>
          <w:ilvl w:val="0"/>
          <w:numId w:val="3"/>
        </w:numPr>
        <w:spacing w:after="40" w:before="40"/>
      </w:pPr>
      <w:r>
        <w:rPr>
          <w:rFonts w:ascii="Arial" w:cs="Arial" w:eastAsia="Arial" w:hAnsi="Arial"/>
          <w:b/>
          <w:bCs/>
          <w:i w:val="false"/>
          <w:iCs w:val="false"/>
          <w:color w:val="111827"/>
          <w:sz w:val="20"/>
          <w:szCs w:val="20"/>
        </w:rPr>
        <w:t xml:space="preserve">Native Fee Engine</w:t>
      </w:r>
      <w:r>
        <w:rPr>
          <w:rFonts w:ascii="Arial" w:cs="Arial" w:eastAsia="Arial" w:hAnsi="Arial"/>
          <w:b w:val="false"/>
          <w:bCs w:val="false"/>
          <w:i w:val="false"/>
          <w:iCs w:val="false"/>
          <w:color w:val="111827"/>
          <w:sz w:val="20"/>
          <w:szCs w:val="20"/>
        </w:rPr>
        <w:t xml:space="preserve"> — Fee structures, scholarship slabs and payment plans from the A2A Fee module are available directly in the CRM without re-configuration.</w:t>
      </w:r>
    </w:p>
    <w:p>
      <w:pPr>
        <w:pStyle w:val="ListParagraph"/>
        <w:numPr>
          <w:ilvl w:val="0"/>
          <w:numId w:val="3"/>
        </w:numPr>
        <w:spacing w:after="40" w:before="40"/>
      </w:pPr>
      <w:r>
        <w:rPr>
          <w:rFonts w:ascii="Arial" w:cs="Arial" w:eastAsia="Arial" w:hAnsi="Arial"/>
          <w:b/>
          <w:bCs/>
          <w:i w:val="false"/>
          <w:iCs w:val="false"/>
          <w:color w:val="111827"/>
          <w:sz w:val="20"/>
          <w:szCs w:val="20"/>
        </w:rPr>
        <w:t xml:space="preserve">DPDP-First Architecture</w:t>
      </w:r>
      <w:r>
        <w:rPr>
          <w:rFonts w:ascii="Arial" w:cs="Arial" w:eastAsia="Arial" w:hAnsi="Arial"/>
          <w:b w:val="false"/>
          <w:bCs w:val="false"/>
          <w:i w:val="false"/>
          <w:iCs w:val="false"/>
          <w:color w:val="111827"/>
          <w:sz w:val="20"/>
          <w:szCs w:val="20"/>
        </w:rPr>
        <w:t xml:space="preserve"> — Consent management, data minimisation, and right-to-erasure workflows built into the core data model.</w:t>
      </w:r>
    </w:p>
    <w:p>
      <w:pPr>
        <w:pStyle w:val="ListParagraph"/>
        <w:numPr>
          <w:ilvl w:val="0"/>
          <w:numId w:val="3"/>
        </w:numPr>
        <w:spacing w:after="40" w:before="40"/>
      </w:pPr>
      <w:r>
        <w:rPr>
          <w:rFonts w:ascii="Arial" w:cs="Arial" w:eastAsia="Arial" w:hAnsi="Arial"/>
          <w:b/>
          <w:bCs/>
          <w:i w:val="false"/>
          <w:iCs w:val="false"/>
          <w:color w:val="111827"/>
          <w:sz w:val="20"/>
          <w:szCs w:val="20"/>
        </w:rPr>
        <w:t xml:space="preserve">Gamification</w:t>
      </w:r>
      <w:r>
        <w:rPr>
          <w:rFonts w:ascii="Arial" w:cs="Arial" w:eastAsia="Arial" w:hAnsi="Arial"/>
          <w:b w:val="false"/>
          <w:bCs w:val="false"/>
          <w:i w:val="false"/>
          <w:iCs w:val="false"/>
          <w:color w:val="111827"/>
          <w:sz w:val="20"/>
          <w:szCs w:val="20"/>
        </w:rPr>
        <w:t xml:space="preserve"> — Counsellor performance gamification drawing from TalenTicks HRMS DNA, creating engagement and healthy competition within admissions teams.</w:t>
      </w:r>
    </w:p>
    <w:p>
      <w:pPr>
        <w:spacing w:after="40" w:before="40"/>
      </w:pPr>
    </w:p>
    <w:p>
      <w:pPr>
        <w:pBdr>
          <w:bottom w:val="single" w:color="D1D5DB" w:sz="3" w:space="1"/>
        </w:pBdr>
        <w:spacing w:after="80" w:before="80"/>
      </w:pPr>
    </w:p>
    <w:p>
      <w:pPr>
        <w:spacing w:after="40" w:before="40"/>
      </w:pPr>
    </w:p>
    <w:p>
      <w:pPr>
        <w:pStyle w:val="Heading1"/>
        <w:spacing w:after="0" w:before="160"/>
      </w:pPr>
      <w:r>
        <w:rPr>
          <w:rFonts w:ascii="Arial" w:cs="Arial" w:eastAsia="Arial" w:hAnsi="Arial"/>
          <w:b/>
          <w:bCs/>
          <w:i w:val="false"/>
          <w:iCs w:val="false"/>
          <w:color w:val="1B2A4A"/>
          <w:sz w:val="28"/>
          <w:szCs w:val="28"/>
        </w:rPr>
        <w:t xml:space="preserve">7. Assumptions, Constraints and Dependencies</w:t>
      </w:r>
    </w:p>
    <w:p>
      <w:pPr>
        <w:spacing w:after="80" w:before="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B2A4A" w:sz="1"/>
              <w:left w:val="single" w:color="1B2A4A" w:sz="1"/>
              <w:bottom w:val="single" w:color="1B2A4A" w:sz="1"/>
              <w:right w:val="single" w:color="1B2A4A" w:sz="1"/>
            </w:tcBorders>
            <w:shd w:fill="1B2A4A" w:val="clear"/>
            <w:tcMar>
              <w:top w:type="dxa" w:w="120"/>
              <w:left w:type="dxa" w:w="160"/>
              <w:bottom w:type="dxa" w:w="120"/>
              <w:right w:type="dxa" w:w="160"/>
            </w:tcMar>
          </w:tcPr>
          <w:p>
            <w:pPr>
              <w:jc w:val="left"/>
            </w:pPr>
            <w:r>
              <w:rPr>
                <w:rFonts w:ascii="Arial" w:cs="Arial" w:eastAsia="Arial" w:hAnsi="Arial"/>
                <w:b/>
                <w:bCs/>
                <w:i w:val="false"/>
                <w:iCs w:val="false"/>
                <w:color w:val="FFFFFF"/>
                <w:sz w:val="28"/>
                <w:szCs w:val="28"/>
              </w:rPr>
              <w:t xml:space="preserve">7. Assumptions, Constraints and Dependencies</w:t>
            </w:r>
          </w:p>
        </w:tc>
      </w:tr>
    </w:tbl>
    <w:p>
      <w:pPr>
        <w:spacing w:after="80" w:before="80"/>
      </w:pPr>
    </w:p>
    <w:p>
      <w:pPr>
        <w:spacing w:after="80" w:before="80"/>
      </w:pPr>
    </w:p>
    <w:p>
      <w:pPr>
        <w:spacing w:after="40" w:before="40"/>
      </w:pPr>
    </w:p>
    <w:p>
      <w:pPr>
        <w:pStyle w:val="Heading3"/>
        <w:spacing w:after="100" w:before="200"/>
      </w:pPr>
      <w:r>
        <w:rPr>
          <w:rFonts w:ascii="Arial" w:cs="Arial" w:eastAsia="Arial" w:hAnsi="Arial"/>
          <w:b/>
          <w:bCs/>
          <w:i w:val="false"/>
          <w:iCs w:val="false"/>
          <w:color w:val="2563EB"/>
          <w:sz w:val="24"/>
          <w:szCs w:val="24"/>
        </w:rPr>
        <w:t xml:space="preserve">7.1 Assumptions</w:t>
      </w:r>
    </w:p>
    <w:p>
      <w:pPr>
        <w:spacing w:after="40" w:before="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top"/>
          </w:tcPr>
          <w:p>
            <w:pPr>
              <w:spacing w:after="0"/>
            </w:pPr>
            <w:r>
              <w:rPr>
                <w:rFonts w:ascii="Arial" w:cs="Arial" w:eastAsia="Arial" w:hAnsi="Arial"/>
                <w:b/>
                <w:bCs/>
                <w:i w:val="false"/>
                <w:iCs w:val="false"/>
                <w:color w:val="FFFFFF"/>
                <w:sz w:val="18"/>
                <w:szCs w:val="18"/>
              </w:rPr>
              <w:t xml:space="preserve">ID</w:t>
            </w:r>
          </w:p>
        </w:tc>
        <w:tc>
          <w:tcPr>
            <w:tcW w:type="dxa" w:w="4819"/>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top"/>
          </w:tcPr>
          <w:p>
            <w:pPr>
              <w:spacing w:after="0"/>
            </w:pPr>
            <w:r>
              <w:rPr>
                <w:rFonts w:ascii="Arial" w:cs="Arial" w:eastAsia="Arial" w:hAnsi="Arial"/>
                <w:b/>
                <w:bCs/>
                <w:i w:val="false"/>
                <w:iCs w:val="false"/>
                <w:color w:val="FFFFFF"/>
                <w:sz w:val="18"/>
                <w:szCs w:val="18"/>
              </w:rPr>
              <w:t xml:space="preserve">Assumption</w:t>
            </w:r>
          </w:p>
        </w:tc>
      </w:tr>
      <w:tr>
        <w:trPr>
          <w:tblHeader w:val="false"/>
        </w:trPr>
        <w:tc>
          <w:tcPr>
            <w:tcW w:type="dxa" w:w="4819"/>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A-01</w:t>
            </w:r>
          </w:p>
        </w:tc>
        <w:tc>
          <w:tcPr>
            <w:tcW w:type="dxa" w:w="4819"/>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The A2A-CRM will be deployed on the existing A2A ERP infrastructure (Laravel + Vue.js)</w:t>
            </w:r>
          </w:p>
        </w:tc>
      </w:tr>
      <w:tr>
        <w:trPr>
          <w:tblHeader w:val="false"/>
        </w:trPr>
        <w:tc>
          <w:tcPr>
            <w:tcW w:type="dxa" w:w="4819"/>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A-02</w:t>
            </w:r>
          </w:p>
        </w:tc>
        <w:tc>
          <w:tcPr>
            <w:tcW w:type="dxa" w:w="4819"/>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All client institutions will have a minimum of 10 Mbps internet connectivity</w:t>
            </w:r>
          </w:p>
        </w:tc>
      </w:tr>
      <w:tr>
        <w:trPr>
          <w:tblHeader w:val="false"/>
        </w:trPr>
        <w:tc>
          <w:tcPr>
            <w:tcW w:type="dxa" w:w="4819"/>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A-03</w:t>
            </w:r>
          </w:p>
        </w:tc>
        <w:tc>
          <w:tcPr>
            <w:tcW w:type="dxa" w:w="4819"/>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WhatsApp Business API access will be provisioned through an approved BSP (Business Solution Provider)</w:t>
            </w:r>
          </w:p>
        </w:tc>
      </w:tr>
      <w:tr>
        <w:trPr>
          <w:tblHeader w:val="false"/>
        </w:trPr>
        <w:tc>
          <w:tcPr>
            <w:tcW w:type="dxa" w:w="4819"/>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A-04</w:t>
            </w:r>
          </w:p>
        </w:tc>
        <w:tc>
          <w:tcPr>
            <w:tcW w:type="dxa" w:w="4819"/>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SMS and IVR gateway integrations will be made available via third-party API (e.g., MSG91, Exotel)</w:t>
            </w:r>
          </w:p>
        </w:tc>
      </w:tr>
      <w:tr>
        <w:trPr>
          <w:tblHeader w:val="false"/>
        </w:trPr>
        <w:tc>
          <w:tcPr>
            <w:tcW w:type="dxa" w:w="4819"/>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A-05</w:t>
            </w:r>
          </w:p>
        </w:tc>
        <w:tc>
          <w:tcPr>
            <w:tcW w:type="dxa" w:w="4819"/>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AI capabilities will be powered by the Anthropic Claude API (existing MEETCS integration)</w:t>
            </w:r>
          </w:p>
        </w:tc>
      </w:tr>
      <w:tr>
        <w:trPr>
          <w:tblHeader w:val="false"/>
        </w:trPr>
        <w:tc>
          <w:tcPr>
            <w:tcW w:type="dxa" w:w="4819"/>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A-06</w:t>
            </w:r>
          </w:p>
        </w:tc>
        <w:tc>
          <w:tcPr>
            <w:tcW w:type="dxa" w:w="4819"/>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Payment gateway integrations will cover Razorpay, PayU and CCAvenue as minimum baseline</w:t>
            </w:r>
          </w:p>
        </w:tc>
      </w:tr>
      <w:tr>
        <w:trPr>
          <w:tblHeader w:val="false"/>
        </w:trPr>
        <w:tc>
          <w:tcPr>
            <w:tcW w:type="dxa" w:w="4819"/>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A-07</w:t>
            </w:r>
          </w:p>
        </w:tc>
        <w:tc>
          <w:tcPr>
            <w:tcW w:type="dxa" w:w="4819"/>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DPDP Act compliance framework developed for GIM (Goa Institute of Management) will serve as the baseline</w:t>
            </w:r>
          </w:p>
        </w:tc>
      </w:tr>
      <w:tr>
        <w:trPr>
          <w:tblHeader w:val="false"/>
        </w:trPr>
        <w:tc>
          <w:tcPr>
            <w:tcW w:type="dxa" w:w="4819"/>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A-08</w:t>
            </w:r>
          </w:p>
        </w:tc>
        <w:tc>
          <w:tcPr>
            <w:tcW w:type="dxa" w:w="4819"/>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Mobile app will be built using a cross-platform framework (React Native or Flutter)</w:t>
            </w:r>
          </w:p>
        </w:tc>
      </w:tr>
    </w:tbl>
    <w:p>
      <w:pPr>
        <w:spacing w:after="160" w:before="80"/>
      </w:pPr>
    </w:p>
    <w:p>
      <w:pPr>
        <w:spacing w:after="40" w:before="40"/>
      </w:pPr>
    </w:p>
    <w:p>
      <w:pPr>
        <w:pStyle w:val="Heading3"/>
        <w:spacing w:after="100" w:before="200"/>
      </w:pPr>
      <w:r>
        <w:rPr>
          <w:rFonts w:ascii="Arial" w:cs="Arial" w:eastAsia="Arial" w:hAnsi="Arial"/>
          <w:b/>
          <w:bCs/>
          <w:i w:val="false"/>
          <w:iCs w:val="false"/>
          <w:color w:val="2563EB"/>
          <w:sz w:val="24"/>
          <w:szCs w:val="24"/>
        </w:rPr>
        <w:t xml:space="preserve">7.2 Constraints</w:t>
      </w:r>
    </w:p>
    <w:p>
      <w:pPr>
        <w:spacing w:after="40" w:before="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top"/>
          </w:tcPr>
          <w:p>
            <w:pPr>
              <w:spacing w:after="0"/>
            </w:pPr>
            <w:r>
              <w:rPr>
                <w:rFonts w:ascii="Arial" w:cs="Arial" w:eastAsia="Arial" w:hAnsi="Arial"/>
                <w:b/>
                <w:bCs/>
                <w:i w:val="false"/>
                <w:iCs w:val="false"/>
                <w:color w:val="FFFFFF"/>
                <w:sz w:val="18"/>
                <w:szCs w:val="18"/>
              </w:rPr>
              <w:t xml:space="preserve">ID</w:t>
            </w:r>
          </w:p>
        </w:tc>
        <w:tc>
          <w:tcPr>
            <w:tcW w:type="dxa" w:w="4819"/>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top"/>
          </w:tcPr>
          <w:p>
            <w:pPr>
              <w:spacing w:after="0"/>
            </w:pPr>
            <w:r>
              <w:rPr>
                <w:rFonts w:ascii="Arial" w:cs="Arial" w:eastAsia="Arial" w:hAnsi="Arial"/>
                <w:b/>
                <w:bCs/>
                <w:i w:val="false"/>
                <w:iCs w:val="false"/>
                <w:color w:val="FFFFFF"/>
                <w:sz w:val="18"/>
                <w:szCs w:val="18"/>
              </w:rPr>
              <w:t xml:space="preserve">Constraint</w:t>
            </w:r>
          </w:p>
        </w:tc>
      </w:tr>
      <w:tr>
        <w:trPr>
          <w:tblHeader w:val="false"/>
        </w:trPr>
        <w:tc>
          <w:tcPr>
            <w:tcW w:type="dxa" w:w="4819"/>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C-01</w:t>
            </w:r>
          </w:p>
        </w:tc>
        <w:tc>
          <w:tcPr>
            <w:tcW w:type="dxa" w:w="4819"/>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Module must remain backward compatible with existing A2A ERP deployments (40+ live instances)</w:t>
            </w:r>
          </w:p>
        </w:tc>
      </w:tr>
      <w:tr>
        <w:trPr>
          <w:tblHeader w:val="false"/>
        </w:trPr>
        <w:tc>
          <w:tcPr>
            <w:tcW w:type="dxa" w:w="4819"/>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C-02</w:t>
            </w:r>
          </w:p>
        </w:tc>
        <w:tc>
          <w:tcPr>
            <w:tcW w:type="dxa" w:w="4819"/>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No hard dependency on third-party CRM licences for core functionality</w:t>
            </w:r>
          </w:p>
        </w:tc>
      </w:tr>
      <w:tr>
        <w:trPr>
          <w:tblHeader w:val="false"/>
        </w:trPr>
        <w:tc>
          <w:tcPr>
            <w:tcW w:type="dxa" w:w="4819"/>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C-03</w:t>
            </w:r>
          </w:p>
        </w:tc>
        <w:tc>
          <w:tcPr>
            <w:tcW w:type="dxa" w:w="4819"/>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All personal data of Indian students must be stored on servers within India (DPDP Act)</w:t>
            </w:r>
          </w:p>
        </w:tc>
      </w:tr>
      <w:tr>
        <w:trPr>
          <w:tblHeader w:val="false"/>
        </w:trPr>
        <w:tc>
          <w:tcPr>
            <w:tcW w:type="dxa" w:w="4819"/>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C-04</w:t>
            </w:r>
          </w:p>
        </w:tc>
        <w:tc>
          <w:tcPr>
            <w:tcW w:type="dxa" w:w="4819"/>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Initial release must support concurrent usage by a minimum of 500 counsellors per institution</w:t>
            </w:r>
          </w:p>
        </w:tc>
      </w:tr>
      <w:tr>
        <w:trPr>
          <w:tblHeader w:val="false"/>
        </w:trPr>
        <w:tc>
          <w:tcPr>
            <w:tcW w:type="dxa" w:w="4819"/>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C-05</w:t>
            </w:r>
          </w:p>
        </w:tc>
        <w:tc>
          <w:tcPr>
            <w:tcW w:type="dxa" w:w="4819"/>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Development team constraints apply to phased delivery; full feature set is not a single-phase release</w:t>
            </w:r>
          </w:p>
        </w:tc>
      </w:tr>
    </w:tbl>
    <w:p>
      <w:pPr>
        <w:spacing w:after="160" w:before="80"/>
      </w:pPr>
    </w:p>
    <w:p>
      <w:pPr>
        <w:spacing w:after="40" w:before="40"/>
      </w:pPr>
    </w:p>
    <w:p>
      <w:pPr>
        <w:pStyle w:val="Heading3"/>
        <w:spacing w:after="100" w:before="200"/>
      </w:pPr>
      <w:r>
        <w:rPr>
          <w:rFonts w:ascii="Arial" w:cs="Arial" w:eastAsia="Arial" w:hAnsi="Arial"/>
          <w:b/>
          <w:bCs/>
          <w:i w:val="false"/>
          <w:iCs w:val="false"/>
          <w:color w:val="2563EB"/>
          <w:sz w:val="24"/>
          <w:szCs w:val="24"/>
        </w:rPr>
        <w:t xml:space="preserve">7.3 Dependencies</w:t>
      </w:r>
    </w:p>
    <w:p>
      <w:pPr>
        <w:spacing w:after="40" w:before="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4"/>
      </w:tblGrid>
      <w:tr>
        <w:trPr>
          <w:tblHeader/>
        </w:trPr>
        <w:tc>
          <w:tcPr>
            <w:tcW w:type="dxa" w:w="3212"/>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top"/>
          </w:tcPr>
          <w:p>
            <w:pPr>
              <w:spacing w:after="0"/>
            </w:pPr>
            <w:r>
              <w:rPr>
                <w:rFonts w:ascii="Arial" w:cs="Arial" w:eastAsia="Arial" w:hAnsi="Arial"/>
                <w:b/>
                <w:bCs/>
                <w:i w:val="false"/>
                <w:iCs w:val="false"/>
                <w:color w:val="FFFFFF"/>
                <w:sz w:val="18"/>
                <w:szCs w:val="18"/>
              </w:rPr>
              <w:t xml:space="preserve">ID</w:t>
            </w:r>
          </w:p>
        </w:tc>
        <w:tc>
          <w:tcPr>
            <w:tcW w:type="dxa" w:w="3212"/>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top"/>
          </w:tcPr>
          <w:p>
            <w:pPr>
              <w:spacing w:after="0"/>
            </w:pPr>
            <w:r>
              <w:rPr>
                <w:rFonts w:ascii="Arial" w:cs="Arial" w:eastAsia="Arial" w:hAnsi="Arial"/>
                <w:b/>
                <w:bCs/>
                <w:i w:val="false"/>
                <w:iCs w:val="false"/>
                <w:color w:val="FFFFFF"/>
                <w:sz w:val="18"/>
                <w:szCs w:val="18"/>
              </w:rPr>
              <w:t xml:space="preserve">Dependency</w:t>
            </w:r>
          </w:p>
        </w:tc>
        <w:tc>
          <w:tcPr>
            <w:tcW w:type="dxa" w:w="3214"/>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top"/>
          </w:tcPr>
          <w:p>
            <w:pPr>
              <w:spacing w:after="0"/>
            </w:pPr>
            <w:r>
              <w:rPr>
                <w:rFonts w:ascii="Arial" w:cs="Arial" w:eastAsia="Arial" w:hAnsi="Arial"/>
                <w:b/>
                <w:bCs/>
                <w:i w:val="false"/>
                <w:iCs w:val="false"/>
                <w:color w:val="FFFFFF"/>
                <w:sz w:val="18"/>
                <w:szCs w:val="18"/>
              </w:rPr>
              <w:t xml:space="preserve">Owner</w:t>
            </w:r>
          </w:p>
        </w:tc>
      </w:tr>
      <w:tr>
        <w:trPr>
          <w:tblHeader w:val="false"/>
        </w:trPr>
        <w:tc>
          <w:tcPr>
            <w:tcW w:type="dxa" w:w="321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D-01</w:t>
            </w:r>
          </w:p>
        </w:tc>
        <w:tc>
          <w:tcPr>
            <w:tcW w:type="dxa" w:w="321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A2A Student Master data model (for post-admission integration)</w:t>
            </w:r>
          </w:p>
        </w:tc>
        <w:tc>
          <w:tcPr>
            <w:tcW w:type="dxa" w:w="3214"/>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MEETCS Dev</w:t>
            </w:r>
          </w:p>
        </w:tc>
      </w:tr>
      <w:tr>
        <w:trPr>
          <w:tblHeader w:val="false"/>
        </w:trPr>
        <w:tc>
          <w:tcPr>
            <w:tcW w:type="dxa" w:w="321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D-02</w:t>
            </w:r>
          </w:p>
        </w:tc>
        <w:tc>
          <w:tcPr>
            <w:tcW w:type="dxa" w:w="321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A2A Fee and Finance module API</w:t>
            </w:r>
          </w:p>
        </w:tc>
        <w:tc>
          <w:tcPr>
            <w:tcW w:type="dxa" w:w="3214"/>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MEETCS Dev</w:t>
            </w:r>
          </w:p>
        </w:tc>
      </w:tr>
      <w:tr>
        <w:trPr>
          <w:tblHeader w:val="false"/>
        </w:trPr>
        <w:tc>
          <w:tcPr>
            <w:tcW w:type="dxa" w:w="321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D-03</w:t>
            </w:r>
          </w:p>
        </w:tc>
        <w:tc>
          <w:tcPr>
            <w:tcW w:type="dxa" w:w="321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Anthropic API (AI features)</w:t>
            </w:r>
          </w:p>
        </w:tc>
        <w:tc>
          <w:tcPr>
            <w:tcW w:type="dxa" w:w="3214"/>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Anthropic / MEETCS</w:t>
            </w:r>
          </w:p>
        </w:tc>
      </w:tr>
      <w:tr>
        <w:trPr>
          <w:tblHeader w:val="false"/>
        </w:trPr>
        <w:tc>
          <w:tcPr>
            <w:tcW w:type="dxa" w:w="321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D-04</w:t>
            </w:r>
          </w:p>
        </w:tc>
        <w:tc>
          <w:tcPr>
            <w:tcW w:type="dxa" w:w="321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WhatsApp BSP agreement</w:t>
            </w:r>
          </w:p>
        </w:tc>
        <w:tc>
          <w:tcPr>
            <w:tcW w:type="dxa" w:w="3214"/>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MEETCS / Client</w:t>
            </w:r>
          </w:p>
        </w:tc>
      </w:tr>
      <w:tr>
        <w:trPr>
          <w:tblHeader w:val="false"/>
        </w:trPr>
        <w:tc>
          <w:tcPr>
            <w:tcW w:type="dxa" w:w="321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D-05</w:t>
            </w:r>
          </w:p>
        </w:tc>
        <w:tc>
          <w:tcPr>
            <w:tcW w:type="dxa" w:w="321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Payment gateway onboarding</w:t>
            </w:r>
          </w:p>
        </w:tc>
        <w:tc>
          <w:tcPr>
            <w:tcW w:type="dxa" w:w="3214"/>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Client / Finance</w:t>
            </w:r>
          </w:p>
        </w:tc>
      </w:tr>
      <w:tr>
        <w:trPr>
          <w:tblHeader w:val="false"/>
        </w:trPr>
        <w:tc>
          <w:tcPr>
            <w:tcW w:type="dxa" w:w="321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D-06</w:t>
            </w:r>
          </w:p>
        </w:tc>
        <w:tc>
          <w:tcPr>
            <w:tcW w:type="dxa" w:w="321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SMS and IVR gateway credentials</w:t>
            </w:r>
          </w:p>
        </w:tc>
        <w:tc>
          <w:tcPr>
            <w:tcW w:type="dxa" w:w="3214"/>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Client / IT</w:t>
            </w:r>
          </w:p>
        </w:tc>
      </w:tr>
      <w:tr>
        <w:trPr>
          <w:tblHeader w:val="false"/>
        </w:trPr>
        <w:tc>
          <w:tcPr>
            <w:tcW w:type="dxa" w:w="321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D-07</w:t>
            </w:r>
          </w:p>
        </w:tc>
        <w:tc>
          <w:tcPr>
            <w:tcW w:type="dxa" w:w="321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API Setu for Aadhaar/DigiLocker document verification</w:t>
            </w:r>
          </w:p>
        </w:tc>
        <w:tc>
          <w:tcPr>
            <w:tcW w:type="dxa" w:w="3214"/>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MeitY / MEETCS</w:t>
            </w:r>
          </w:p>
        </w:tc>
      </w:tr>
    </w:tbl>
    <w:p>
      <w:pPr>
        <w:spacing w:after="160" w:before="80"/>
      </w:pPr>
    </w:p>
    <w:p>
      <w:pPr>
        <w:spacing w:after="40" w:before="40"/>
      </w:pPr>
    </w:p>
    <w:p>
      <w:pPr>
        <w:pBdr>
          <w:bottom w:val="single" w:color="D1D5DB" w:sz="3" w:space="1"/>
        </w:pBdr>
        <w:spacing w:after="80" w:before="80"/>
      </w:pPr>
    </w:p>
    <w:p>
      <w:pPr>
        <w:spacing w:after="40" w:before="40"/>
      </w:pPr>
    </w:p>
    <w:p>
      <w:pPr>
        <w:pStyle w:val="Heading1"/>
        <w:spacing w:after="0" w:before="160"/>
      </w:pPr>
      <w:r>
        <w:rPr>
          <w:rFonts w:ascii="Arial" w:cs="Arial" w:eastAsia="Arial" w:hAnsi="Arial"/>
          <w:b/>
          <w:bCs/>
          <w:i w:val="false"/>
          <w:iCs w:val="false"/>
          <w:color w:val="1B2A4A"/>
          <w:sz w:val="28"/>
          <w:szCs w:val="28"/>
        </w:rPr>
        <w:t xml:space="preserve">8. Functional Requirements</w:t>
      </w:r>
    </w:p>
    <w:p>
      <w:pPr>
        <w:spacing w:after="80" w:before="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B2A4A" w:sz="1"/>
              <w:left w:val="single" w:color="1B2A4A" w:sz="1"/>
              <w:bottom w:val="single" w:color="1B2A4A" w:sz="1"/>
              <w:right w:val="single" w:color="1B2A4A" w:sz="1"/>
            </w:tcBorders>
            <w:shd w:fill="1B2A4A" w:val="clear"/>
            <w:tcMar>
              <w:top w:type="dxa" w:w="120"/>
              <w:left w:type="dxa" w:w="160"/>
              <w:bottom w:type="dxa" w:w="120"/>
              <w:right w:type="dxa" w:w="160"/>
            </w:tcMar>
          </w:tcPr>
          <w:p>
            <w:pPr>
              <w:jc w:val="left"/>
            </w:pPr>
            <w:r>
              <w:rPr>
                <w:rFonts w:ascii="Arial" w:cs="Arial" w:eastAsia="Arial" w:hAnsi="Arial"/>
                <w:b/>
                <w:bCs/>
                <w:i w:val="false"/>
                <w:iCs w:val="false"/>
                <w:color w:val="FFFFFF"/>
                <w:sz w:val="28"/>
                <w:szCs w:val="28"/>
              </w:rPr>
              <w:t xml:space="preserve">8. Functional Requirements</w:t>
            </w:r>
          </w:p>
        </w:tc>
      </w:tr>
    </w:tbl>
    <w:p>
      <w:pPr>
        <w:spacing w:after="80" w:before="80"/>
      </w:pPr>
    </w:p>
    <w:p>
      <w:pPr>
        <w:spacing w:after="80" w:before="80"/>
      </w:pPr>
    </w:p>
    <w:p>
      <w:pPr>
        <w:spacing w:after="40" w:before="40"/>
      </w:pPr>
    </w:p>
    <w:p>
      <w:pPr>
        <w:pBdr>
          <w:bottom w:val="single" w:color="D1D5DB" w:sz="3" w:space="1"/>
        </w:pBdr>
        <w:spacing w:after="80" w:before="80"/>
      </w:pPr>
    </w:p>
    <w:p>
      <w:pPr>
        <w:spacing w:after="40" w:before="40"/>
      </w:pPr>
    </w:p>
    <w:p>
      <w:pPr>
        <w:pStyle w:val="Heading3"/>
        <w:spacing w:after="100" w:before="200"/>
      </w:pPr>
      <w:r>
        <w:rPr>
          <w:rFonts w:ascii="Arial" w:cs="Arial" w:eastAsia="Arial" w:hAnsi="Arial"/>
          <w:b/>
          <w:bCs/>
          <w:i w:val="false"/>
          <w:iCs w:val="false"/>
          <w:color w:val="2563EB"/>
          <w:sz w:val="24"/>
          <w:szCs w:val="24"/>
        </w:rPr>
        <w:t xml:space="preserve">8.1 Lead Capture and Source Management</w:t>
      </w:r>
    </w:p>
    <w:p>
      <w:pPr>
        <w:spacing w:after="40" w:before="40"/>
      </w:pPr>
    </w:p>
    <w:p>
      <w:pPr>
        <w:spacing w:after="60" w:before="60"/>
        <w:jc w:val="both"/>
      </w:pPr>
      <w:r>
        <w:rPr>
          <w:rFonts w:ascii="Arial" w:cs="Arial" w:eastAsia="Arial" w:hAnsi="Arial"/>
          <w:b/>
          <w:bCs/>
          <w:i w:val="false"/>
          <w:iCs w:val="false"/>
          <w:color w:val="111827"/>
          <w:sz w:val="20"/>
          <w:szCs w:val="20"/>
        </w:rPr>
        <w:t xml:space="preserve">Purpose:</w:t>
      </w:r>
      <w:r>
        <w:rPr>
          <w:rFonts w:ascii="Arial" w:cs="Arial" w:eastAsia="Arial" w:hAnsi="Arial"/>
          <w:b w:val="false"/>
          <w:bCs w:val="false"/>
          <w:i w:val="false"/>
          <w:iCs w:val="false"/>
          <w:color w:val="111827"/>
          <w:sz w:val="20"/>
          <w:szCs w:val="20"/>
        </w:rPr>
        <w:t xml:space="preserve"> Capture enquiries from every possible touchpoint — online and offline — into a single, de-duplicated lead database with full source attribution.</w:t>
      </w:r>
    </w:p>
    <w:p>
      <w:pPr>
        <w:spacing w:after="40" w:before="40"/>
      </w:pPr>
    </w:p>
    <w:p>
      <w:pPr>
        <w:pStyle w:val="Heading4"/>
        <w:spacing w:after="80" w:before="160"/>
      </w:pPr>
      <w:r>
        <w:rPr>
          <w:rFonts w:ascii="Arial" w:cs="Arial" w:eastAsia="Arial" w:hAnsi="Arial"/>
          <w:b/>
          <w:bCs/>
          <w:i w:val="false"/>
          <w:iCs w:val="false"/>
          <w:color w:val="1B2A4A"/>
          <w:sz w:val="22"/>
          <w:szCs w:val="22"/>
        </w:rPr>
        <w:t xml:space="preserve">8.1.1 Web and Digital Lead Capture</w:t>
      </w:r>
    </w:p>
    <w:p>
      <w:pPr>
        <w:spacing w:after="40" w:before="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4"/>
      </w:tblGrid>
      <w:tr>
        <w:trPr>
          <w:tblHeader/>
        </w:trPr>
        <w:tc>
          <w:tcPr>
            <w:tcW w:type="dxa" w:w="3212"/>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top"/>
          </w:tcPr>
          <w:p>
            <w:pPr>
              <w:spacing w:after="0"/>
            </w:pPr>
            <w:r>
              <w:rPr>
                <w:rFonts w:ascii="Arial" w:cs="Arial" w:eastAsia="Arial" w:hAnsi="Arial"/>
                <w:b/>
                <w:bCs/>
                <w:i w:val="false"/>
                <w:iCs w:val="false"/>
                <w:color w:val="FFFFFF"/>
                <w:sz w:val="18"/>
                <w:szCs w:val="18"/>
              </w:rPr>
              <w:t xml:space="preserve">Req ID</w:t>
            </w:r>
          </w:p>
        </w:tc>
        <w:tc>
          <w:tcPr>
            <w:tcW w:type="dxa" w:w="3212"/>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top"/>
          </w:tcPr>
          <w:p>
            <w:pPr>
              <w:spacing w:after="0"/>
            </w:pPr>
            <w:r>
              <w:rPr>
                <w:rFonts w:ascii="Arial" w:cs="Arial" w:eastAsia="Arial" w:hAnsi="Arial"/>
                <w:b/>
                <w:bCs/>
                <w:i w:val="false"/>
                <w:iCs w:val="false"/>
                <w:color w:val="FFFFFF"/>
                <w:sz w:val="18"/>
                <w:szCs w:val="18"/>
              </w:rPr>
              <w:t xml:space="preserve">Requirement</w:t>
            </w:r>
          </w:p>
        </w:tc>
        <w:tc>
          <w:tcPr>
            <w:tcW w:type="dxa" w:w="3214"/>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top"/>
          </w:tcPr>
          <w:p>
            <w:pPr>
              <w:spacing w:after="0"/>
            </w:pPr>
            <w:r>
              <w:rPr>
                <w:rFonts w:ascii="Arial" w:cs="Arial" w:eastAsia="Arial" w:hAnsi="Arial"/>
                <w:b/>
                <w:bCs/>
                <w:i w:val="false"/>
                <w:iCs w:val="false"/>
                <w:color w:val="FFFFFF"/>
                <w:sz w:val="18"/>
                <w:szCs w:val="18"/>
              </w:rPr>
              <w:t xml:space="preserve">Priority</w:t>
            </w:r>
          </w:p>
        </w:tc>
      </w:tr>
      <w:tr>
        <w:trPr>
          <w:tblHeader w:val="false"/>
        </w:trPr>
        <w:tc>
          <w:tcPr>
            <w:tcW w:type="dxa" w:w="321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CRM-LC-001</w:t>
            </w:r>
          </w:p>
        </w:tc>
        <w:tc>
          <w:tcPr>
            <w:tcW w:type="dxa" w:w="321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System shall provide embeddable, customisable web enquiry forms (iFrame and native) for institution websites</w:t>
            </w:r>
          </w:p>
        </w:tc>
        <w:tc>
          <w:tcPr>
            <w:tcW w:type="dxa" w:w="3214"/>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Must Have</w:t>
            </w:r>
          </w:p>
        </w:tc>
      </w:tr>
      <w:tr>
        <w:trPr>
          <w:tblHeader w:val="false"/>
        </w:trPr>
        <w:tc>
          <w:tcPr>
            <w:tcW w:type="dxa" w:w="321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CRM-LC-002</w:t>
            </w:r>
          </w:p>
        </w:tc>
        <w:tc>
          <w:tcPr>
            <w:tcW w:type="dxa" w:w="321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Forms shall support conditional field logic (show/hide fields based on prior answers)</w:t>
            </w:r>
          </w:p>
        </w:tc>
        <w:tc>
          <w:tcPr>
            <w:tcW w:type="dxa" w:w="3214"/>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Must Have</w:t>
            </w:r>
          </w:p>
        </w:tc>
      </w:tr>
      <w:tr>
        <w:trPr>
          <w:tblHeader w:val="false"/>
        </w:trPr>
        <w:tc>
          <w:tcPr>
            <w:tcW w:type="dxa" w:w="321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CRM-LC-003</w:t>
            </w:r>
          </w:p>
        </w:tc>
        <w:tc>
          <w:tcPr>
            <w:tcW w:type="dxa" w:w="321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Leads from Google Ads (via Google Lead Form Extensions) shall be auto-imported via webhook</w:t>
            </w:r>
          </w:p>
        </w:tc>
        <w:tc>
          <w:tcPr>
            <w:tcW w:type="dxa" w:w="3214"/>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Must Have</w:t>
            </w:r>
          </w:p>
        </w:tc>
      </w:tr>
      <w:tr>
        <w:trPr>
          <w:tblHeader w:val="false"/>
        </w:trPr>
        <w:tc>
          <w:tcPr>
            <w:tcW w:type="dxa" w:w="321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CRM-LC-004</w:t>
            </w:r>
          </w:p>
        </w:tc>
        <w:tc>
          <w:tcPr>
            <w:tcW w:type="dxa" w:w="321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Leads from Facebook/Instagram Lead Ads shall be auto-imported via Meta Lead Ads API</w:t>
            </w:r>
          </w:p>
        </w:tc>
        <w:tc>
          <w:tcPr>
            <w:tcW w:type="dxa" w:w="3214"/>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Must Have</w:t>
            </w:r>
          </w:p>
        </w:tc>
      </w:tr>
      <w:tr>
        <w:trPr>
          <w:tblHeader w:val="false"/>
        </w:trPr>
        <w:tc>
          <w:tcPr>
            <w:tcW w:type="dxa" w:w="321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CRM-LC-005</w:t>
            </w:r>
          </w:p>
        </w:tc>
        <w:tc>
          <w:tcPr>
            <w:tcW w:type="dxa" w:w="321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System shall support lead capture from landing pages built within the CRM (drag-and-drop page builder)</w:t>
            </w:r>
          </w:p>
        </w:tc>
        <w:tc>
          <w:tcPr>
            <w:tcW w:type="dxa" w:w="3214"/>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Should Have</w:t>
            </w:r>
          </w:p>
        </w:tc>
      </w:tr>
      <w:tr>
        <w:trPr>
          <w:tblHeader w:val="false"/>
        </w:trPr>
        <w:tc>
          <w:tcPr>
            <w:tcW w:type="dxa" w:w="321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CRM-LC-006</w:t>
            </w:r>
          </w:p>
        </w:tc>
        <w:tc>
          <w:tcPr>
            <w:tcW w:type="dxa" w:w="321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Live chat widget shall be available for embedding on institution websites, with enquiries creating CRM leads</w:t>
            </w:r>
          </w:p>
        </w:tc>
        <w:tc>
          <w:tcPr>
            <w:tcW w:type="dxa" w:w="3214"/>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Should Have</w:t>
            </w:r>
          </w:p>
        </w:tc>
      </w:tr>
      <w:tr>
        <w:trPr>
          <w:tblHeader w:val="false"/>
        </w:trPr>
        <w:tc>
          <w:tcPr>
            <w:tcW w:type="dxa" w:w="321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CRM-LC-007</w:t>
            </w:r>
          </w:p>
        </w:tc>
        <w:tc>
          <w:tcPr>
            <w:tcW w:type="dxa" w:w="321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WhatsApp Click-to-Chat links shall auto-create lead records when a prospective student initiates a conversation</w:t>
            </w:r>
          </w:p>
        </w:tc>
        <w:tc>
          <w:tcPr>
            <w:tcW w:type="dxa" w:w="3214"/>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Must Have</w:t>
            </w:r>
          </w:p>
        </w:tc>
      </w:tr>
      <w:tr>
        <w:trPr>
          <w:tblHeader w:val="false"/>
        </w:trPr>
        <w:tc>
          <w:tcPr>
            <w:tcW w:type="dxa" w:w="321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CRM-LC-008</w:t>
            </w:r>
          </w:p>
        </w:tc>
        <w:tc>
          <w:tcPr>
            <w:tcW w:type="dxa" w:w="321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Leads from third-party education portals (Shiksha, CollegeDekho, Careers360, etc.) shall be importable via API or CSV</w:t>
            </w:r>
          </w:p>
        </w:tc>
        <w:tc>
          <w:tcPr>
            <w:tcW w:type="dxa" w:w="3214"/>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Must Have</w:t>
            </w:r>
          </w:p>
        </w:tc>
      </w:tr>
      <w:tr>
        <w:trPr>
          <w:tblHeader w:val="false"/>
        </w:trPr>
        <w:tc>
          <w:tcPr>
            <w:tcW w:type="dxa" w:w="321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CRM-LC-009</w:t>
            </w:r>
          </w:p>
        </w:tc>
        <w:tc>
          <w:tcPr>
            <w:tcW w:type="dxa" w:w="321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System shall support QR-code-based lead capture for walk-in enquiries and events</w:t>
            </w:r>
          </w:p>
        </w:tc>
        <w:tc>
          <w:tcPr>
            <w:tcW w:type="dxa" w:w="3214"/>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Must Have</w:t>
            </w:r>
          </w:p>
        </w:tc>
      </w:tr>
    </w:tbl>
    <w:p>
      <w:pPr>
        <w:spacing w:after="160" w:before="80"/>
      </w:pPr>
    </w:p>
    <w:p>
      <w:pPr>
        <w:spacing w:after="40" w:before="40"/>
      </w:pPr>
    </w:p>
    <w:p>
      <w:pPr>
        <w:pStyle w:val="Heading4"/>
        <w:spacing w:after="80" w:before="160"/>
      </w:pPr>
      <w:r>
        <w:rPr>
          <w:rFonts w:ascii="Arial" w:cs="Arial" w:eastAsia="Arial" w:hAnsi="Arial"/>
          <w:b/>
          <w:bCs/>
          <w:i w:val="false"/>
          <w:iCs w:val="false"/>
          <w:color w:val="1B2A4A"/>
          <w:sz w:val="22"/>
          <w:szCs w:val="22"/>
        </w:rPr>
        <w:t xml:space="preserve">8.1.2 Telephony and Offline Lead Capture</w:t>
      </w:r>
    </w:p>
    <w:p>
      <w:pPr>
        <w:spacing w:after="40" w:before="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4"/>
      </w:tblGrid>
      <w:tr>
        <w:trPr>
          <w:tblHeader/>
        </w:trPr>
        <w:tc>
          <w:tcPr>
            <w:tcW w:type="dxa" w:w="3212"/>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top"/>
          </w:tcPr>
          <w:p>
            <w:pPr>
              <w:spacing w:after="0"/>
            </w:pPr>
            <w:r>
              <w:rPr>
                <w:rFonts w:ascii="Arial" w:cs="Arial" w:eastAsia="Arial" w:hAnsi="Arial"/>
                <w:b/>
                <w:bCs/>
                <w:i w:val="false"/>
                <w:iCs w:val="false"/>
                <w:color w:val="FFFFFF"/>
                <w:sz w:val="18"/>
                <w:szCs w:val="18"/>
              </w:rPr>
              <w:t xml:space="preserve">Req ID</w:t>
            </w:r>
          </w:p>
        </w:tc>
        <w:tc>
          <w:tcPr>
            <w:tcW w:type="dxa" w:w="3212"/>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top"/>
          </w:tcPr>
          <w:p>
            <w:pPr>
              <w:spacing w:after="0"/>
            </w:pPr>
            <w:r>
              <w:rPr>
                <w:rFonts w:ascii="Arial" w:cs="Arial" w:eastAsia="Arial" w:hAnsi="Arial"/>
                <w:b/>
                <w:bCs/>
                <w:i w:val="false"/>
                <w:iCs w:val="false"/>
                <w:color w:val="FFFFFF"/>
                <w:sz w:val="18"/>
                <w:szCs w:val="18"/>
              </w:rPr>
              <w:t xml:space="preserve">Requirement</w:t>
            </w:r>
          </w:p>
        </w:tc>
        <w:tc>
          <w:tcPr>
            <w:tcW w:type="dxa" w:w="3214"/>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top"/>
          </w:tcPr>
          <w:p>
            <w:pPr>
              <w:spacing w:after="0"/>
            </w:pPr>
            <w:r>
              <w:rPr>
                <w:rFonts w:ascii="Arial" w:cs="Arial" w:eastAsia="Arial" w:hAnsi="Arial"/>
                <w:b/>
                <w:bCs/>
                <w:i w:val="false"/>
                <w:iCs w:val="false"/>
                <w:color w:val="FFFFFF"/>
                <w:sz w:val="18"/>
                <w:szCs w:val="18"/>
              </w:rPr>
              <w:t xml:space="preserve">Priority</w:t>
            </w:r>
          </w:p>
        </w:tc>
      </w:tr>
      <w:tr>
        <w:trPr>
          <w:tblHeader w:val="false"/>
        </w:trPr>
        <w:tc>
          <w:tcPr>
            <w:tcW w:type="dxa" w:w="321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CRM-LC-010</w:t>
            </w:r>
          </w:p>
        </w:tc>
        <w:tc>
          <w:tcPr>
            <w:tcW w:type="dxa" w:w="321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Inbound calls to a virtual number shall automatically create lead records with caller details and call recording</w:t>
            </w:r>
          </w:p>
        </w:tc>
        <w:tc>
          <w:tcPr>
            <w:tcW w:type="dxa" w:w="3214"/>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Must Have</w:t>
            </w:r>
          </w:p>
        </w:tc>
      </w:tr>
      <w:tr>
        <w:trPr>
          <w:tblHeader w:val="false"/>
        </w:trPr>
        <w:tc>
          <w:tcPr>
            <w:tcW w:type="dxa" w:w="321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CRM-LC-011</w:t>
            </w:r>
          </w:p>
        </w:tc>
        <w:tc>
          <w:tcPr>
            <w:tcW w:type="dxa" w:w="321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Counsellors shall be able to manually create leads via desktop and mobile interfaces</w:t>
            </w:r>
          </w:p>
        </w:tc>
        <w:tc>
          <w:tcPr>
            <w:tcW w:type="dxa" w:w="3214"/>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Must Have</w:t>
            </w:r>
          </w:p>
        </w:tc>
      </w:tr>
      <w:tr>
        <w:trPr>
          <w:tblHeader w:val="false"/>
        </w:trPr>
        <w:tc>
          <w:tcPr>
            <w:tcW w:type="dxa" w:w="321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CRM-LC-012</w:t>
            </w:r>
          </w:p>
        </w:tc>
        <w:tc>
          <w:tcPr>
            <w:tcW w:type="dxa" w:w="321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Bulk lead upload via Excel/CSV shall be supported with a validation and error report</w:t>
            </w:r>
          </w:p>
        </w:tc>
        <w:tc>
          <w:tcPr>
            <w:tcW w:type="dxa" w:w="3214"/>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Must Have</w:t>
            </w:r>
          </w:p>
        </w:tc>
      </w:tr>
      <w:tr>
        <w:trPr>
          <w:tblHeader w:val="false"/>
        </w:trPr>
        <w:tc>
          <w:tcPr>
            <w:tcW w:type="dxa" w:w="321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CRM-LC-013</w:t>
            </w:r>
          </w:p>
        </w:tc>
        <w:tc>
          <w:tcPr>
            <w:tcW w:type="dxa" w:w="321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Walk-in enquiry registration shall be available via a dedicated kiosk-friendly interface</w:t>
            </w:r>
          </w:p>
        </w:tc>
        <w:tc>
          <w:tcPr>
            <w:tcW w:type="dxa" w:w="3214"/>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Should Have</w:t>
            </w:r>
          </w:p>
        </w:tc>
      </w:tr>
    </w:tbl>
    <w:p>
      <w:pPr>
        <w:spacing w:after="160" w:before="80"/>
      </w:pPr>
    </w:p>
    <w:p>
      <w:pPr>
        <w:spacing w:after="40" w:before="40"/>
      </w:pPr>
    </w:p>
    <w:p>
      <w:pPr>
        <w:pStyle w:val="Heading4"/>
        <w:spacing w:after="80" w:before="160"/>
      </w:pPr>
      <w:r>
        <w:rPr>
          <w:rFonts w:ascii="Arial" w:cs="Arial" w:eastAsia="Arial" w:hAnsi="Arial"/>
          <w:b/>
          <w:bCs/>
          <w:i w:val="false"/>
          <w:iCs w:val="false"/>
          <w:color w:val="1B2A4A"/>
          <w:sz w:val="22"/>
          <w:szCs w:val="22"/>
        </w:rPr>
        <w:t xml:space="preserve">8.1.3 Lead Source Tracking and Attribution</w:t>
      </w:r>
    </w:p>
    <w:p>
      <w:pPr>
        <w:spacing w:after="40" w:before="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4"/>
      </w:tblGrid>
      <w:tr>
        <w:trPr>
          <w:tblHeader/>
        </w:trPr>
        <w:tc>
          <w:tcPr>
            <w:tcW w:type="dxa" w:w="3212"/>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top"/>
          </w:tcPr>
          <w:p>
            <w:pPr>
              <w:spacing w:after="0"/>
            </w:pPr>
            <w:r>
              <w:rPr>
                <w:rFonts w:ascii="Arial" w:cs="Arial" w:eastAsia="Arial" w:hAnsi="Arial"/>
                <w:b/>
                <w:bCs/>
                <w:i w:val="false"/>
                <w:iCs w:val="false"/>
                <w:color w:val="FFFFFF"/>
                <w:sz w:val="18"/>
                <w:szCs w:val="18"/>
              </w:rPr>
              <w:t xml:space="preserve">Req ID</w:t>
            </w:r>
          </w:p>
        </w:tc>
        <w:tc>
          <w:tcPr>
            <w:tcW w:type="dxa" w:w="3212"/>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top"/>
          </w:tcPr>
          <w:p>
            <w:pPr>
              <w:spacing w:after="0"/>
            </w:pPr>
            <w:r>
              <w:rPr>
                <w:rFonts w:ascii="Arial" w:cs="Arial" w:eastAsia="Arial" w:hAnsi="Arial"/>
                <w:b/>
                <w:bCs/>
                <w:i w:val="false"/>
                <w:iCs w:val="false"/>
                <w:color w:val="FFFFFF"/>
                <w:sz w:val="18"/>
                <w:szCs w:val="18"/>
              </w:rPr>
              <w:t xml:space="preserve">Requirement</w:t>
            </w:r>
          </w:p>
        </w:tc>
        <w:tc>
          <w:tcPr>
            <w:tcW w:type="dxa" w:w="3214"/>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top"/>
          </w:tcPr>
          <w:p>
            <w:pPr>
              <w:spacing w:after="0"/>
            </w:pPr>
            <w:r>
              <w:rPr>
                <w:rFonts w:ascii="Arial" w:cs="Arial" w:eastAsia="Arial" w:hAnsi="Arial"/>
                <w:b/>
                <w:bCs/>
                <w:i w:val="false"/>
                <w:iCs w:val="false"/>
                <w:color w:val="FFFFFF"/>
                <w:sz w:val="18"/>
                <w:szCs w:val="18"/>
              </w:rPr>
              <w:t xml:space="preserve">Priority</w:t>
            </w:r>
          </w:p>
        </w:tc>
      </w:tr>
      <w:tr>
        <w:trPr>
          <w:tblHeader w:val="false"/>
        </w:trPr>
        <w:tc>
          <w:tcPr>
            <w:tcW w:type="dxa" w:w="321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CRM-LC-014</w:t>
            </w:r>
          </w:p>
        </w:tc>
        <w:tc>
          <w:tcPr>
            <w:tcW w:type="dxa" w:w="321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Every lead shall carry a mandatory Source field (e.g., Google Ads, Facebook, Walk-in, Referral, Education Portal, WhatsApp, IVR, Event, Website Organic)</w:t>
            </w:r>
          </w:p>
        </w:tc>
        <w:tc>
          <w:tcPr>
            <w:tcW w:type="dxa" w:w="3214"/>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Must Have</w:t>
            </w:r>
          </w:p>
        </w:tc>
      </w:tr>
      <w:tr>
        <w:trPr>
          <w:tblHeader w:val="false"/>
        </w:trPr>
        <w:tc>
          <w:tcPr>
            <w:tcW w:type="dxa" w:w="321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CRM-LC-015</w:t>
            </w:r>
          </w:p>
        </w:tc>
        <w:tc>
          <w:tcPr>
            <w:tcW w:type="dxa" w:w="321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UTM parameter tracking shall be supported for all web form and landing page submissions</w:t>
            </w:r>
          </w:p>
        </w:tc>
        <w:tc>
          <w:tcPr>
            <w:tcW w:type="dxa" w:w="3214"/>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Must Have</w:t>
            </w:r>
          </w:p>
        </w:tc>
      </w:tr>
      <w:tr>
        <w:trPr>
          <w:tblHeader w:val="false"/>
        </w:trPr>
        <w:tc>
          <w:tcPr>
            <w:tcW w:type="dxa" w:w="321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CRM-LC-016</w:t>
            </w:r>
          </w:p>
        </w:tc>
        <w:tc>
          <w:tcPr>
            <w:tcW w:type="dxa" w:w="321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Multi-touch attribution model shall be available (first touch, last touch, linear, configurable)</w:t>
            </w:r>
          </w:p>
        </w:tc>
        <w:tc>
          <w:tcPr>
            <w:tcW w:type="dxa" w:w="3214"/>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Should Have</w:t>
            </w:r>
          </w:p>
        </w:tc>
      </w:tr>
      <w:tr>
        <w:trPr>
          <w:tblHeader w:val="false"/>
        </w:trPr>
        <w:tc>
          <w:tcPr>
            <w:tcW w:type="dxa" w:w="321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CRM-LC-017</w:t>
            </w:r>
          </w:p>
        </w:tc>
        <w:tc>
          <w:tcPr>
            <w:tcW w:type="dxa" w:w="321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Cost-per-lead tracking shall be available by linking campaign spends to lead source</w:t>
            </w:r>
          </w:p>
        </w:tc>
        <w:tc>
          <w:tcPr>
            <w:tcW w:type="dxa" w:w="3214"/>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Should Have</w:t>
            </w:r>
          </w:p>
        </w:tc>
      </w:tr>
    </w:tbl>
    <w:p>
      <w:pPr>
        <w:spacing w:after="160" w:before="80"/>
      </w:pPr>
    </w:p>
    <w:p>
      <w:pPr>
        <w:spacing w:after="40" w:before="40"/>
      </w:pPr>
    </w:p>
    <w:p>
      <w:pPr>
        <w:pStyle w:val="Heading4"/>
        <w:spacing w:after="80" w:before="160"/>
      </w:pPr>
      <w:r>
        <w:rPr>
          <w:rFonts w:ascii="Arial" w:cs="Arial" w:eastAsia="Arial" w:hAnsi="Arial"/>
          <w:b/>
          <w:bCs/>
          <w:i w:val="false"/>
          <w:iCs w:val="false"/>
          <w:color w:val="1B2A4A"/>
          <w:sz w:val="22"/>
          <w:szCs w:val="22"/>
        </w:rPr>
        <w:t xml:space="preserve">8.1.4 De-duplication and Lead Merging</w:t>
      </w:r>
    </w:p>
    <w:p>
      <w:pPr>
        <w:spacing w:after="40" w:before="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4"/>
      </w:tblGrid>
      <w:tr>
        <w:trPr>
          <w:tblHeader/>
        </w:trPr>
        <w:tc>
          <w:tcPr>
            <w:tcW w:type="dxa" w:w="3212"/>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top"/>
          </w:tcPr>
          <w:p>
            <w:pPr>
              <w:spacing w:after="0"/>
            </w:pPr>
            <w:r>
              <w:rPr>
                <w:rFonts w:ascii="Arial" w:cs="Arial" w:eastAsia="Arial" w:hAnsi="Arial"/>
                <w:b/>
                <w:bCs/>
                <w:i w:val="false"/>
                <w:iCs w:val="false"/>
                <w:color w:val="FFFFFF"/>
                <w:sz w:val="18"/>
                <w:szCs w:val="18"/>
              </w:rPr>
              <w:t xml:space="preserve">Req ID</w:t>
            </w:r>
          </w:p>
        </w:tc>
        <w:tc>
          <w:tcPr>
            <w:tcW w:type="dxa" w:w="3212"/>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top"/>
          </w:tcPr>
          <w:p>
            <w:pPr>
              <w:spacing w:after="0"/>
            </w:pPr>
            <w:r>
              <w:rPr>
                <w:rFonts w:ascii="Arial" w:cs="Arial" w:eastAsia="Arial" w:hAnsi="Arial"/>
                <w:b/>
                <w:bCs/>
                <w:i w:val="false"/>
                <w:iCs w:val="false"/>
                <w:color w:val="FFFFFF"/>
                <w:sz w:val="18"/>
                <w:szCs w:val="18"/>
              </w:rPr>
              <w:t xml:space="preserve">Requirement</w:t>
            </w:r>
          </w:p>
        </w:tc>
        <w:tc>
          <w:tcPr>
            <w:tcW w:type="dxa" w:w="3214"/>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top"/>
          </w:tcPr>
          <w:p>
            <w:pPr>
              <w:spacing w:after="0"/>
            </w:pPr>
            <w:r>
              <w:rPr>
                <w:rFonts w:ascii="Arial" w:cs="Arial" w:eastAsia="Arial" w:hAnsi="Arial"/>
                <w:b/>
                <w:bCs/>
                <w:i w:val="false"/>
                <w:iCs w:val="false"/>
                <w:color w:val="FFFFFF"/>
                <w:sz w:val="18"/>
                <w:szCs w:val="18"/>
              </w:rPr>
              <w:t xml:space="preserve">Priority</w:t>
            </w:r>
          </w:p>
        </w:tc>
      </w:tr>
      <w:tr>
        <w:trPr>
          <w:tblHeader w:val="false"/>
        </w:trPr>
        <w:tc>
          <w:tcPr>
            <w:tcW w:type="dxa" w:w="321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CRM-LC-018</w:t>
            </w:r>
          </w:p>
        </w:tc>
        <w:tc>
          <w:tcPr>
            <w:tcW w:type="dxa" w:w="321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System shall auto-detect duplicate leads based on mobile number, email or name+course combination and flag or auto-merge per configured rules</w:t>
            </w:r>
          </w:p>
        </w:tc>
        <w:tc>
          <w:tcPr>
            <w:tcW w:type="dxa" w:w="3214"/>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Must Have</w:t>
            </w:r>
          </w:p>
        </w:tc>
      </w:tr>
      <w:tr>
        <w:trPr>
          <w:tblHeader w:val="false"/>
        </w:trPr>
        <w:tc>
          <w:tcPr>
            <w:tcW w:type="dxa" w:w="321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CRM-LC-019</w:t>
            </w:r>
          </w:p>
        </w:tc>
        <w:tc>
          <w:tcPr>
            <w:tcW w:type="dxa" w:w="321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Admins shall be able to manually merge duplicate lead records, with full activity history preserved</w:t>
            </w:r>
          </w:p>
        </w:tc>
        <w:tc>
          <w:tcPr>
            <w:tcW w:type="dxa" w:w="3214"/>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Must Have</w:t>
            </w:r>
          </w:p>
        </w:tc>
      </w:tr>
      <w:tr>
        <w:trPr>
          <w:tblHeader w:val="false"/>
        </w:trPr>
        <w:tc>
          <w:tcPr>
            <w:tcW w:type="dxa" w:w="321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CRM-LC-020</w:t>
            </w:r>
          </w:p>
        </w:tc>
        <w:tc>
          <w:tcPr>
            <w:tcW w:type="dxa" w:w="321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Leads that match an existing admitted student or alumni record in A2A ERP shall be flagged and linked</w:t>
            </w:r>
          </w:p>
        </w:tc>
        <w:tc>
          <w:tcPr>
            <w:tcW w:type="dxa" w:w="3214"/>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Must Have</w:t>
            </w:r>
          </w:p>
        </w:tc>
      </w:tr>
    </w:tbl>
    <w:p>
      <w:pPr>
        <w:spacing w:after="160" w:before="80"/>
      </w:pPr>
    </w:p>
    <w:p>
      <w:pPr>
        <w:spacing w:after="40" w:before="40"/>
      </w:pPr>
    </w:p>
    <w:p>
      <w:pPr>
        <w:pBdr>
          <w:bottom w:val="single" w:color="D1D5DB" w:sz="3" w:space="1"/>
        </w:pBdr>
        <w:spacing w:after="80" w:before="80"/>
      </w:pPr>
    </w:p>
    <w:p>
      <w:pPr>
        <w:spacing w:after="40" w:before="40"/>
      </w:pPr>
    </w:p>
    <w:p>
      <w:pPr>
        <w:pStyle w:val="Heading3"/>
        <w:spacing w:after="100" w:before="200"/>
      </w:pPr>
      <w:r>
        <w:rPr>
          <w:rFonts w:ascii="Arial" w:cs="Arial" w:eastAsia="Arial" w:hAnsi="Arial"/>
          <w:b/>
          <w:bCs/>
          <w:i w:val="false"/>
          <w:iCs w:val="false"/>
          <w:color w:val="2563EB"/>
          <w:sz w:val="24"/>
          <w:szCs w:val="24"/>
        </w:rPr>
        <w:t xml:space="preserve">8.2 Lead Qualification and Scoring</w:t>
      </w:r>
    </w:p>
    <w:p>
      <w:pPr>
        <w:spacing w:after="40" w:before="40"/>
      </w:pPr>
    </w:p>
    <w:p>
      <w:pPr>
        <w:spacing w:after="60" w:before="60"/>
        <w:jc w:val="both"/>
      </w:pPr>
      <w:r>
        <w:rPr>
          <w:rFonts w:ascii="Arial" w:cs="Arial" w:eastAsia="Arial" w:hAnsi="Arial"/>
          <w:b/>
          <w:bCs/>
          <w:i w:val="false"/>
          <w:iCs w:val="false"/>
          <w:color w:val="111827"/>
          <w:sz w:val="20"/>
          <w:szCs w:val="20"/>
        </w:rPr>
        <w:t xml:space="preserve">Purpose:</w:t>
      </w:r>
      <w:r>
        <w:rPr>
          <w:rFonts w:ascii="Arial" w:cs="Arial" w:eastAsia="Arial" w:hAnsi="Arial"/>
          <w:b w:val="false"/>
          <w:bCs w:val="false"/>
          <w:i w:val="false"/>
          <w:iCs w:val="false"/>
          <w:color w:val="111827"/>
          <w:sz w:val="20"/>
          <w:szCs w:val="20"/>
        </w:rPr>
        <w:t xml:space="preserve"> Rank and segment leads by conversion probability to enable counsellors to prioritise high-value prospects and trigger automated nurturing for lower-priority leads.</w:t>
      </w:r>
    </w:p>
    <w:p>
      <w:pPr>
        <w:spacing w:after="40" w:before="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4"/>
      </w:tblGrid>
      <w:tr>
        <w:trPr>
          <w:tblHeader/>
        </w:trPr>
        <w:tc>
          <w:tcPr>
            <w:tcW w:type="dxa" w:w="3212"/>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top"/>
          </w:tcPr>
          <w:p>
            <w:pPr>
              <w:spacing w:after="0"/>
            </w:pPr>
            <w:r>
              <w:rPr>
                <w:rFonts w:ascii="Arial" w:cs="Arial" w:eastAsia="Arial" w:hAnsi="Arial"/>
                <w:b/>
                <w:bCs/>
                <w:i w:val="false"/>
                <w:iCs w:val="false"/>
                <w:color w:val="FFFFFF"/>
                <w:sz w:val="18"/>
                <w:szCs w:val="18"/>
              </w:rPr>
              <w:t xml:space="preserve">Req ID</w:t>
            </w:r>
          </w:p>
        </w:tc>
        <w:tc>
          <w:tcPr>
            <w:tcW w:type="dxa" w:w="3212"/>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top"/>
          </w:tcPr>
          <w:p>
            <w:pPr>
              <w:spacing w:after="0"/>
            </w:pPr>
            <w:r>
              <w:rPr>
                <w:rFonts w:ascii="Arial" w:cs="Arial" w:eastAsia="Arial" w:hAnsi="Arial"/>
                <w:b/>
                <w:bCs/>
                <w:i w:val="false"/>
                <w:iCs w:val="false"/>
                <w:color w:val="FFFFFF"/>
                <w:sz w:val="18"/>
                <w:szCs w:val="18"/>
              </w:rPr>
              <w:t xml:space="preserve">Requirement</w:t>
            </w:r>
          </w:p>
        </w:tc>
        <w:tc>
          <w:tcPr>
            <w:tcW w:type="dxa" w:w="3214"/>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top"/>
          </w:tcPr>
          <w:p>
            <w:pPr>
              <w:spacing w:after="0"/>
            </w:pPr>
            <w:r>
              <w:rPr>
                <w:rFonts w:ascii="Arial" w:cs="Arial" w:eastAsia="Arial" w:hAnsi="Arial"/>
                <w:b/>
                <w:bCs/>
                <w:i w:val="false"/>
                <w:iCs w:val="false"/>
                <w:color w:val="FFFFFF"/>
                <w:sz w:val="18"/>
                <w:szCs w:val="18"/>
              </w:rPr>
              <w:t xml:space="preserve">Priority</w:t>
            </w:r>
          </w:p>
        </w:tc>
      </w:tr>
      <w:tr>
        <w:trPr>
          <w:tblHeader w:val="false"/>
        </w:trPr>
        <w:tc>
          <w:tcPr>
            <w:tcW w:type="dxa" w:w="321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CRM-LQ-001</w:t>
            </w:r>
          </w:p>
        </w:tc>
        <w:tc>
          <w:tcPr>
            <w:tcW w:type="dxa" w:w="321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System shall provide a configurable, rule-based lead scoring engine with a score range of 0–100</w:t>
            </w:r>
          </w:p>
        </w:tc>
        <w:tc>
          <w:tcPr>
            <w:tcW w:type="dxa" w:w="3214"/>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Must Have</w:t>
            </w:r>
          </w:p>
        </w:tc>
      </w:tr>
      <w:tr>
        <w:trPr>
          <w:tblHeader w:val="false"/>
        </w:trPr>
        <w:tc>
          <w:tcPr>
            <w:tcW w:type="dxa" w:w="321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CRM-LQ-002</w:t>
            </w:r>
          </w:p>
        </w:tc>
        <w:tc>
          <w:tcPr>
            <w:tcW w:type="dxa" w:w="321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Scoring parameters shall include: demographic data completeness, course interest match, engagement activity (email opens, WhatsApp reads, form revisits), response time to counsellor, and geographic proximity</w:t>
            </w:r>
          </w:p>
        </w:tc>
        <w:tc>
          <w:tcPr>
            <w:tcW w:type="dxa" w:w="3214"/>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Must Have</w:t>
            </w:r>
          </w:p>
        </w:tc>
      </w:tr>
      <w:tr>
        <w:trPr>
          <w:tblHeader w:val="false"/>
        </w:trPr>
        <w:tc>
          <w:tcPr>
            <w:tcW w:type="dxa" w:w="321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CRM-LQ-003</w:t>
            </w:r>
          </w:p>
        </w:tc>
        <w:tc>
          <w:tcPr>
            <w:tcW w:type="dxa" w:w="321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AI-assisted lead scoring shall augment rule-based scores using historical conversion pattern analysis</w:t>
            </w:r>
          </w:p>
        </w:tc>
        <w:tc>
          <w:tcPr>
            <w:tcW w:type="dxa" w:w="3214"/>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Should Have</w:t>
            </w:r>
          </w:p>
        </w:tc>
      </w:tr>
      <w:tr>
        <w:trPr>
          <w:tblHeader w:val="false"/>
        </w:trPr>
        <w:tc>
          <w:tcPr>
            <w:tcW w:type="dxa" w:w="321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CRM-LQ-004</w:t>
            </w:r>
          </w:p>
        </w:tc>
        <w:tc>
          <w:tcPr>
            <w:tcW w:type="dxa" w:w="321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Lead score shall be recalculated in real-time on every qualifying activity</w:t>
            </w:r>
          </w:p>
        </w:tc>
        <w:tc>
          <w:tcPr>
            <w:tcW w:type="dxa" w:w="3214"/>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Must Have</w:t>
            </w:r>
          </w:p>
        </w:tc>
      </w:tr>
      <w:tr>
        <w:trPr>
          <w:tblHeader w:val="false"/>
        </w:trPr>
        <w:tc>
          <w:tcPr>
            <w:tcW w:type="dxa" w:w="321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CRM-LQ-005</w:t>
            </w:r>
          </w:p>
        </w:tc>
        <w:tc>
          <w:tcPr>
            <w:tcW w:type="dxa" w:w="321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System shall support lead temperature classification: Hot / Warm / Cold / Lost / Converted, configurable per institution</w:t>
            </w:r>
          </w:p>
        </w:tc>
        <w:tc>
          <w:tcPr>
            <w:tcW w:type="dxa" w:w="3214"/>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Must Have</w:t>
            </w:r>
          </w:p>
        </w:tc>
      </w:tr>
      <w:tr>
        <w:trPr>
          <w:tblHeader w:val="false"/>
        </w:trPr>
        <w:tc>
          <w:tcPr>
            <w:tcW w:type="dxa" w:w="321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CRM-LQ-006</w:t>
            </w:r>
          </w:p>
        </w:tc>
        <w:tc>
          <w:tcPr>
            <w:tcW w:type="dxa" w:w="321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Score thresholds shall trigger automated workflow actions (e.g., Hot lead → immediate counsellor alert; Cold lead → enter nurture drip sequence)</w:t>
            </w:r>
          </w:p>
        </w:tc>
        <w:tc>
          <w:tcPr>
            <w:tcW w:type="dxa" w:w="3214"/>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Must Have</w:t>
            </w:r>
          </w:p>
        </w:tc>
      </w:tr>
      <w:tr>
        <w:trPr>
          <w:tblHeader w:val="false"/>
        </w:trPr>
        <w:tc>
          <w:tcPr>
            <w:tcW w:type="dxa" w:w="321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CRM-LQ-007</w:t>
            </w:r>
          </w:p>
        </w:tc>
        <w:tc>
          <w:tcPr>
            <w:tcW w:type="dxa" w:w="321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Counsellors shall be able to manually override the AI/rule-based score with a documented reason</w:t>
            </w:r>
          </w:p>
        </w:tc>
        <w:tc>
          <w:tcPr>
            <w:tcW w:type="dxa" w:w="3214"/>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Must Have</w:t>
            </w:r>
          </w:p>
        </w:tc>
      </w:tr>
      <w:tr>
        <w:trPr>
          <w:tblHeader w:val="false"/>
        </w:trPr>
        <w:tc>
          <w:tcPr>
            <w:tcW w:type="dxa" w:w="321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CRM-LQ-008</w:t>
            </w:r>
          </w:p>
        </w:tc>
        <w:tc>
          <w:tcPr>
            <w:tcW w:type="dxa" w:w="321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Lead quality grading by source shall be reportable (e.g., Google Ads leads vs. Referral leads by conversion rate)</w:t>
            </w:r>
          </w:p>
        </w:tc>
        <w:tc>
          <w:tcPr>
            <w:tcW w:type="dxa" w:w="3214"/>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Must Have</w:t>
            </w:r>
          </w:p>
        </w:tc>
      </w:tr>
      <w:tr>
        <w:trPr>
          <w:tblHeader w:val="false"/>
        </w:trPr>
        <w:tc>
          <w:tcPr>
            <w:tcW w:type="dxa" w:w="321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CRM-LQ-009</w:t>
            </w:r>
          </w:p>
        </w:tc>
        <w:tc>
          <w:tcPr>
            <w:tcW w:type="dxa" w:w="321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System shall support custom qualification questionnaires (BANT-equivalent for education: Budget, Awareness, Need, Timeline)</w:t>
            </w:r>
          </w:p>
        </w:tc>
        <w:tc>
          <w:tcPr>
            <w:tcW w:type="dxa" w:w="3214"/>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Should Have</w:t>
            </w:r>
          </w:p>
        </w:tc>
      </w:tr>
      <w:tr>
        <w:trPr>
          <w:tblHeader w:val="false"/>
        </w:trPr>
        <w:tc>
          <w:tcPr>
            <w:tcW w:type="dxa" w:w="321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CRM-LQ-010</w:t>
            </w:r>
          </w:p>
        </w:tc>
        <w:tc>
          <w:tcPr>
            <w:tcW w:type="dxa" w:w="321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Predictive churn flag shall identify leads at risk of dropping off based on inactivity thresholds</w:t>
            </w:r>
          </w:p>
        </w:tc>
        <w:tc>
          <w:tcPr>
            <w:tcW w:type="dxa" w:w="3214"/>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Should Have</w:t>
            </w:r>
          </w:p>
        </w:tc>
      </w:tr>
    </w:tbl>
    <w:p>
      <w:pPr>
        <w:spacing w:after="160" w:before="80"/>
      </w:pPr>
    </w:p>
    <w:p>
      <w:pPr>
        <w:spacing w:after="40" w:before="40"/>
      </w:pPr>
    </w:p>
    <w:p>
      <w:pPr>
        <w:pBdr>
          <w:bottom w:val="single" w:color="D1D5DB" w:sz="3" w:space="1"/>
        </w:pBdr>
        <w:spacing w:after="80" w:before="80"/>
      </w:pPr>
    </w:p>
    <w:p>
      <w:pPr>
        <w:spacing w:after="40" w:before="40"/>
      </w:pPr>
    </w:p>
    <w:p>
      <w:pPr>
        <w:pStyle w:val="Heading3"/>
        <w:spacing w:after="100" w:before="200"/>
      </w:pPr>
      <w:r>
        <w:rPr>
          <w:rFonts w:ascii="Arial" w:cs="Arial" w:eastAsia="Arial" w:hAnsi="Arial"/>
          <w:b/>
          <w:bCs/>
          <w:i w:val="false"/>
          <w:iCs w:val="false"/>
          <w:color w:val="2563EB"/>
          <w:sz w:val="24"/>
          <w:szCs w:val="24"/>
        </w:rPr>
        <w:t xml:space="preserve">8.3 Enquiry and Counselling Management</w:t>
      </w:r>
    </w:p>
    <w:p>
      <w:pPr>
        <w:spacing w:after="40" w:before="40"/>
      </w:pPr>
    </w:p>
    <w:p>
      <w:pPr>
        <w:spacing w:after="60" w:before="60"/>
        <w:jc w:val="both"/>
      </w:pPr>
      <w:r>
        <w:rPr>
          <w:rFonts w:ascii="Arial" w:cs="Arial" w:eastAsia="Arial" w:hAnsi="Arial"/>
          <w:b/>
          <w:bCs/>
          <w:i w:val="false"/>
          <w:iCs w:val="false"/>
          <w:color w:val="111827"/>
          <w:sz w:val="20"/>
          <w:szCs w:val="20"/>
        </w:rPr>
        <w:t xml:space="preserve">Purpose:</w:t>
      </w:r>
      <w:r>
        <w:rPr>
          <w:rFonts w:ascii="Arial" w:cs="Arial" w:eastAsia="Arial" w:hAnsi="Arial"/>
          <w:b w:val="false"/>
          <w:bCs w:val="false"/>
          <w:i w:val="false"/>
          <w:iCs w:val="false"/>
          <w:color w:val="111827"/>
          <w:sz w:val="20"/>
          <w:szCs w:val="20"/>
        </w:rPr>
        <w:t xml:space="preserve"> Manage the end-to-end counselling interaction, from initial enquiry through to programme selection and application submission.</w:t>
      </w:r>
    </w:p>
    <w:p>
      <w:pPr>
        <w:spacing w:after="40" w:before="40"/>
      </w:pPr>
    </w:p>
    <w:p>
      <w:pPr>
        <w:pStyle w:val="Heading4"/>
        <w:spacing w:after="80" w:before="160"/>
      </w:pPr>
      <w:r>
        <w:rPr>
          <w:rFonts w:ascii="Arial" w:cs="Arial" w:eastAsia="Arial" w:hAnsi="Arial"/>
          <w:b/>
          <w:bCs/>
          <w:i w:val="false"/>
          <w:iCs w:val="false"/>
          <w:color w:val="1B2A4A"/>
          <w:sz w:val="22"/>
          <w:szCs w:val="22"/>
        </w:rPr>
        <w:t xml:space="preserve">8.3.1 Lead / Enquiry Record</w:t>
      </w:r>
    </w:p>
    <w:p>
      <w:pPr>
        <w:spacing w:after="40" w:before="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4"/>
      </w:tblGrid>
      <w:tr>
        <w:trPr>
          <w:tblHeader/>
        </w:trPr>
        <w:tc>
          <w:tcPr>
            <w:tcW w:type="dxa" w:w="3212"/>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top"/>
          </w:tcPr>
          <w:p>
            <w:pPr>
              <w:spacing w:after="0"/>
            </w:pPr>
            <w:r>
              <w:rPr>
                <w:rFonts w:ascii="Arial" w:cs="Arial" w:eastAsia="Arial" w:hAnsi="Arial"/>
                <w:b/>
                <w:bCs/>
                <w:i w:val="false"/>
                <w:iCs w:val="false"/>
                <w:color w:val="FFFFFF"/>
                <w:sz w:val="18"/>
                <w:szCs w:val="18"/>
              </w:rPr>
              <w:t xml:space="preserve">Req ID</w:t>
            </w:r>
          </w:p>
        </w:tc>
        <w:tc>
          <w:tcPr>
            <w:tcW w:type="dxa" w:w="3212"/>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top"/>
          </w:tcPr>
          <w:p>
            <w:pPr>
              <w:spacing w:after="0"/>
            </w:pPr>
            <w:r>
              <w:rPr>
                <w:rFonts w:ascii="Arial" w:cs="Arial" w:eastAsia="Arial" w:hAnsi="Arial"/>
                <w:b/>
                <w:bCs/>
                <w:i w:val="false"/>
                <w:iCs w:val="false"/>
                <w:color w:val="FFFFFF"/>
                <w:sz w:val="18"/>
                <w:szCs w:val="18"/>
              </w:rPr>
              <w:t xml:space="preserve">Requirement</w:t>
            </w:r>
          </w:p>
        </w:tc>
        <w:tc>
          <w:tcPr>
            <w:tcW w:type="dxa" w:w="3214"/>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top"/>
          </w:tcPr>
          <w:p>
            <w:pPr>
              <w:spacing w:after="0"/>
            </w:pPr>
            <w:r>
              <w:rPr>
                <w:rFonts w:ascii="Arial" w:cs="Arial" w:eastAsia="Arial" w:hAnsi="Arial"/>
                <w:b/>
                <w:bCs/>
                <w:i w:val="false"/>
                <w:iCs w:val="false"/>
                <w:color w:val="FFFFFF"/>
                <w:sz w:val="18"/>
                <w:szCs w:val="18"/>
              </w:rPr>
              <w:t xml:space="preserve">Priority</w:t>
            </w:r>
          </w:p>
        </w:tc>
      </w:tr>
      <w:tr>
        <w:trPr>
          <w:tblHeader w:val="false"/>
        </w:trPr>
        <w:tc>
          <w:tcPr>
            <w:tcW w:type="dxa" w:w="321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CRM-EC-001</w:t>
            </w:r>
          </w:p>
        </w:tc>
        <w:tc>
          <w:tcPr>
            <w:tcW w:type="dxa" w:w="321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A lead/enquiry record shall capture: full name, contact details, academic background (10th/12th/graduation marks, board/university), course(s) of interest, preferred batch/intake, current status, assigned counsellor, source, score, notes, and all activity history</w:t>
            </w:r>
          </w:p>
        </w:tc>
        <w:tc>
          <w:tcPr>
            <w:tcW w:type="dxa" w:w="3214"/>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Must Have</w:t>
            </w:r>
          </w:p>
        </w:tc>
      </w:tr>
      <w:tr>
        <w:trPr>
          <w:tblHeader w:val="false"/>
        </w:trPr>
        <w:tc>
          <w:tcPr>
            <w:tcW w:type="dxa" w:w="321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CRM-EC-002</w:t>
            </w:r>
          </w:p>
        </w:tc>
        <w:tc>
          <w:tcPr>
            <w:tcW w:type="dxa" w:w="321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A lead may be associated with one or more programmes of interest with individual status tracking per programme</w:t>
            </w:r>
          </w:p>
        </w:tc>
        <w:tc>
          <w:tcPr>
            <w:tcW w:type="dxa" w:w="3214"/>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Must Have</w:t>
            </w:r>
          </w:p>
        </w:tc>
      </w:tr>
      <w:tr>
        <w:trPr>
          <w:tblHeader w:val="false"/>
        </w:trPr>
        <w:tc>
          <w:tcPr>
            <w:tcW w:type="dxa" w:w="321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CRM-EC-003</w:t>
            </w:r>
          </w:p>
        </w:tc>
        <w:tc>
          <w:tcPr>
            <w:tcW w:type="dxa" w:w="321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Counsellor notes shall support rich text, tagging, and timestamp</w:t>
            </w:r>
          </w:p>
        </w:tc>
        <w:tc>
          <w:tcPr>
            <w:tcW w:type="dxa" w:w="3214"/>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Must Have</w:t>
            </w:r>
          </w:p>
        </w:tc>
      </w:tr>
      <w:tr>
        <w:trPr>
          <w:tblHeader w:val="false"/>
        </w:trPr>
        <w:tc>
          <w:tcPr>
            <w:tcW w:type="dxa" w:w="321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CRM-EC-004</w:t>
            </w:r>
          </w:p>
        </w:tc>
        <w:tc>
          <w:tcPr>
            <w:tcW w:type="dxa" w:w="321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Complete activity timeline (calls, emails, WhatsApp, SMS, notes, status changes, document uploads, payment events) shall be displayed chronologically on the lead record</w:t>
            </w:r>
          </w:p>
        </w:tc>
        <w:tc>
          <w:tcPr>
            <w:tcW w:type="dxa" w:w="3214"/>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Must Have</w:t>
            </w:r>
          </w:p>
        </w:tc>
      </w:tr>
      <w:tr>
        <w:trPr>
          <w:tblHeader w:val="false"/>
        </w:trPr>
        <w:tc>
          <w:tcPr>
            <w:tcW w:type="dxa" w:w="321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CRM-EC-005</w:t>
            </w:r>
          </w:p>
        </w:tc>
        <w:tc>
          <w:tcPr>
            <w:tcW w:type="dxa" w:w="321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Lead records shall support custom fields configurable per institution</w:t>
            </w:r>
          </w:p>
        </w:tc>
        <w:tc>
          <w:tcPr>
            <w:tcW w:type="dxa" w:w="3214"/>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Must Have</w:t>
            </w:r>
          </w:p>
        </w:tc>
      </w:tr>
    </w:tbl>
    <w:p>
      <w:pPr>
        <w:spacing w:after="160" w:before="80"/>
      </w:pPr>
    </w:p>
    <w:p>
      <w:pPr>
        <w:spacing w:after="40" w:before="40"/>
      </w:pPr>
    </w:p>
    <w:p>
      <w:pPr>
        <w:pStyle w:val="Heading4"/>
        <w:spacing w:after="80" w:before="160"/>
      </w:pPr>
      <w:r>
        <w:rPr>
          <w:rFonts w:ascii="Arial" w:cs="Arial" w:eastAsia="Arial" w:hAnsi="Arial"/>
          <w:b/>
          <w:bCs/>
          <w:i w:val="false"/>
          <w:iCs w:val="false"/>
          <w:color w:val="1B2A4A"/>
          <w:sz w:val="22"/>
          <w:szCs w:val="22"/>
        </w:rPr>
        <w:t xml:space="preserve">8.3.2 Counsellor Assignment and Workload Management</w:t>
      </w:r>
    </w:p>
    <w:p>
      <w:pPr>
        <w:spacing w:after="40" w:before="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4"/>
      </w:tblGrid>
      <w:tr>
        <w:trPr>
          <w:tblHeader/>
        </w:trPr>
        <w:tc>
          <w:tcPr>
            <w:tcW w:type="dxa" w:w="3212"/>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top"/>
          </w:tcPr>
          <w:p>
            <w:pPr>
              <w:spacing w:after="0"/>
            </w:pPr>
            <w:r>
              <w:rPr>
                <w:rFonts w:ascii="Arial" w:cs="Arial" w:eastAsia="Arial" w:hAnsi="Arial"/>
                <w:b/>
                <w:bCs/>
                <w:i w:val="false"/>
                <w:iCs w:val="false"/>
                <w:color w:val="FFFFFF"/>
                <w:sz w:val="18"/>
                <w:szCs w:val="18"/>
              </w:rPr>
              <w:t xml:space="preserve">Req ID</w:t>
            </w:r>
          </w:p>
        </w:tc>
        <w:tc>
          <w:tcPr>
            <w:tcW w:type="dxa" w:w="3212"/>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top"/>
          </w:tcPr>
          <w:p>
            <w:pPr>
              <w:spacing w:after="0"/>
            </w:pPr>
            <w:r>
              <w:rPr>
                <w:rFonts w:ascii="Arial" w:cs="Arial" w:eastAsia="Arial" w:hAnsi="Arial"/>
                <w:b/>
                <w:bCs/>
                <w:i w:val="false"/>
                <w:iCs w:val="false"/>
                <w:color w:val="FFFFFF"/>
                <w:sz w:val="18"/>
                <w:szCs w:val="18"/>
              </w:rPr>
              <w:t xml:space="preserve">Requirement</w:t>
            </w:r>
          </w:p>
        </w:tc>
        <w:tc>
          <w:tcPr>
            <w:tcW w:type="dxa" w:w="3214"/>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top"/>
          </w:tcPr>
          <w:p>
            <w:pPr>
              <w:spacing w:after="0"/>
            </w:pPr>
            <w:r>
              <w:rPr>
                <w:rFonts w:ascii="Arial" w:cs="Arial" w:eastAsia="Arial" w:hAnsi="Arial"/>
                <w:b/>
                <w:bCs/>
                <w:i w:val="false"/>
                <w:iCs w:val="false"/>
                <w:color w:val="FFFFFF"/>
                <w:sz w:val="18"/>
                <w:szCs w:val="18"/>
              </w:rPr>
              <w:t xml:space="preserve">Priority</w:t>
            </w:r>
          </w:p>
        </w:tc>
      </w:tr>
      <w:tr>
        <w:trPr>
          <w:tblHeader w:val="false"/>
        </w:trPr>
        <w:tc>
          <w:tcPr>
            <w:tcW w:type="dxa" w:w="321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CRM-EC-006</w:t>
            </w:r>
          </w:p>
        </w:tc>
        <w:tc>
          <w:tcPr>
            <w:tcW w:type="dxa" w:w="321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Leads shall be auto-assigned to counsellors based on configurable rules: round-robin, workload balancing, geography, programme specialisation, or counsellor capacity</w:t>
            </w:r>
          </w:p>
        </w:tc>
        <w:tc>
          <w:tcPr>
            <w:tcW w:type="dxa" w:w="3214"/>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Must Have</w:t>
            </w:r>
          </w:p>
        </w:tc>
      </w:tr>
      <w:tr>
        <w:trPr>
          <w:tblHeader w:val="false"/>
        </w:trPr>
        <w:tc>
          <w:tcPr>
            <w:tcW w:type="dxa" w:w="321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CRM-EC-007</w:t>
            </w:r>
          </w:p>
        </w:tc>
        <w:tc>
          <w:tcPr>
            <w:tcW w:type="dxa" w:w="321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Admissions Manager shall be able to manually reassign leads</w:t>
            </w:r>
          </w:p>
        </w:tc>
        <w:tc>
          <w:tcPr>
            <w:tcW w:type="dxa" w:w="3214"/>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Must Have</w:t>
            </w:r>
          </w:p>
        </w:tc>
      </w:tr>
      <w:tr>
        <w:trPr>
          <w:tblHeader w:val="false"/>
        </w:trPr>
        <w:tc>
          <w:tcPr>
            <w:tcW w:type="dxa" w:w="321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CRM-EC-008</w:t>
            </w:r>
          </w:p>
        </w:tc>
        <w:tc>
          <w:tcPr>
            <w:tcW w:type="dxa" w:w="321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Counsellor workload dashboard shall display current active leads, follow-ups due, applications pending, and conversion rate</w:t>
            </w:r>
          </w:p>
        </w:tc>
        <w:tc>
          <w:tcPr>
            <w:tcW w:type="dxa" w:w="3214"/>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Must Have</w:t>
            </w:r>
          </w:p>
        </w:tc>
      </w:tr>
      <w:tr>
        <w:trPr>
          <w:tblHeader w:val="false"/>
        </w:trPr>
        <w:tc>
          <w:tcPr>
            <w:tcW w:type="dxa" w:w="321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CRM-EC-009</w:t>
            </w:r>
          </w:p>
        </w:tc>
        <w:tc>
          <w:tcPr>
            <w:tcW w:type="dxa" w:w="321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Lead escalation rules shall auto-escalate unactioned leads after a configurable time threshold</w:t>
            </w:r>
          </w:p>
        </w:tc>
        <w:tc>
          <w:tcPr>
            <w:tcW w:type="dxa" w:w="3214"/>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Must Have</w:t>
            </w:r>
          </w:p>
        </w:tc>
      </w:tr>
      <w:tr>
        <w:trPr>
          <w:tblHeader w:val="false"/>
        </w:trPr>
        <w:tc>
          <w:tcPr>
            <w:tcW w:type="dxa" w:w="321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CRM-EC-010</w:t>
            </w:r>
          </w:p>
        </w:tc>
        <w:tc>
          <w:tcPr>
            <w:tcW w:type="dxa" w:w="321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Counsellor performance scoring (leads handled, conversion rate, response time, student satisfaction) shall be tracked and gamified</w:t>
            </w:r>
          </w:p>
        </w:tc>
        <w:tc>
          <w:tcPr>
            <w:tcW w:type="dxa" w:w="3214"/>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Should Have</w:t>
            </w:r>
          </w:p>
        </w:tc>
      </w:tr>
    </w:tbl>
    <w:p>
      <w:pPr>
        <w:spacing w:after="160" w:before="80"/>
      </w:pPr>
    </w:p>
    <w:p>
      <w:pPr>
        <w:spacing w:after="40" w:before="40"/>
      </w:pPr>
    </w:p>
    <w:p>
      <w:pPr>
        <w:pStyle w:val="Heading4"/>
        <w:spacing w:after="80" w:before="160"/>
      </w:pPr>
      <w:r>
        <w:rPr>
          <w:rFonts w:ascii="Arial" w:cs="Arial" w:eastAsia="Arial" w:hAnsi="Arial"/>
          <w:b/>
          <w:bCs/>
          <w:i w:val="false"/>
          <w:iCs w:val="false"/>
          <w:color w:val="1B2A4A"/>
          <w:sz w:val="22"/>
          <w:szCs w:val="22"/>
        </w:rPr>
        <w:t xml:space="preserve">8.3.3 Enquiry Status Workflow</w:t>
      </w:r>
    </w:p>
    <w:p>
      <w:pPr>
        <w:spacing w:after="40" w:before="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4"/>
      </w:tblGrid>
      <w:tr>
        <w:trPr>
          <w:tblHeader/>
        </w:trPr>
        <w:tc>
          <w:tcPr>
            <w:tcW w:type="dxa" w:w="3212"/>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top"/>
          </w:tcPr>
          <w:p>
            <w:pPr>
              <w:spacing w:after="0"/>
            </w:pPr>
            <w:r>
              <w:rPr>
                <w:rFonts w:ascii="Arial" w:cs="Arial" w:eastAsia="Arial" w:hAnsi="Arial"/>
                <w:b/>
                <w:bCs/>
                <w:i w:val="false"/>
                <w:iCs w:val="false"/>
                <w:color w:val="FFFFFF"/>
                <w:sz w:val="18"/>
                <w:szCs w:val="18"/>
              </w:rPr>
              <w:t xml:space="preserve">Req ID</w:t>
            </w:r>
          </w:p>
        </w:tc>
        <w:tc>
          <w:tcPr>
            <w:tcW w:type="dxa" w:w="3212"/>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top"/>
          </w:tcPr>
          <w:p>
            <w:pPr>
              <w:spacing w:after="0"/>
            </w:pPr>
            <w:r>
              <w:rPr>
                <w:rFonts w:ascii="Arial" w:cs="Arial" w:eastAsia="Arial" w:hAnsi="Arial"/>
                <w:b/>
                <w:bCs/>
                <w:i w:val="false"/>
                <w:iCs w:val="false"/>
                <w:color w:val="FFFFFF"/>
                <w:sz w:val="18"/>
                <w:szCs w:val="18"/>
              </w:rPr>
              <w:t xml:space="preserve">Requirement</w:t>
            </w:r>
          </w:p>
        </w:tc>
        <w:tc>
          <w:tcPr>
            <w:tcW w:type="dxa" w:w="3214"/>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top"/>
          </w:tcPr>
          <w:p>
            <w:pPr>
              <w:spacing w:after="0"/>
            </w:pPr>
            <w:r>
              <w:rPr>
                <w:rFonts w:ascii="Arial" w:cs="Arial" w:eastAsia="Arial" w:hAnsi="Arial"/>
                <w:b/>
                <w:bCs/>
                <w:i w:val="false"/>
                <w:iCs w:val="false"/>
                <w:color w:val="FFFFFF"/>
                <w:sz w:val="18"/>
                <w:szCs w:val="18"/>
              </w:rPr>
              <w:t xml:space="preserve">Priority</w:t>
            </w:r>
          </w:p>
        </w:tc>
      </w:tr>
      <w:tr>
        <w:trPr>
          <w:tblHeader w:val="false"/>
        </w:trPr>
        <w:tc>
          <w:tcPr>
            <w:tcW w:type="dxa" w:w="321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CRM-EC-011</w:t>
            </w:r>
          </w:p>
        </w:tc>
        <w:tc>
          <w:tcPr>
            <w:tcW w:type="dxa" w:w="321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System shall support a configurable enquiry status pipeline with stages such as: New Enquiry → Contacted → Counselling Scheduled → Counselling Done → Application Started → Application Submitted → Offer Letter Issued → Fee Paid → Enrolled → Deferred → Lost</w:t>
            </w:r>
          </w:p>
        </w:tc>
        <w:tc>
          <w:tcPr>
            <w:tcW w:type="dxa" w:w="3214"/>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Must Have</w:t>
            </w:r>
          </w:p>
        </w:tc>
      </w:tr>
      <w:tr>
        <w:trPr>
          <w:tblHeader w:val="false"/>
        </w:trPr>
        <w:tc>
          <w:tcPr>
            <w:tcW w:type="dxa" w:w="321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CRM-EC-012</w:t>
            </w:r>
          </w:p>
        </w:tc>
        <w:tc>
          <w:tcPr>
            <w:tcW w:type="dxa" w:w="321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Status transitions shall trigger configured automation actions (notifications, tasks, communications)</w:t>
            </w:r>
          </w:p>
        </w:tc>
        <w:tc>
          <w:tcPr>
            <w:tcW w:type="dxa" w:w="3214"/>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Must Have</w:t>
            </w:r>
          </w:p>
        </w:tc>
      </w:tr>
      <w:tr>
        <w:trPr>
          <w:tblHeader w:val="false"/>
        </w:trPr>
        <w:tc>
          <w:tcPr>
            <w:tcW w:type="dxa" w:w="321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CRM-EC-013</w:t>
            </w:r>
          </w:p>
        </w:tc>
        <w:tc>
          <w:tcPr>
            <w:tcW w:type="dxa" w:w="321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Reasons for loss/dropout shall be captured on status change to "Lost" (mandatory dropdown)</w:t>
            </w:r>
          </w:p>
        </w:tc>
        <w:tc>
          <w:tcPr>
            <w:tcW w:type="dxa" w:w="3214"/>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Must Have</w:t>
            </w:r>
          </w:p>
        </w:tc>
      </w:tr>
      <w:tr>
        <w:trPr>
          <w:tblHeader w:val="false"/>
        </w:trPr>
        <w:tc>
          <w:tcPr>
            <w:tcW w:type="dxa" w:w="321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CRM-EC-014</w:t>
            </w:r>
          </w:p>
        </w:tc>
        <w:tc>
          <w:tcPr>
            <w:tcW w:type="dxa" w:w="321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Historical status journey shall be preserved and reportable for each lead</w:t>
            </w:r>
          </w:p>
        </w:tc>
        <w:tc>
          <w:tcPr>
            <w:tcW w:type="dxa" w:w="3214"/>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Must Have</w:t>
            </w:r>
          </w:p>
        </w:tc>
      </w:tr>
    </w:tbl>
    <w:p>
      <w:pPr>
        <w:spacing w:after="160" w:before="80"/>
      </w:pPr>
    </w:p>
    <w:p>
      <w:pPr>
        <w:spacing w:after="40" w:before="40"/>
      </w:pPr>
    </w:p>
    <w:p>
      <w:pPr>
        <w:pStyle w:val="Heading4"/>
        <w:spacing w:after="80" w:before="160"/>
      </w:pPr>
      <w:r>
        <w:rPr>
          <w:rFonts w:ascii="Arial" w:cs="Arial" w:eastAsia="Arial" w:hAnsi="Arial"/>
          <w:b/>
          <w:bCs/>
          <w:i w:val="false"/>
          <w:iCs w:val="false"/>
          <w:color w:val="1B2A4A"/>
          <w:sz w:val="22"/>
          <w:szCs w:val="22"/>
        </w:rPr>
        <w:t xml:space="preserve">8.3.4 Appointment and Slot Booking</w:t>
      </w:r>
    </w:p>
    <w:p>
      <w:pPr>
        <w:spacing w:after="40" w:before="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4"/>
      </w:tblGrid>
      <w:tr>
        <w:trPr>
          <w:tblHeader/>
        </w:trPr>
        <w:tc>
          <w:tcPr>
            <w:tcW w:type="dxa" w:w="3212"/>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top"/>
          </w:tcPr>
          <w:p>
            <w:pPr>
              <w:spacing w:after="0"/>
            </w:pPr>
            <w:r>
              <w:rPr>
                <w:rFonts w:ascii="Arial" w:cs="Arial" w:eastAsia="Arial" w:hAnsi="Arial"/>
                <w:b/>
                <w:bCs/>
                <w:i w:val="false"/>
                <w:iCs w:val="false"/>
                <w:color w:val="FFFFFF"/>
                <w:sz w:val="18"/>
                <w:szCs w:val="18"/>
              </w:rPr>
              <w:t xml:space="preserve">Req ID</w:t>
            </w:r>
          </w:p>
        </w:tc>
        <w:tc>
          <w:tcPr>
            <w:tcW w:type="dxa" w:w="3212"/>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top"/>
          </w:tcPr>
          <w:p>
            <w:pPr>
              <w:spacing w:after="0"/>
            </w:pPr>
            <w:r>
              <w:rPr>
                <w:rFonts w:ascii="Arial" w:cs="Arial" w:eastAsia="Arial" w:hAnsi="Arial"/>
                <w:b/>
                <w:bCs/>
                <w:i w:val="false"/>
                <w:iCs w:val="false"/>
                <w:color w:val="FFFFFF"/>
                <w:sz w:val="18"/>
                <w:szCs w:val="18"/>
              </w:rPr>
              <w:t xml:space="preserve">Requirement</w:t>
            </w:r>
          </w:p>
        </w:tc>
        <w:tc>
          <w:tcPr>
            <w:tcW w:type="dxa" w:w="3214"/>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top"/>
          </w:tcPr>
          <w:p>
            <w:pPr>
              <w:spacing w:after="0"/>
            </w:pPr>
            <w:r>
              <w:rPr>
                <w:rFonts w:ascii="Arial" w:cs="Arial" w:eastAsia="Arial" w:hAnsi="Arial"/>
                <w:b/>
                <w:bCs/>
                <w:i w:val="false"/>
                <w:iCs w:val="false"/>
                <w:color w:val="FFFFFF"/>
                <w:sz w:val="18"/>
                <w:szCs w:val="18"/>
              </w:rPr>
              <w:t xml:space="preserve">Priority</w:t>
            </w:r>
          </w:p>
        </w:tc>
      </w:tr>
      <w:tr>
        <w:trPr>
          <w:tblHeader w:val="false"/>
        </w:trPr>
        <w:tc>
          <w:tcPr>
            <w:tcW w:type="dxa" w:w="321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CRM-EC-015</w:t>
            </w:r>
          </w:p>
        </w:tc>
        <w:tc>
          <w:tcPr>
            <w:tcW w:type="dxa" w:w="321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Counsellors shall have calendar availability management with time-slot blocking</w:t>
            </w:r>
          </w:p>
        </w:tc>
        <w:tc>
          <w:tcPr>
            <w:tcW w:type="dxa" w:w="3214"/>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Must Have</w:t>
            </w:r>
          </w:p>
        </w:tc>
      </w:tr>
      <w:tr>
        <w:trPr>
          <w:tblHeader w:val="false"/>
        </w:trPr>
        <w:tc>
          <w:tcPr>
            <w:tcW w:type="dxa" w:w="321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CRM-EC-016</w:t>
            </w:r>
          </w:p>
        </w:tc>
        <w:tc>
          <w:tcPr>
            <w:tcW w:type="dxa" w:w="321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Prospective students shall be able to book a counselling appointment online via the student portal or a shared booking link</w:t>
            </w:r>
          </w:p>
        </w:tc>
        <w:tc>
          <w:tcPr>
            <w:tcW w:type="dxa" w:w="3214"/>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Must Have</w:t>
            </w:r>
          </w:p>
        </w:tc>
      </w:tr>
      <w:tr>
        <w:trPr>
          <w:tblHeader w:val="false"/>
        </w:trPr>
        <w:tc>
          <w:tcPr>
            <w:tcW w:type="dxa" w:w="321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CRM-EC-017</w:t>
            </w:r>
          </w:p>
        </w:tc>
        <w:tc>
          <w:tcPr>
            <w:tcW w:type="dxa" w:w="321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System shall send automated appointment reminders (email, SMS, WhatsApp) to both student and counsellor</w:t>
            </w:r>
          </w:p>
        </w:tc>
        <w:tc>
          <w:tcPr>
            <w:tcW w:type="dxa" w:w="3214"/>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Must Have</w:t>
            </w:r>
          </w:p>
        </w:tc>
      </w:tr>
      <w:tr>
        <w:trPr>
          <w:tblHeader w:val="false"/>
        </w:trPr>
        <w:tc>
          <w:tcPr>
            <w:tcW w:type="dxa" w:w="321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CRM-EC-018</w:t>
            </w:r>
          </w:p>
        </w:tc>
        <w:tc>
          <w:tcPr>
            <w:tcW w:type="dxa" w:w="321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Video counselling shall be supported via embedded integration (Zoom, Google Meet, or native WebRTC)</w:t>
            </w:r>
          </w:p>
        </w:tc>
        <w:tc>
          <w:tcPr>
            <w:tcW w:type="dxa" w:w="3214"/>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Should Have</w:t>
            </w:r>
          </w:p>
        </w:tc>
      </w:tr>
      <w:tr>
        <w:trPr>
          <w:tblHeader w:val="false"/>
        </w:trPr>
        <w:tc>
          <w:tcPr>
            <w:tcW w:type="dxa" w:w="321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CRM-EC-019</w:t>
            </w:r>
          </w:p>
        </w:tc>
        <w:tc>
          <w:tcPr>
            <w:tcW w:type="dxa" w:w="321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Walk-in queue management shall support token-based system for in-person counselling centres</w:t>
            </w:r>
          </w:p>
        </w:tc>
        <w:tc>
          <w:tcPr>
            <w:tcW w:type="dxa" w:w="3214"/>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Should Have</w:t>
            </w:r>
          </w:p>
        </w:tc>
      </w:tr>
    </w:tbl>
    <w:p>
      <w:pPr>
        <w:spacing w:after="160" w:before="80"/>
      </w:pPr>
    </w:p>
    <w:p>
      <w:pPr>
        <w:spacing w:after="40" w:before="40"/>
      </w:pPr>
    </w:p>
    <w:p>
      <w:pPr>
        <w:pBdr>
          <w:bottom w:val="single" w:color="D1D5DB" w:sz="3" w:space="1"/>
        </w:pBdr>
        <w:spacing w:after="80" w:before="80"/>
      </w:pPr>
    </w:p>
    <w:p>
      <w:pPr>
        <w:spacing w:after="40" w:before="40"/>
      </w:pPr>
    </w:p>
    <w:p>
      <w:pPr>
        <w:pStyle w:val="Heading3"/>
        <w:spacing w:after="100" w:before="200"/>
      </w:pPr>
      <w:r>
        <w:rPr>
          <w:rFonts w:ascii="Arial" w:cs="Arial" w:eastAsia="Arial" w:hAnsi="Arial"/>
          <w:b/>
          <w:bCs/>
          <w:i w:val="false"/>
          <w:iCs w:val="false"/>
          <w:color w:val="2563EB"/>
          <w:sz w:val="24"/>
          <w:szCs w:val="24"/>
        </w:rPr>
        <w:t xml:space="preserve">8.4 Application and Admission Pipeline Management</w:t>
      </w:r>
    </w:p>
    <w:p>
      <w:pPr>
        <w:spacing w:after="40" w:before="40"/>
      </w:pPr>
    </w:p>
    <w:p>
      <w:pPr>
        <w:spacing w:after="60" w:before="60"/>
        <w:jc w:val="both"/>
      </w:pPr>
      <w:r>
        <w:rPr>
          <w:rFonts w:ascii="Arial" w:cs="Arial" w:eastAsia="Arial" w:hAnsi="Arial"/>
          <w:b/>
          <w:bCs/>
          <w:i w:val="false"/>
          <w:iCs w:val="false"/>
          <w:color w:val="111827"/>
          <w:sz w:val="20"/>
          <w:szCs w:val="20"/>
        </w:rPr>
        <w:t xml:space="preserve">Purpose:</w:t>
      </w:r>
      <w:r>
        <w:rPr>
          <w:rFonts w:ascii="Arial" w:cs="Arial" w:eastAsia="Arial" w:hAnsi="Arial"/>
          <w:b w:val="false"/>
          <w:bCs w:val="false"/>
          <w:i w:val="false"/>
          <w:iCs w:val="false"/>
          <w:color w:val="111827"/>
          <w:sz w:val="20"/>
          <w:szCs w:val="20"/>
        </w:rPr>
        <w:t xml:space="preserve"> Manage the formal application process, document collection, merit evaluation, offer issuance, and fee confirmation, with direct handoff to the A2A ERP student record.</w:t>
      </w:r>
    </w:p>
    <w:p>
      <w:pPr>
        <w:spacing w:after="40" w:before="40"/>
      </w:pPr>
    </w:p>
    <w:p>
      <w:pPr>
        <w:pStyle w:val="Heading4"/>
        <w:spacing w:after="80" w:before="160"/>
      </w:pPr>
      <w:r>
        <w:rPr>
          <w:rFonts w:ascii="Arial" w:cs="Arial" w:eastAsia="Arial" w:hAnsi="Arial"/>
          <w:b/>
          <w:bCs/>
          <w:i w:val="false"/>
          <w:iCs w:val="false"/>
          <w:color w:val="1B2A4A"/>
          <w:sz w:val="22"/>
          <w:szCs w:val="22"/>
        </w:rPr>
        <w:t xml:space="preserve">8.4.1 Online Application Form</w:t>
      </w:r>
    </w:p>
    <w:p>
      <w:pPr>
        <w:spacing w:after="40" w:before="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4"/>
      </w:tblGrid>
      <w:tr>
        <w:trPr>
          <w:tblHeader/>
        </w:trPr>
        <w:tc>
          <w:tcPr>
            <w:tcW w:type="dxa" w:w="3212"/>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top"/>
          </w:tcPr>
          <w:p>
            <w:pPr>
              <w:spacing w:after="0"/>
            </w:pPr>
            <w:r>
              <w:rPr>
                <w:rFonts w:ascii="Arial" w:cs="Arial" w:eastAsia="Arial" w:hAnsi="Arial"/>
                <w:b/>
                <w:bCs/>
                <w:i w:val="false"/>
                <w:iCs w:val="false"/>
                <w:color w:val="FFFFFF"/>
                <w:sz w:val="18"/>
                <w:szCs w:val="18"/>
              </w:rPr>
              <w:t xml:space="preserve">Req ID</w:t>
            </w:r>
          </w:p>
        </w:tc>
        <w:tc>
          <w:tcPr>
            <w:tcW w:type="dxa" w:w="3212"/>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top"/>
          </w:tcPr>
          <w:p>
            <w:pPr>
              <w:spacing w:after="0"/>
            </w:pPr>
            <w:r>
              <w:rPr>
                <w:rFonts w:ascii="Arial" w:cs="Arial" w:eastAsia="Arial" w:hAnsi="Arial"/>
                <w:b/>
                <w:bCs/>
                <w:i w:val="false"/>
                <w:iCs w:val="false"/>
                <w:color w:val="FFFFFF"/>
                <w:sz w:val="18"/>
                <w:szCs w:val="18"/>
              </w:rPr>
              <w:t xml:space="preserve">Requirement</w:t>
            </w:r>
          </w:p>
        </w:tc>
        <w:tc>
          <w:tcPr>
            <w:tcW w:type="dxa" w:w="3214"/>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top"/>
          </w:tcPr>
          <w:p>
            <w:pPr>
              <w:spacing w:after="0"/>
            </w:pPr>
            <w:r>
              <w:rPr>
                <w:rFonts w:ascii="Arial" w:cs="Arial" w:eastAsia="Arial" w:hAnsi="Arial"/>
                <w:b/>
                <w:bCs/>
                <w:i w:val="false"/>
                <w:iCs w:val="false"/>
                <w:color w:val="FFFFFF"/>
                <w:sz w:val="18"/>
                <w:szCs w:val="18"/>
              </w:rPr>
              <w:t xml:space="preserve">Priority</w:t>
            </w:r>
          </w:p>
        </w:tc>
      </w:tr>
      <w:tr>
        <w:trPr>
          <w:tblHeader w:val="false"/>
        </w:trPr>
        <w:tc>
          <w:tcPr>
            <w:tcW w:type="dxa" w:w="321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CRM-AP-001</w:t>
            </w:r>
          </w:p>
        </w:tc>
        <w:tc>
          <w:tcPr>
            <w:tcW w:type="dxa" w:w="321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System shall provide a configurable, multi-step online application form builder with section, field and logic configuration</w:t>
            </w:r>
          </w:p>
        </w:tc>
        <w:tc>
          <w:tcPr>
            <w:tcW w:type="dxa" w:w="3214"/>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Must Have</w:t>
            </w:r>
          </w:p>
        </w:tc>
      </w:tr>
      <w:tr>
        <w:trPr>
          <w:tblHeader w:val="false"/>
        </w:trPr>
        <w:tc>
          <w:tcPr>
            <w:tcW w:type="dxa" w:w="321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CRM-AP-002</w:t>
            </w:r>
          </w:p>
        </w:tc>
        <w:tc>
          <w:tcPr>
            <w:tcW w:type="dxa" w:w="321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Application forms shall support: personal details, academic history, entrance exam scores, co-curricular activities, declarations, and digital signature</w:t>
            </w:r>
          </w:p>
        </w:tc>
        <w:tc>
          <w:tcPr>
            <w:tcW w:type="dxa" w:w="3214"/>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Must Have</w:t>
            </w:r>
          </w:p>
        </w:tc>
      </w:tr>
      <w:tr>
        <w:trPr>
          <w:tblHeader w:val="false"/>
        </w:trPr>
        <w:tc>
          <w:tcPr>
            <w:tcW w:type="dxa" w:w="321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CRM-AP-003</w:t>
            </w:r>
          </w:p>
        </w:tc>
        <w:tc>
          <w:tcPr>
            <w:tcW w:type="dxa" w:w="321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Application form shall support save-and-resume functionality</w:t>
            </w:r>
          </w:p>
        </w:tc>
        <w:tc>
          <w:tcPr>
            <w:tcW w:type="dxa" w:w="3214"/>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Must Have</w:t>
            </w:r>
          </w:p>
        </w:tc>
      </w:tr>
      <w:tr>
        <w:trPr>
          <w:tblHeader w:val="false"/>
        </w:trPr>
        <w:tc>
          <w:tcPr>
            <w:tcW w:type="dxa" w:w="321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CRM-AP-004</w:t>
            </w:r>
          </w:p>
        </w:tc>
        <w:tc>
          <w:tcPr>
            <w:tcW w:type="dxa" w:w="321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Applicants shall be able to pay a configurable application fee online at the time of submission</w:t>
            </w:r>
          </w:p>
        </w:tc>
        <w:tc>
          <w:tcPr>
            <w:tcW w:type="dxa" w:w="3214"/>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Must Have</w:t>
            </w:r>
          </w:p>
        </w:tc>
      </w:tr>
      <w:tr>
        <w:trPr>
          <w:tblHeader w:val="false"/>
        </w:trPr>
        <w:tc>
          <w:tcPr>
            <w:tcW w:type="dxa" w:w="321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CRM-AP-005</w:t>
            </w:r>
          </w:p>
        </w:tc>
        <w:tc>
          <w:tcPr>
            <w:tcW w:type="dxa" w:w="321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System shall support simultaneous applications to multiple programmes within the same institution</w:t>
            </w:r>
          </w:p>
        </w:tc>
        <w:tc>
          <w:tcPr>
            <w:tcW w:type="dxa" w:w="3214"/>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Must Have</w:t>
            </w:r>
          </w:p>
        </w:tc>
      </w:tr>
      <w:tr>
        <w:trPr>
          <w:tblHeader w:val="false"/>
        </w:trPr>
        <w:tc>
          <w:tcPr>
            <w:tcW w:type="dxa" w:w="321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CRM-AP-006</w:t>
            </w:r>
          </w:p>
        </w:tc>
        <w:tc>
          <w:tcPr>
            <w:tcW w:type="dxa" w:w="321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Application form shall be fully responsive and mobile-optimised</w:t>
            </w:r>
          </w:p>
        </w:tc>
        <w:tc>
          <w:tcPr>
            <w:tcW w:type="dxa" w:w="3214"/>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Must Have</w:t>
            </w:r>
          </w:p>
        </w:tc>
      </w:tr>
      <w:tr>
        <w:trPr>
          <w:tblHeader w:val="false"/>
        </w:trPr>
        <w:tc>
          <w:tcPr>
            <w:tcW w:type="dxa" w:w="321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CRM-AP-007</w:t>
            </w:r>
          </w:p>
        </w:tc>
        <w:tc>
          <w:tcPr>
            <w:tcW w:type="dxa" w:w="321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Institution shall be able to define mandatory vs. optional fields and minimum completeness thresholds</w:t>
            </w:r>
          </w:p>
        </w:tc>
        <w:tc>
          <w:tcPr>
            <w:tcW w:type="dxa" w:w="3214"/>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Must Have</w:t>
            </w:r>
          </w:p>
        </w:tc>
      </w:tr>
    </w:tbl>
    <w:p>
      <w:pPr>
        <w:spacing w:after="160" w:before="80"/>
      </w:pPr>
    </w:p>
    <w:p>
      <w:pPr>
        <w:spacing w:after="40" w:before="40"/>
      </w:pPr>
    </w:p>
    <w:p>
      <w:pPr>
        <w:pStyle w:val="Heading4"/>
        <w:spacing w:after="80" w:before="160"/>
      </w:pPr>
      <w:r>
        <w:rPr>
          <w:rFonts w:ascii="Arial" w:cs="Arial" w:eastAsia="Arial" w:hAnsi="Arial"/>
          <w:b/>
          <w:bCs/>
          <w:i w:val="false"/>
          <w:iCs w:val="false"/>
          <w:color w:val="1B2A4A"/>
          <w:sz w:val="22"/>
          <w:szCs w:val="22"/>
        </w:rPr>
        <w:t xml:space="preserve">8.4.2 Admission Pipeline (Kanban and List Views)</w:t>
      </w:r>
    </w:p>
    <w:p>
      <w:pPr>
        <w:spacing w:after="40" w:before="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4"/>
      </w:tblGrid>
      <w:tr>
        <w:trPr>
          <w:tblHeader/>
        </w:trPr>
        <w:tc>
          <w:tcPr>
            <w:tcW w:type="dxa" w:w="3212"/>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top"/>
          </w:tcPr>
          <w:p>
            <w:pPr>
              <w:spacing w:after="0"/>
            </w:pPr>
            <w:r>
              <w:rPr>
                <w:rFonts w:ascii="Arial" w:cs="Arial" w:eastAsia="Arial" w:hAnsi="Arial"/>
                <w:b/>
                <w:bCs/>
                <w:i w:val="false"/>
                <w:iCs w:val="false"/>
                <w:color w:val="FFFFFF"/>
                <w:sz w:val="18"/>
                <w:szCs w:val="18"/>
              </w:rPr>
              <w:t xml:space="preserve">Req ID</w:t>
            </w:r>
          </w:p>
        </w:tc>
        <w:tc>
          <w:tcPr>
            <w:tcW w:type="dxa" w:w="3212"/>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top"/>
          </w:tcPr>
          <w:p>
            <w:pPr>
              <w:spacing w:after="0"/>
            </w:pPr>
            <w:r>
              <w:rPr>
                <w:rFonts w:ascii="Arial" w:cs="Arial" w:eastAsia="Arial" w:hAnsi="Arial"/>
                <w:b/>
                <w:bCs/>
                <w:i w:val="false"/>
                <w:iCs w:val="false"/>
                <w:color w:val="FFFFFF"/>
                <w:sz w:val="18"/>
                <w:szCs w:val="18"/>
              </w:rPr>
              <w:t xml:space="preserve">Requirement</w:t>
            </w:r>
          </w:p>
        </w:tc>
        <w:tc>
          <w:tcPr>
            <w:tcW w:type="dxa" w:w="3214"/>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top"/>
          </w:tcPr>
          <w:p>
            <w:pPr>
              <w:spacing w:after="0"/>
            </w:pPr>
            <w:r>
              <w:rPr>
                <w:rFonts w:ascii="Arial" w:cs="Arial" w:eastAsia="Arial" w:hAnsi="Arial"/>
                <w:b/>
                <w:bCs/>
                <w:i w:val="false"/>
                <w:iCs w:val="false"/>
                <w:color w:val="FFFFFF"/>
                <w:sz w:val="18"/>
                <w:szCs w:val="18"/>
              </w:rPr>
              <w:t xml:space="preserve">Priority</w:t>
            </w:r>
          </w:p>
        </w:tc>
      </w:tr>
      <w:tr>
        <w:trPr>
          <w:tblHeader w:val="false"/>
        </w:trPr>
        <w:tc>
          <w:tcPr>
            <w:tcW w:type="dxa" w:w="321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CRM-AP-008</w:t>
            </w:r>
          </w:p>
        </w:tc>
        <w:tc>
          <w:tcPr>
            <w:tcW w:type="dxa" w:w="321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A visual Kanban pipeline board shall display applications across configurable stages</w:t>
            </w:r>
          </w:p>
        </w:tc>
        <w:tc>
          <w:tcPr>
            <w:tcW w:type="dxa" w:w="3214"/>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Must Have</w:t>
            </w:r>
          </w:p>
        </w:tc>
      </w:tr>
      <w:tr>
        <w:trPr>
          <w:tblHeader w:val="false"/>
        </w:trPr>
        <w:tc>
          <w:tcPr>
            <w:tcW w:type="dxa" w:w="321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CRM-AP-009</w:t>
            </w:r>
          </w:p>
        </w:tc>
        <w:tc>
          <w:tcPr>
            <w:tcW w:type="dxa" w:w="321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Applications shall be filterable by programme, batch, counsellor, source, status, date range and score</w:t>
            </w:r>
          </w:p>
        </w:tc>
        <w:tc>
          <w:tcPr>
            <w:tcW w:type="dxa" w:w="3214"/>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Must Have</w:t>
            </w:r>
          </w:p>
        </w:tc>
      </w:tr>
      <w:tr>
        <w:trPr>
          <w:tblHeader w:val="false"/>
        </w:trPr>
        <w:tc>
          <w:tcPr>
            <w:tcW w:type="dxa" w:w="321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CRM-AP-010</w:t>
            </w:r>
          </w:p>
        </w:tc>
        <w:tc>
          <w:tcPr>
            <w:tcW w:type="dxa" w:w="321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Bulk actions shall be available: send communication, update status, assign counsellor, export</w:t>
            </w:r>
          </w:p>
        </w:tc>
        <w:tc>
          <w:tcPr>
            <w:tcW w:type="dxa" w:w="3214"/>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Must Have</w:t>
            </w:r>
          </w:p>
        </w:tc>
      </w:tr>
      <w:tr>
        <w:trPr>
          <w:tblHeader w:val="false"/>
        </w:trPr>
        <w:tc>
          <w:tcPr>
            <w:tcW w:type="dxa" w:w="321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CRM-AP-011</w:t>
            </w:r>
          </w:p>
        </w:tc>
        <w:tc>
          <w:tcPr>
            <w:tcW w:type="dxa" w:w="321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Programme-wise seat availability vs. application count shall be displayed in real time</w:t>
            </w:r>
          </w:p>
        </w:tc>
        <w:tc>
          <w:tcPr>
            <w:tcW w:type="dxa" w:w="3214"/>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Must Have</w:t>
            </w:r>
          </w:p>
        </w:tc>
      </w:tr>
    </w:tbl>
    <w:p>
      <w:pPr>
        <w:spacing w:after="160" w:before="80"/>
      </w:pPr>
    </w:p>
    <w:p>
      <w:pPr>
        <w:spacing w:after="40" w:before="40"/>
      </w:pPr>
    </w:p>
    <w:p>
      <w:pPr>
        <w:pStyle w:val="Heading4"/>
        <w:spacing w:after="80" w:before="160"/>
      </w:pPr>
      <w:r>
        <w:rPr>
          <w:rFonts w:ascii="Arial" w:cs="Arial" w:eastAsia="Arial" w:hAnsi="Arial"/>
          <w:b/>
          <w:bCs/>
          <w:i w:val="false"/>
          <w:iCs w:val="false"/>
          <w:color w:val="1B2A4A"/>
          <w:sz w:val="22"/>
          <w:szCs w:val="22"/>
        </w:rPr>
        <w:t xml:space="preserve">8.4.3 Offer Letter and Admission Confirmation</w:t>
      </w:r>
    </w:p>
    <w:p>
      <w:pPr>
        <w:spacing w:after="40" w:before="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4"/>
      </w:tblGrid>
      <w:tr>
        <w:trPr>
          <w:tblHeader/>
        </w:trPr>
        <w:tc>
          <w:tcPr>
            <w:tcW w:type="dxa" w:w="3212"/>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top"/>
          </w:tcPr>
          <w:p>
            <w:pPr>
              <w:spacing w:after="0"/>
            </w:pPr>
            <w:r>
              <w:rPr>
                <w:rFonts w:ascii="Arial" w:cs="Arial" w:eastAsia="Arial" w:hAnsi="Arial"/>
                <w:b/>
                <w:bCs/>
                <w:i w:val="false"/>
                <w:iCs w:val="false"/>
                <w:color w:val="FFFFFF"/>
                <w:sz w:val="18"/>
                <w:szCs w:val="18"/>
              </w:rPr>
              <w:t xml:space="preserve">Req ID</w:t>
            </w:r>
          </w:p>
        </w:tc>
        <w:tc>
          <w:tcPr>
            <w:tcW w:type="dxa" w:w="3212"/>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top"/>
          </w:tcPr>
          <w:p>
            <w:pPr>
              <w:spacing w:after="0"/>
            </w:pPr>
            <w:r>
              <w:rPr>
                <w:rFonts w:ascii="Arial" w:cs="Arial" w:eastAsia="Arial" w:hAnsi="Arial"/>
                <w:b/>
                <w:bCs/>
                <w:i w:val="false"/>
                <w:iCs w:val="false"/>
                <w:color w:val="FFFFFF"/>
                <w:sz w:val="18"/>
                <w:szCs w:val="18"/>
              </w:rPr>
              <w:t xml:space="preserve">Requirement</w:t>
            </w:r>
          </w:p>
        </w:tc>
        <w:tc>
          <w:tcPr>
            <w:tcW w:type="dxa" w:w="3214"/>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top"/>
          </w:tcPr>
          <w:p>
            <w:pPr>
              <w:spacing w:after="0"/>
            </w:pPr>
            <w:r>
              <w:rPr>
                <w:rFonts w:ascii="Arial" w:cs="Arial" w:eastAsia="Arial" w:hAnsi="Arial"/>
                <w:b/>
                <w:bCs/>
                <w:i w:val="false"/>
                <w:iCs w:val="false"/>
                <w:color w:val="FFFFFF"/>
                <w:sz w:val="18"/>
                <w:szCs w:val="18"/>
              </w:rPr>
              <w:t xml:space="preserve">Priority</w:t>
            </w:r>
          </w:p>
        </w:tc>
      </w:tr>
      <w:tr>
        <w:trPr>
          <w:tblHeader w:val="false"/>
        </w:trPr>
        <w:tc>
          <w:tcPr>
            <w:tcW w:type="dxa" w:w="321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CRM-AP-012</w:t>
            </w:r>
          </w:p>
        </w:tc>
        <w:tc>
          <w:tcPr>
            <w:tcW w:type="dxa" w:w="321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System shall generate customisable, digitally signed offer letters and admission confirmation letters as PDF</w:t>
            </w:r>
          </w:p>
        </w:tc>
        <w:tc>
          <w:tcPr>
            <w:tcW w:type="dxa" w:w="3214"/>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Must Have</w:t>
            </w:r>
          </w:p>
        </w:tc>
      </w:tr>
      <w:tr>
        <w:trPr>
          <w:tblHeader w:val="false"/>
        </w:trPr>
        <w:tc>
          <w:tcPr>
            <w:tcW w:type="dxa" w:w="321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CRM-AP-013</w:t>
            </w:r>
          </w:p>
        </w:tc>
        <w:tc>
          <w:tcPr>
            <w:tcW w:type="dxa" w:w="321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Offer letter delivery shall be via email, WhatsApp and downloadable from student portal</w:t>
            </w:r>
          </w:p>
        </w:tc>
        <w:tc>
          <w:tcPr>
            <w:tcW w:type="dxa" w:w="3214"/>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Must Have</w:t>
            </w:r>
          </w:p>
        </w:tc>
      </w:tr>
      <w:tr>
        <w:trPr>
          <w:tblHeader w:val="false"/>
        </w:trPr>
        <w:tc>
          <w:tcPr>
            <w:tcW w:type="dxa" w:w="321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CRM-AP-014</w:t>
            </w:r>
          </w:p>
        </w:tc>
        <w:tc>
          <w:tcPr>
            <w:tcW w:type="dxa" w:w="321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Conditional offer management (pending document submission or qualifying exam result) shall be supported</w:t>
            </w:r>
          </w:p>
        </w:tc>
        <w:tc>
          <w:tcPr>
            <w:tcW w:type="dxa" w:w="3214"/>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Should Have</w:t>
            </w:r>
          </w:p>
        </w:tc>
      </w:tr>
      <w:tr>
        <w:trPr>
          <w:tblHeader w:val="false"/>
        </w:trPr>
        <w:tc>
          <w:tcPr>
            <w:tcW w:type="dxa" w:w="321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CRM-AP-015</w:t>
            </w:r>
          </w:p>
        </w:tc>
        <w:tc>
          <w:tcPr>
            <w:tcW w:type="dxa" w:w="321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Offer acceptance tracking and digital confirmation by applicant shall be captured</w:t>
            </w:r>
          </w:p>
        </w:tc>
        <w:tc>
          <w:tcPr>
            <w:tcW w:type="dxa" w:w="3214"/>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Must Have</w:t>
            </w:r>
          </w:p>
        </w:tc>
      </w:tr>
    </w:tbl>
    <w:p>
      <w:pPr>
        <w:spacing w:after="160" w:before="80"/>
      </w:pPr>
    </w:p>
    <w:p>
      <w:pPr>
        <w:spacing w:after="40" w:before="40"/>
      </w:pPr>
    </w:p>
    <w:p>
      <w:pPr>
        <w:pStyle w:val="Heading4"/>
        <w:spacing w:after="80" w:before="160"/>
      </w:pPr>
      <w:r>
        <w:rPr>
          <w:rFonts w:ascii="Arial" w:cs="Arial" w:eastAsia="Arial" w:hAnsi="Arial"/>
          <w:b/>
          <w:bCs/>
          <w:i w:val="false"/>
          <w:iCs w:val="false"/>
          <w:color w:val="1B2A4A"/>
          <w:sz w:val="22"/>
          <w:szCs w:val="22"/>
        </w:rPr>
        <w:t xml:space="preserve">8.4.4 ERP Handoff — Lead to Student Conversion</w:t>
      </w:r>
    </w:p>
    <w:p>
      <w:pPr>
        <w:spacing w:after="40" w:before="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4"/>
      </w:tblGrid>
      <w:tr>
        <w:trPr>
          <w:tblHeader/>
        </w:trPr>
        <w:tc>
          <w:tcPr>
            <w:tcW w:type="dxa" w:w="3212"/>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top"/>
          </w:tcPr>
          <w:p>
            <w:pPr>
              <w:spacing w:after="0"/>
            </w:pPr>
            <w:r>
              <w:rPr>
                <w:rFonts w:ascii="Arial" w:cs="Arial" w:eastAsia="Arial" w:hAnsi="Arial"/>
                <w:b/>
                <w:bCs/>
                <w:i w:val="false"/>
                <w:iCs w:val="false"/>
                <w:color w:val="FFFFFF"/>
                <w:sz w:val="18"/>
                <w:szCs w:val="18"/>
              </w:rPr>
              <w:t xml:space="preserve">Req ID</w:t>
            </w:r>
          </w:p>
        </w:tc>
        <w:tc>
          <w:tcPr>
            <w:tcW w:type="dxa" w:w="3212"/>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top"/>
          </w:tcPr>
          <w:p>
            <w:pPr>
              <w:spacing w:after="0"/>
            </w:pPr>
            <w:r>
              <w:rPr>
                <w:rFonts w:ascii="Arial" w:cs="Arial" w:eastAsia="Arial" w:hAnsi="Arial"/>
                <w:b/>
                <w:bCs/>
                <w:i w:val="false"/>
                <w:iCs w:val="false"/>
                <w:color w:val="FFFFFF"/>
                <w:sz w:val="18"/>
                <w:szCs w:val="18"/>
              </w:rPr>
              <w:t xml:space="preserve">Requirement</w:t>
            </w:r>
          </w:p>
        </w:tc>
        <w:tc>
          <w:tcPr>
            <w:tcW w:type="dxa" w:w="3214"/>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top"/>
          </w:tcPr>
          <w:p>
            <w:pPr>
              <w:spacing w:after="0"/>
            </w:pPr>
            <w:r>
              <w:rPr>
                <w:rFonts w:ascii="Arial" w:cs="Arial" w:eastAsia="Arial" w:hAnsi="Arial"/>
                <w:b/>
                <w:bCs/>
                <w:i w:val="false"/>
                <w:iCs w:val="false"/>
                <w:color w:val="FFFFFF"/>
                <w:sz w:val="18"/>
                <w:szCs w:val="18"/>
              </w:rPr>
              <w:t xml:space="preserve">Priority</w:t>
            </w:r>
          </w:p>
        </w:tc>
      </w:tr>
      <w:tr>
        <w:trPr>
          <w:tblHeader w:val="false"/>
        </w:trPr>
        <w:tc>
          <w:tcPr>
            <w:tcW w:type="dxa" w:w="321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CRM-AP-016</w:t>
            </w:r>
          </w:p>
        </w:tc>
        <w:tc>
          <w:tcPr>
            <w:tcW w:type="dxa" w:w="321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Upon fee confirmation and enrolment completion, a single-click conversion of the CRM lead/applicant record into an A2A ERP Student Master record shall be available</w:t>
            </w:r>
          </w:p>
        </w:tc>
        <w:tc>
          <w:tcPr>
            <w:tcW w:type="dxa" w:w="3214"/>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Must Have</w:t>
            </w:r>
          </w:p>
        </w:tc>
      </w:tr>
      <w:tr>
        <w:trPr>
          <w:tblHeader w:val="false"/>
        </w:trPr>
        <w:tc>
          <w:tcPr>
            <w:tcW w:type="dxa" w:w="321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CRM-AP-017</w:t>
            </w:r>
          </w:p>
        </w:tc>
        <w:tc>
          <w:tcPr>
            <w:tcW w:type="dxa" w:w="321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All CRM data (personal details, academic history, documents, communication history) shall be inherited by the ERP student record — zero re-entry</w:t>
            </w:r>
          </w:p>
        </w:tc>
        <w:tc>
          <w:tcPr>
            <w:tcW w:type="dxa" w:w="3214"/>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Must Have</w:t>
            </w:r>
          </w:p>
        </w:tc>
      </w:tr>
      <w:tr>
        <w:trPr>
          <w:tblHeader w:val="false"/>
        </w:trPr>
        <w:tc>
          <w:tcPr>
            <w:tcW w:type="dxa" w:w="321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CRM-AP-018</w:t>
            </w:r>
          </w:p>
        </w:tc>
        <w:tc>
          <w:tcPr>
            <w:tcW w:type="dxa" w:w="321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Conversion event shall trigger onboarding workflows in A2A ERP (ID card generation, LMS enrolment, hostel allocation prompt, etc.)</w:t>
            </w:r>
          </w:p>
        </w:tc>
        <w:tc>
          <w:tcPr>
            <w:tcW w:type="dxa" w:w="3214"/>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Should Have</w:t>
            </w:r>
          </w:p>
        </w:tc>
      </w:tr>
      <w:tr>
        <w:trPr>
          <w:tblHeader w:val="false"/>
        </w:trPr>
        <w:tc>
          <w:tcPr>
            <w:tcW w:type="dxa" w:w="321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CRM-AP-019</w:t>
            </w:r>
          </w:p>
        </w:tc>
        <w:tc>
          <w:tcPr>
            <w:tcW w:type="dxa" w:w="321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Conversion rate reporting (applications → enrolled) shall be available by programme, batch, source and counsellor</w:t>
            </w:r>
          </w:p>
        </w:tc>
        <w:tc>
          <w:tcPr>
            <w:tcW w:type="dxa" w:w="3214"/>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Must Have</w:t>
            </w:r>
          </w:p>
        </w:tc>
      </w:tr>
    </w:tbl>
    <w:p>
      <w:pPr>
        <w:spacing w:after="160" w:before="80"/>
      </w:pPr>
    </w:p>
    <w:p>
      <w:pPr>
        <w:spacing w:after="40" w:before="40"/>
      </w:pPr>
    </w:p>
    <w:p>
      <w:pPr>
        <w:pBdr>
          <w:bottom w:val="single" w:color="D1D5DB" w:sz="3" w:space="1"/>
        </w:pBdr>
        <w:spacing w:after="80" w:before="80"/>
      </w:pPr>
    </w:p>
    <w:p>
      <w:pPr>
        <w:spacing w:after="40" w:before="40"/>
      </w:pPr>
    </w:p>
    <w:p>
      <w:pPr>
        <w:pStyle w:val="Heading3"/>
        <w:spacing w:after="100" w:before="200"/>
      </w:pPr>
      <w:r>
        <w:rPr>
          <w:rFonts w:ascii="Arial" w:cs="Arial" w:eastAsia="Arial" w:hAnsi="Arial"/>
          <w:b/>
          <w:bCs/>
          <w:i w:val="false"/>
          <w:iCs w:val="false"/>
          <w:color w:val="2563EB"/>
          <w:sz w:val="24"/>
          <w:szCs w:val="24"/>
        </w:rPr>
        <w:t xml:space="preserve">8.5 Multi-Channel Communication Engine</w:t>
      </w:r>
    </w:p>
    <w:p>
      <w:pPr>
        <w:spacing w:after="40" w:before="40"/>
      </w:pPr>
    </w:p>
    <w:p>
      <w:pPr>
        <w:spacing w:after="60" w:before="60"/>
        <w:jc w:val="both"/>
      </w:pPr>
      <w:r>
        <w:rPr>
          <w:rFonts w:ascii="Arial" w:cs="Arial" w:eastAsia="Arial" w:hAnsi="Arial"/>
          <w:b/>
          <w:bCs/>
          <w:i w:val="false"/>
          <w:iCs w:val="false"/>
          <w:color w:val="111827"/>
          <w:sz w:val="20"/>
          <w:szCs w:val="20"/>
        </w:rPr>
        <w:t xml:space="preserve">Purpose:</w:t>
      </w:r>
      <w:r>
        <w:rPr>
          <w:rFonts w:ascii="Arial" w:cs="Arial" w:eastAsia="Arial" w:hAnsi="Arial"/>
          <w:b w:val="false"/>
          <w:bCs w:val="false"/>
          <w:i w:val="false"/>
          <w:iCs w:val="false"/>
          <w:color w:val="111827"/>
          <w:sz w:val="20"/>
          <w:szCs w:val="20"/>
        </w:rPr>
        <w:t xml:space="preserve"> Enable omnichannel, personalised communication with prospective students across all touchpoints, with full delivery tracking and activity logging.</w:t>
      </w:r>
    </w:p>
    <w:p>
      <w:pPr>
        <w:spacing w:after="40" w:before="40"/>
      </w:pPr>
    </w:p>
    <w:p>
      <w:pPr>
        <w:pStyle w:val="Heading4"/>
        <w:spacing w:after="80" w:before="160"/>
      </w:pPr>
      <w:r>
        <w:rPr>
          <w:rFonts w:ascii="Arial" w:cs="Arial" w:eastAsia="Arial" w:hAnsi="Arial"/>
          <w:b/>
          <w:bCs/>
          <w:i w:val="false"/>
          <w:iCs w:val="false"/>
          <w:color w:val="1B2A4A"/>
          <w:sz w:val="22"/>
          <w:szCs w:val="22"/>
        </w:rPr>
        <w:t xml:space="preserve">8.5.1 Email Communication</w:t>
      </w:r>
    </w:p>
    <w:p>
      <w:pPr>
        <w:spacing w:after="40" w:before="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4"/>
      </w:tblGrid>
      <w:tr>
        <w:trPr>
          <w:tblHeader/>
        </w:trPr>
        <w:tc>
          <w:tcPr>
            <w:tcW w:type="dxa" w:w="3212"/>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top"/>
          </w:tcPr>
          <w:p>
            <w:pPr>
              <w:spacing w:after="0"/>
            </w:pPr>
            <w:r>
              <w:rPr>
                <w:rFonts w:ascii="Arial" w:cs="Arial" w:eastAsia="Arial" w:hAnsi="Arial"/>
                <w:b/>
                <w:bCs/>
                <w:i w:val="false"/>
                <w:iCs w:val="false"/>
                <w:color w:val="FFFFFF"/>
                <w:sz w:val="18"/>
                <w:szCs w:val="18"/>
              </w:rPr>
              <w:t xml:space="preserve">Req ID</w:t>
            </w:r>
          </w:p>
        </w:tc>
        <w:tc>
          <w:tcPr>
            <w:tcW w:type="dxa" w:w="3212"/>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top"/>
          </w:tcPr>
          <w:p>
            <w:pPr>
              <w:spacing w:after="0"/>
            </w:pPr>
            <w:r>
              <w:rPr>
                <w:rFonts w:ascii="Arial" w:cs="Arial" w:eastAsia="Arial" w:hAnsi="Arial"/>
                <w:b/>
                <w:bCs/>
                <w:i w:val="false"/>
                <w:iCs w:val="false"/>
                <w:color w:val="FFFFFF"/>
                <w:sz w:val="18"/>
                <w:szCs w:val="18"/>
              </w:rPr>
              <w:t xml:space="preserve">Requirement</w:t>
            </w:r>
          </w:p>
        </w:tc>
        <w:tc>
          <w:tcPr>
            <w:tcW w:type="dxa" w:w="3214"/>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top"/>
          </w:tcPr>
          <w:p>
            <w:pPr>
              <w:spacing w:after="0"/>
            </w:pPr>
            <w:r>
              <w:rPr>
                <w:rFonts w:ascii="Arial" w:cs="Arial" w:eastAsia="Arial" w:hAnsi="Arial"/>
                <w:b/>
                <w:bCs/>
                <w:i w:val="false"/>
                <w:iCs w:val="false"/>
                <w:color w:val="FFFFFF"/>
                <w:sz w:val="18"/>
                <w:szCs w:val="18"/>
              </w:rPr>
              <w:t xml:space="preserve">Priority</w:t>
            </w:r>
          </w:p>
        </w:tc>
      </w:tr>
      <w:tr>
        <w:trPr>
          <w:tblHeader w:val="false"/>
        </w:trPr>
        <w:tc>
          <w:tcPr>
            <w:tcW w:type="dxa" w:w="321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CRM-CC-001</w:t>
            </w:r>
          </w:p>
        </w:tc>
        <w:tc>
          <w:tcPr>
            <w:tcW w:type="dxa" w:w="321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System shall provide a drag-and-drop email template builder with merge tags for personalisation</w:t>
            </w:r>
          </w:p>
        </w:tc>
        <w:tc>
          <w:tcPr>
            <w:tcW w:type="dxa" w:w="3214"/>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Must Have</w:t>
            </w:r>
          </w:p>
        </w:tc>
      </w:tr>
      <w:tr>
        <w:trPr>
          <w:tblHeader w:val="false"/>
        </w:trPr>
        <w:tc>
          <w:tcPr>
            <w:tcW w:type="dxa" w:w="321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CRM-CC-002</w:t>
            </w:r>
          </w:p>
        </w:tc>
        <w:tc>
          <w:tcPr>
            <w:tcW w:type="dxa" w:w="321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Emails shall be sendable individually (from lead record) or in bulk (campaign or segment)</w:t>
            </w:r>
          </w:p>
        </w:tc>
        <w:tc>
          <w:tcPr>
            <w:tcW w:type="dxa" w:w="3214"/>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Must Have</w:t>
            </w:r>
          </w:p>
        </w:tc>
      </w:tr>
      <w:tr>
        <w:trPr>
          <w:tblHeader w:val="false"/>
        </w:trPr>
        <w:tc>
          <w:tcPr>
            <w:tcW w:type="dxa" w:w="321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CRM-CC-003</w:t>
            </w:r>
          </w:p>
        </w:tc>
        <w:tc>
          <w:tcPr>
            <w:tcW w:type="dxa" w:w="321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Email delivery, open, click, bounce and unsubscribe events shall be tracked and logged to the lead record</w:t>
            </w:r>
          </w:p>
        </w:tc>
        <w:tc>
          <w:tcPr>
            <w:tcW w:type="dxa" w:w="3214"/>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Must Have</w:t>
            </w:r>
          </w:p>
        </w:tc>
      </w:tr>
      <w:tr>
        <w:trPr>
          <w:tblHeader w:val="false"/>
        </w:trPr>
        <w:tc>
          <w:tcPr>
            <w:tcW w:type="dxa" w:w="321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CRM-CC-004</w:t>
            </w:r>
          </w:p>
        </w:tc>
        <w:tc>
          <w:tcPr>
            <w:tcW w:type="dxa" w:w="321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Institution shall be able to configure a custom sender domain (SPF/DKIM/DMARC support)</w:t>
            </w:r>
          </w:p>
        </w:tc>
        <w:tc>
          <w:tcPr>
            <w:tcW w:type="dxa" w:w="3214"/>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Must Have</w:t>
            </w:r>
          </w:p>
        </w:tc>
      </w:tr>
      <w:tr>
        <w:trPr>
          <w:tblHeader w:val="false"/>
        </w:trPr>
        <w:tc>
          <w:tcPr>
            <w:tcW w:type="dxa" w:w="321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CRM-CC-005</w:t>
            </w:r>
          </w:p>
        </w:tc>
        <w:tc>
          <w:tcPr>
            <w:tcW w:type="dxa" w:w="321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Unsubscribe management shall be DPDP Act compliant (opt-out respected and logged)</w:t>
            </w:r>
          </w:p>
        </w:tc>
        <w:tc>
          <w:tcPr>
            <w:tcW w:type="dxa" w:w="3214"/>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Must Have</w:t>
            </w:r>
          </w:p>
        </w:tc>
      </w:tr>
    </w:tbl>
    <w:p>
      <w:pPr>
        <w:spacing w:after="160" w:before="80"/>
      </w:pPr>
    </w:p>
    <w:p>
      <w:pPr>
        <w:spacing w:after="40" w:before="40"/>
      </w:pPr>
    </w:p>
    <w:p>
      <w:pPr>
        <w:pStyle w:val="Heading4"/>
        <w:spacing w:after="80" w:before="160"/>
      </w:pPr>
      <w:r>
        <w:rPr>
          <w:rFonts w:ascii="Arial" w:cs="Arial" w:eastAsia="Arial" w:hAnsi="Arial"/>
          <w:b/>
          <w:bCs/>
          <w:i w:val="false"/>
          <w:iCs w:val="false"/>
          <w:color w:val="1B2A4A"/>
          <w:sz w:val="22"/>
          <w:szCs w:val="22"/>
        </w:rPr>
        <w:t xml:space="preserve">8.5.2 SMS Communication</w:t>
      </w:r>
    </w:p>
    <w:p>
      <w:pPr>
        <w:spacing w:after="40" w:before="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4"/>
      </w:tblGrid>
      <w:tr>
        <w:trPr>
          <w:tblHeader/>
        </w:trPr>
        <w:tc>
          <w:tcPr>
            <w:tcW w:type="dxa" w:w="3212"/>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top"/>
          </w:tcPr>
          <w:p>
            <w:pPr>
              <w:spacing w:after="0"/>
            </w:pPr>
            <w:r>
              <w:rPr>
                <w:rFonts w:ascii="Arial" w:cs="Arial" w:eastAsia="Arial" w:hAnsi="Arial"/>
                <w:b/>
                <w:bCs/>
                <w:i w:val="false"/>
                <w:iCs w:val="false"/>
                <w:color w:val="FFFFFF"/>
                <w:sz w:val="18"/>
                <w:szCs w:val="18"/>
              </w:rPr>
              <w:t xml:space="preserve">Req ID</w:t>
            </w:r>
          </w:p>
        </w:tc>
        <w:tc>
          <w:tcPr>
            <w:tcW w:type="dxa" w:w="3212"/>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top"/>
          </w:tcPr>
          <w:p>
            <w:pPr>
              <w:spacing w:after="0"/>
            </w:pPr>
            <w:r>
              <w:rPr>
                <w:rFonts w:ascii="Arial" w:cs="Arial" w:eastAsia="Arial" w:hAnsi="Arial"/>
                <w:b/>
                <w:bCs/>
                <w:i w:val="false"/>
                <w:iCs w:val="false"/>
                <w:color w:val="FFFFFF"/>
                <w:sz w:val="18"/>
                <w:szCs w:val="18"/>
              </w:rPr>
              <w:t xml:space="preserve">Requirement</w:t>
            </w:r>
          </w:p>
        </w:tc>
        <w:tc>
          <w:tcPr>
            <w:tcW w:type="dxa" w:w="3214"/>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top"/>
          </w:tcPr>
          <w:p>
            <w:pPr>
              <w:spacing w:after="0"/>
            </w:pPr>
            <w:r>
              <w:rPr>
                <w:rFonts w:ascii="Arial" w:cs="Arial" w:eastAsia="Arial" w:hAnsi="Arial"/>
                <w:b/>
                <w:bCs/>
                <w:i w:val="false"/>
                <w:iCs w:val="false"/>
                <w:color w:val="FFFFFF"/>
                <w:sz w:val="18"/>
                <w:szCs w:val="18"/>
              </w:rPr>
              <w:t xml:space="preserve">Priority</w:t>
            </w:r>
          </w:p>
        </w:tc>
      </w:tr>
      <w:tr>
        <w:trPr>
          <w:tblHeader w:val="false"/>
        </w:trPr>
        <w:tc>
          <w:tcPr>
            <w:tcW w:type="dxa" w:w="321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CRM-CC-006</w:t>
            </w:r>
          </w:p>
        </w:tc>
        <w:tc>
          <w:tcPr>
            <w:tcW w:type="dxa" w:w="321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SMS shall be sendable to individual leads or in bulk with personalisation</w:t>
            </w:r>
          </w:p>
        </w:tc>
        <w:tc>
          <w:tcPr>
            <w:tcW w:type="dxa" w:w="3214"/>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Must Have</w:t>
            </w:r>
          </w:p>
        </w:tc>
      </w:tr>
      <w:tr>
        <w:trPr>
          <w:tblHeader w:val="false"/>
        </w:trPr>
        <w:tc>
          <w:tcPr>
            <w:tcW w:type="dxa" w:w="321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CRM-CC-007</w:t>
            </w:r>
          </w:p>
        </w:tc>
        <w:tc>
          <w:tcPr>
            <w:tcW w:type="dxa" w:w="321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Integration with major Indian SMS gateways (MSG91, Textlocal, Kaleyra) via configurable API</w:t>
            </w:r>
          </w:p>
        </w:tc>
        <w:tc>
          <w:tcPr>
            <w:tcW w:type="dxa" w:w="3214"/>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Must Have</w:t>
            </w:r>
          </w:p>
        </w:tc>
      </w:tr>
      <w:tr>
        <w:trPr>
          <w:tblHeader w:val="false"/>
        </w:trPr>
        <w:tc>
          <w:tcPr>
            <w:tcW w:type="dxa" w:w="321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CRM-CC-008</w:t>
            </w:r>
          </w:p>
        </w:tc>
        <w:tc>
          <w:tcPr>
            <w:tcW w:type="dxa" w:w="321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DLT (Distributed Ledger Technology) template registration workflow shall be built into the SMS module</w:t>
            </w:r>
          </w:p>
        </w:tc>
        <w:tc>
          <w:tcPr>
            <w:tcW w:type="dxa" w:w="3214"/>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Must Have</w:t>
            </w:r>
          </w:p>
        </w:tc>
      </w:tr>
      <w:tr>
        <w:trPr>
          <w:tblHeader w:val="false"/>
        </w:trPr>
        <w:tc>
          <w:tcPr>
            <w:tcW w:type="dxa" w:w="321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CRM-CC-009</w:t>
            </w:r>
          </w:p>
        </w:tc>
        <w:tc>
          <w:tcPr>
            <w:tcW w:type="dxa" w:w="321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SMS delivery status shall be tracked and logged</w:t>
            </w:r>
          </w:p>
        </w:tc>
        <w:tc>
          <w:tcPr>
            <w:tcW w:type="dxa" w:w="3214"/>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Must Have</w:t>
            </w:r>
          </w:p>
        </w:tc>
      </w:tr>
    </w:tbl>
    <w:p>
      <w:pPr>
        <w:spacing w:after="160" w:before="80"/>
      </w:pPr>
    </w:p>
    <w:p>
      <w:pPr>
        <w:spacing w:after="40" w:before="40"/>
      </w:pPr>
    </w:p>
    <w:p>
      <w:pPr>
        <w:pStyle w:val="Heading4"/>
        <w:spacing w:after="80" w:before="160"/>
      </w:pPr>
      <w:r>
        <w:rPr>
          <w:rFonts w:ascii="Arial" w:cs="Arial" w:eastAsia="Arial" w:hAnsi="Arial"/>
          <w:b/>
          <w:bCs/>
          <w:i w:val="false"/>
          <w:iCs w:val="false"/>
          <w:color w:val="1B2A4A"/>
          <w:sz w:val="22"/>
          <w:szCs w:val="22"/>
        </w:rPr>
        <w:t xml:space="preserve">8.5.3 WhatsApp Communication</w:t>
      </w:r>
    </w:p>
    <w:p>
      <w:pPr>
        <w:spacing w:after="40" w:before="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4"/>
      </w:tblGrid>
      <w:tr>
        <w:trPr>
          <w:tblHeader/>
        </w:trPr>
        <w:tc>
          <w:tcPr>
            <w:tcW w:type="dxa" w:w="3212"/>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top"/>
          </w:tcPr>
          <w:p>
            <w:pPr>
              <w:spacing w:after="0"/>
            </w:pPr>
            <w:r>
              <w:rPr>
                <w:rFonts w:ascii="Arial" w:cs="Arial" w:eastAsia="Arial" w:hAnsi="Arial"/>
                <w:b/>
                <w:bCs/>
                <w:i w:val="false"/>
                <w:iCs w:val="false"/>
                <w:color w:val="FFFFFF"/>
                <w:sz w:val="18"/>
                <w:szCs w:val="18"/>
              </w:rPr>
              <w:t xml:space="preserve">Req ID</w:t>
            </w:r>
          </w:p>
        </w:tc>
        <w:tc>
          <w:tcPr>
            <w:tcW w:type="dxa" w:w="3212"/>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top"/>
          </w:tcPr>
          <w:p>
            <w:pPr>
              <w:spacing w:after="0"/>
            </w:pPr>
            <w:r>
              <w:rPr>
                <w:rFonts w:ascii="Arial" w:cs="Arial" w:eastAsia="Arial" w:hAnsi="Arial"/>
                <w:b/>
                <w:bCs/>
                <w:i w:val="false"/>
                <w:iCs w:val="false"/>
                <w:color w:val="FFFFFF"/>
                <w:sz w:val="18"/>
                <w:szCs w:val="18"/>
              </w:rPr>
              <w:t xml:space="preserve">Requirement</w:t>
            </w:r>
          </w:p>
        </w:tc>
        <w:tc>
          <w:tcPr>
            <w:tcW w:type="dxa" w:w="3214"/>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top"/>
          </w:tcPr>
          <w:p>
            <w:pPr>
              <w:spacing w:after="0"/>
            </w:pPr>
            <w:r>
              <w:rPr>
                <w:rFonts w:ascii="Arial" w:cs="Arial" w:eastAsia="Arial" w:hAnsi="Arial"/>
                <w:b/>
                <w:bCs/>
                <w:i w:val="false"/>
                <w:iCs w:val="false"/>
                <w:color w:val="FFFFFF"/>
                <w:sz w:val="18"/>
                <w:szCs w:val="18"/>
              </w:rPr>
              <w:t xml:space="preserve">Priority</w:t>
            </w:r>
          </w:p>
        </w:tc>
      </w:tr>
      <w:tr>
        <w:trPr>
          <w:tblHeader w:val="false"/>
        </w:trPr>
        <w:tc>
          <w:tcPr>
            <w:tcW w:type="dxa" w:w="321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CRM-CC-010</w:t>
            </w:r>
          </w:p>
        </w:tc>
        <w:tc>
          <w:tcPr>
            <w:tcW w:type="dxa" w:w="321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Integration with WhatsApp Business API via approved BSP (Business Solution Provider)</w:t>
            </w:r>
          </w:p>
        </w:tc>
        <w:tc>
          <w:tcPr>
            <w:tcW w:type="dxa" w:w="3214"/>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Must Have</w:t>
            </w:r>
          </w:p>
        </w:tc>
      </w:tr>
      <w:tr>
        <w:trPr>
          <w:tblHeader w:val="false"/>
        </w:trPr>
        <w:tc>
          <w:tcPr>
            <w:tcW w:type="dxa" w:w="321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CRM-CC-011</w:t>
            </w:r>
          </w:p>
        </w:tc>
        <w:tc>
          <w:tcPr>
            <w:tcW w:type="dxa" w:w="321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System shall support template-based WhatsApp messages for transactional triggers (application received, offer letter, fee reminder)</w:t>
            </w:r>
          </w:p>
        </w:tc>
        <w:tc>
          <w:tcPr>
            <w:tcW w:type="dxa" w:w="3214"/>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Must Have</w:t>
            </w:r>
          </w:p>
        </w:tc>
      </w:tr>
      <w:tr>
        <w:trPr>
          <w:tblHeader w:val="false"/>
        </w:trPr>
        <w:tc>
          <w:tcPr>
            <w:tcW w:type="dxa" w:w="321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CRM-CC-012</w:t>
            </w:r>
          </w:p>
        </w:tc>
        <w:tc>
          <w:tcPr>
            <w:tcW w:type="dxa" w:w="321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Counsellors shall be able to send and receive WhatsApp messages from within the CRM lead record (shared inbox)</w:t>
            </w:r>
          </w:p>
        </w:tc>
        <w:tc>
          <w:tcPr>
            <w:tcW w:type="dxa" w:w="3214"/>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Must Have</w:t>
            </w:r>
          </w:p>
        </w:tc>
      </w:tr>
      <w:tr>
        <w:trPr>
          <w:tblHeader w:val="false"/>
        </w:trPr>
        <w:tc>
          <w:tcPr>
            <w:tcW w:type="dxa" w:w="321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CRM-CC-013</w:t>
            </w:r>
          </w:p>
        </w:tc>
        <w:tc>
          <w:tcPr>
            <w:tcW w:type="dxa" w:w="321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WhatsApp chatbot shall handle initial FAQs, programme information, brochure delivery, and appointment booking</w:t>
            </w:r>
          </w:p>
        </w:tc>
        <w:tc>
          <w:tcPr>
            <w:tcW w:type="dxa" w:w="3214"/>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Should Have</w:t>
            </w:r>
          </w:p>
        </w:tc>
      </w:tr>
      <w:tr>
        <w:trPr>
          <w:tblHeader w:val="false"/>
        </w:trPr>
        <w:tc>
          <w:tcPr>
            <w:tcW w:type="dxa" w:w="321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CRM-CC-014</w:t>
            </w:r>
          </w:p>
        </w:tc>
        <w:tc>
          <w:tcPr>
            <w:tcW w:type="dxa" w:w="321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WhatsApp message delivery, read and reply events shall be tracked</w:t>
            </w:r>
          </w:p>
        </w:tc>
        <w:tc>
          <w:tcPr>
            <w:tcW w:type="dxa" w:w="3214"/>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Must Have</w:t>
            </w:r>
          </w:p>
        </w:tc>
      </w:tr>
      <w:tr>
        <w:trPr>
          <w:tblHeader w:val="false"/>
        </w:trPr>
        <w:tc>
          <w:tcPr>
            <w:tcW w:type="dxa" w:w="321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CRM-CC-015</w:t>
            </w:r>
          </w:p>
        </w:tc>
        <w:tc>
          <w:tcPr>
            <w:tcW w:type="dxa" w:w="321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Bulk WhatsApp broadcasts to segmented lead lists shall be supported within BSP policy limits</w:t>
            </w:r>
          </w:p>
        </w:tc>
        <w:tc>
          <w:tcPr>
            <w:tcW w:type="dxa" w:w="3214"/>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Must Have</w:t>
            </w:r>
          </w:p>
        </w:tc>
      </w:tr>
    </w:tbl>
    <w:p>
      <w:pPr>
        <w:spacing w:after="160" w:before="80"/>
      </w:pPr>
    </w:p>
    <w:p>
      <w:pPr>
        <w:spacing w:after="40" w:before="40"/>
      </w:pPr>
    </w:p>
    <w:p>
      <w:pPr>
        <w:pStyle w:val="Heading4"/>
        <w:spacing w:after="80" w:before="160"/>
      </w:pPr>
      <w:r>
        <w:rPr>
          <w:rFonts w:ascii="Arial" w:cs="Arial" w:eastAsia="Arial" w:hAnsi="Arial"/>
          <w:b/>
          <w:bCs/>
          <w:i w:val="false"/>
          <w:iCs w:val="false"/>
          <w:color w:val="1B2A4A"/>
          <w:sz w:val="22"/>
          <w:szCs w:val="22"/>
        </w:rPr>
        <w:t xml:space="preserve">8.5.4 Voice and IVR</w:t>
      </w:r>
    </w:p>
    <w:p>
      <w:pPr>
        <w:spacing w:after="40" w:before="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4"/>
      </w:tblGrid>
      <w:tr>
        <w:trPr>
          <w:tblHeader/>
        </w:trPr>
        <w:tc>
          <w:tcPr>
            <w:tcW w:type="dxa" w:w="3212"/>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top"/>
          </w:tcPr>
          <w:p>
            <w:pPr>
              <w:spacing w:after="0"/>
            </w:pPr>
            <w:r>
              <w:rPr>
                <w:rFonts w:ascii="Arial" w:cs="Arial" w:eastAsia="Arial" w:hAnsi="Arial"/>
                <w:b/>
                <w:bCs/>
                <w:i w:val="false"/>
                <w:iCs w:val="false"/>
                <w:color w:val="FFFFFF"/>
                <w:sz w:val="18"/>
                <w:szCs w:val="18"/>
              </w:rPr>
              <w:t xml:space="preserve">Req ID</w:t>
            </w:r>
          </w:p>
        </w:tc>
        <w:tc>
          <w:tcPr>
            <w:tcW w:type="dxa" w:w="3212"/>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top"/>
          </w:tcPr>
          <w:p>
            <w:pPr>
              <w:spacing w:after="0"/>
            </w:pPr>
            <w:r>
              <w:rPr>
                <w:rFonts w:ascii="Arial" w:cs="Arial" w:eastAsia="Arial" w:hAnsi="Arial"/>
                <w:b/>
                <w:bCs/>
                <w:i w:val="false"/>
                <w:iCs w:val="false"/>
                <w:color w:val="FFFFFF"/>
                <w:sz w:val="18"/>
                <w:szCs w:val="18"/>
              </w:rPr>
              <w:t xml:space="preserve">Requirement</w:t>
            </w:r>
          </w:p>
        </w:tc>
        <w:tc>
          <w:tcPr>
            <w:tcW w:type="dxa" w:w="3214"/>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top"/>
          </w:tcPr>
          <w:p>
            <w:pPr>
              <w:spacing w:after="0"/>
            </w:pPr>
            <w:r>
              <w:rPr>
                <w:rFonts w:ascii="Arial" w:cs="Arial" w:eastAsia="Arial" w:hAnsi="Arial"/>
                <w:b/>
                <w:bCs/>
                <w:i w:val="false"/>
                <w:iCs w:val="false"/>
                <w:color w:val="FFFFFF"/>
                <w:sz w:val="18"/>
                <w:szCs w:val="18"/>
              </w:rPr>
              <w:t xml:space="preserve">Priority</w:t>
            </w:r>
          </w:p>
        </w:tc>
      </w:tr>
      <w:tr>
        <w:trPr>
          <w:tblHeader w:val="false"/>
        </w:trPr>
        <w:tc>
          <w:tcPr>
            <w:tcW w:type="dxa" w:w="321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CRM-CC-016</w:t>
            </w:r>
          </w:p>
        </w:tc>
        <w:tc>
          <w:tcPr>
            <w:tcW w:type="dxa" w:w="321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Integration with cloud telephony providers (Exotel, Ozonetel, Knowlarity) for outbound calling</w:t>
            </w:r>
          </w:p>
        </w:tc>
        <w:tc>
          <w:tcPr>
            <w:tcW w:type="dxa" w:w="3214"/>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Must Have</w:t>
            </w:r>
          </w:p>
        </w:tc>
      </w:tr>
      <w:tr>
        <w:trPr>
          <w:tblHeader w:val="false"/>
        </w:trPr>
        <w:tc>
          <w:tcPr>
            <w:tcW w:type="dxa" w:w="321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CRM-CC-017</w:t>
            </w:r>
          </w:p>
        </w:tc>
        <w:tc>
          <w:tcPr>
            <w:tcW w:type="dxa" w:w="321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Click-to-call shall be available from the lead record for counsellors</w:t>
            </w:r>
          </w:p>
        </w:tc>
        <w:tc>
          <w:tcPr>
            <w:tcW w:type="dxa" w:w="3214"/>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Must Have</w:t>
            </w:r>
          </w:p>
        </w:tc>
      </w:tr>
      <w:tr>
        <w:trPr>
          <w:tblHeader w:val="false"/>
        </w:trPr>
        <w:tc>
          <w:tcPr>
            <w:tcW w:type="dxa" w:w="321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CRM-CC-018</w:t>
            </w:r>
          </w:p>
        </w:tc>
        <w:tc>
          <w:tcPr>
            <w:tcW w:type="dxa" w:w="321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All calls shall be logged automatically with duration, disposition and recording (where consented)</w:t>
            </w:r>
          </w:p>
        </w:tc>
        <w:tc>
          <w:tcPr>
            <w:tcW w:type="dxa" w:w="3214"/>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Must Have</w:t>
            </w:r>
          </w:p>
        </w:tc>
      </w:tr>
      <w:tr>
        <w:trPr>
          <w:tblHeader w:val="false"/>
        </w:trPr>
        <w:tc>
          <w:tcPr>
            <w:tcW w:type="dxa" w:w="321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CRM-CC-019</w:t>
            </w:r>
          </w:p>
        </w:tc>
        <w:tc>
          <w:tcPr>
            <w:tcW w:type="dxa" w:w="321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IVR (Interactive Voice Response) for inbound enquiries shall be configurable with lead capture</w:t>
            </w:r>
          </w:p>
        </w:tc>
        <w:tc>
          <w:tcPr>
            <w:tcW w:type="dxa" w:w="3214"/>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Should Have</w:t>
            </w:r>
          </w:p>
        </w:tc>
      </w:tr>
      <w:tr>
        <w:trPr>
          <w:tblHeader w:val="false"/>
        </w:trPr>
        <w:tc>
          <w:tcPr>
            <w:tcW w:type="dxa" w:w="321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CRM-CC-020</w:t>
            </w:r>
          </w:p>
        </w:tc>
        <w:tc>
          <w:tcPr>
            <w:tcW w:type="dxa" w:w="321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Missed call campaigns (missed-call-to-lead-creation) shall be supported</w:t>
            </w:r>
          </w:p>
        </w:tc>
        <w:tc>
          <w:tcPr>
            <w:tcW w:type="dxa" w:w="3214"/>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Should Have</w:t>
            </w:r>
          </w:p>
        </w:tc>
      </w:tr>
    </w:tbl>
    <w:p>
      <w:pPr>
        <w:spacing w:after="160" w:before="80"/>
      </w:pPr>
    </w:p>
    <w:p>
      <w:pPr>
        <w:spacing w:after="40" w:before="40"/>
      </w:pPr>
    </w:p>
    <w:p>
      <w:pPr>
        <w:pStyle w:val="Heading4"/>
        <w:spacing w:after="80" w:before="160"/>
      </w:pPr>
      <w:r>
        <w:rPr>
          <w:rFonts w:ascii="Arial" w:cs="Arial" w:eastAsia="Arial" w:hAnsi="Arial"/>
          <w:b/>
          <w:bCs/>
          <w:i w:val="false"/>
          <w:iCs w:val="false"/>
          <w:color w:val="1B2A4A"/>
          <w:sz w:val="22"/>
          <w:szCs w:val="22"/>
        </w:rPr>
        <w:t xml:space="preserve">8.5.5 Communication Inbox and Unified Timeline</w:t>
      </w:r>
    </w:p>
    <w:p>
      <w:pPr>
        <w:spacing w:after="40" w:before="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4"/>
      </w:tblGrid>
      <w:tr>
        <w:trPr>
          <w:tblHeader/>
        </w:trPr>
        <w:tc>
          <w:tcPr>
            <w:tcW w:type="dxa" w:w="3212"/>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top"/>
          </w:tcPr>
          <w:p>
            <w:pPr>
              <w:spacing w:after="0"/>
            </w:pPr>
            <w:r>
              <w:rPr>
                <w:rFonts w:ascii="Arial" w:cs="Arial" w:eastAsia="Arial" w:hAnsi="Arial"/>
                <w:b/>
                <w:bCs/>
                <w:i w:val="false"/>
                <w:iCs w:val="false"/>
                <w:color w:val="FFFFFF"/>
                <w:sz w:val="18"/>
                <w:szCs w:val="18"/>
              </w:rPr>
              <w:t xml:space="preserve">Req ID</w:t>
            </w:r>
          </w:p>
        </w:tc>
        <w:tc>
          <w:tcPr>
            <w:tcW w:type="dxa" w:w="3212"/>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top"/>
          </w:tcPr>
          <w:p>
            <w:pPr>
              <w:spacing w:after="0"/>
            </w:pPr>
            <w:r>
              <w:rPr>
                <w:rFonts w:ascii="Arial" w:cs="Arial" w:eastAsia="Arial" w:hAnsi="Arial"/>
                <w:b/>
                <w:bCs/>
                <w:i w:val="false"/>
                <w:iCs w:val="false"/>
                <w:color w:val="FFFFFF"/>
                <w:sz w:val="18"/>
                <w:szCs w:val="18"/>
              </w:rPr>
              <w:t xml:space="preserve">Requirement</w:t>
            </w:r>
          </w:p>
        </w:tc>
        <w:tc>
          <w:tcPr>
            <w:tcW w:type="dxa" w:w="3214"/>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top"/>
          </w:tcPr>
          <w:p>
            <w:pPr>
              <w:spacing w:after="0"/>
            </w:pPr>
            <w:r>
              <w:rPr>
                <w:rFonts w:ascii="Arial" w:cs="Arial" w:eastAsia="Arial" w:hAnsi="Arial"/>
                <w:b/>
                <w:bCs/>
                <w:i w:val="false"/>
                <w:iCs w:val="false"/>
                <w:color w:val="FFFFFF"/>
                <w:sz w:val="18"/>
                <w:szCs w:val="18"/>
              </w:rPr>
              <w:t xml:space="preserve">Priority</w:t>
            </w:r>
          </w:p>
        </w:tc>
      </w:tr>
      <w:tr>
        <w:trPr>
          <w:tblHeader w:val="false"/>
        </w:trPr>
        <w:tc>
          <w:tcPr>
            <w:tcW w:type="dxa" w:w="321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CRM-CC-021</w:t>
            </w:r>
          </w:p>
        </w:tc>
        <w:tc>
          <w:tcPr>
            <w:tcW w:type="dxa" w:w="321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A unified communication inbox shall consolidate all inbound messages (email, WhatsApp, chat) for a counsellor's assigned leads</w:t>
            </w:r>
          </w:p>
        </w:tc>
        <w:tc>
          <w:tcPr>
            <w:tcW w:type="dxa" w:w="3214"/>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Must Have</w:t>
            </w:r>
          </w:p>
        </w:tc>
      </w:tr>
      <w:tr>
        <w:trPr>
          <w:tblHeader w:val="false"/>
        </w:trPr>
        <w:tc>
          <w:tcPr>
            <w:tcW w:type="dxa" w:w="321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CRM-CC-022</w:t>
            </w:r>
          </w:p>
        </w:tc>
        <w:tc>
          <w:tcPr>
            <w:tcW w:type="dxa" w:w="321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All outbound and inbound communications shall appear in the lead's activity timeline in chronological order</w:t>
            </w:r>
          </w:p>
        </w:tc>
        <w:tc>
          <w:tcPr>
            <w:tcW w:type="dxa" w:w="3214"/>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Must Have</w:t>
            </w:r>
          </w:p>
        </w:tc>
      </w:tr>
      <w:tr>
        <w:trPr>
          <w:tblHeader w:val="false"/>
        </w:trPr>
        <w:tc>
          <w:tcPr>
            <w:tcW w:type="dxa" w:w="321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CRM-CC-023</w:t>
            </w:r>
          </w:p>
        </w:tc>
        <w:tc>
          <w:tcPr>
            <w:tcW w:type="dxa" w:w="321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Counsellors shall be notified (in-app, email, mobile push) on new inbound message receipt</w:t>
            </w:r>
          </w:p>
        </w:tc>
        <w:tc>
          <w:tcPr>
            <w:tcW w:type="dxa" w:w="3214"/>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Must Have</w:t>
            </w:r>
          </w:p>
        </w:tc>
      </w:tr>
    </w:tbl>
    <w:p>
      <w:pPr>
        <w:spacing w:after="160" w:before="80"/>
      </w:pPr>
    </w:p>
    <w:p>
      <w:pPr>
        <w:spacing w:after="40" w:before="40"/>
      </w:pPr>
    </w:p>
    <w:p>
      <w:pPr>
        <w:pBdr>
          <w:bottom w:val="single" w:color="D1D5DB" w:sz="3" w:space="1"/>
        </w:pBdr>
        <w:spacing w:after="80" w:before="80"/>
      </w:pPr>
    </w:p>
    <w:p>
      <w:pPr>
        <w:spacing w:after="40" w:before="40"/>
      </w:pPr>
    </w:p>
    <w:p>
      <w:pPr>
        <w:pStyle w:val="Heading3"/>
        <w:spacing w:after="100" w:before="200"/>
      </w:pPr>
      <w:r>
        <w:rPr>
          <w:rFonts w:ascii="Arial" w:cs="Arial" w:eastAsia="Arial" w:hAnsi="Arial"/>
          <w:b/>
          <w:bCs/>
          <w:i w:val="false"/>
          <w:iCs w:val="false"/>
          <w:color w:val="2563EB"/>
          <w:sz w:val="24"/>
          <w:szCs w:val="24"/>
        </w:rPr>
        <w:t xml:space="preserve">8.6 Marketing Automation</w:t>
      </w:r>
    </w:p>
    <w:p>
      <w:pPr>
        <w:spacing w:after="40" w:before="40"/>
      </w:pPr>
    </w:p>
    <w:p>
      <w:pPr>
        <w:spacing w:after="60" w:before="60"/>
        <w:jc w:val="both"/>
      </w:pPr>
      <w:r>
        <w:rPr>
          <w:rFonts w:ascii="Arial" w:cs="Arial" w:eastAsia="Arial" w:hAnsi="Arial"/>
          <w:b/>
          <w:bCs/>
          <w:i w:val="false"/>
          <w:iCs w:val="false"/>
          <w:color w:val="111827"/>
          <w:sz w:val="20"/>
          <w:szCs w:val="20"/>
        </w:rPr>
        <w:t xml:space="preserve">Purpose:</w:t>
      </w:r>
      <w:r>
        <w:rPr>
          <w:rFonts w:ascii="Arial" w:cs="Arial" w:eastAsia="Arial" w:hAnsi="Arial"/>
          <w:b w:val="false"/>
          <w:bCs w:val="false"/>
          <w:i w:val="false"/>
          <w:iCs w:val="false"/>
          <w:color w:val="111827"/>
          <w:sz w:val="20"/>
          <w:szCs w:val="20"/>
        </w:rPr>
        <w:t xml:space="preserve"> Automate lead nurturing, engagement sequences and campaign execution to improve conversion rates and reduce counsellor manual effort.</w:t>
      </w:r>
    </w:p>
    <w:p>
      <w:pPr>
        <w:spacing w:after="40" w:before="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4"/>
      </w:tblGrid>
      <w:tr>
        <w:trPr>
          <w:tblHeader/>
        </w:trPr>
        <w:tc>
          <w:tcPr>
            <w:tcW w:type="dxa" w:w="3212"/>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top"/>
          </w:tcPr>
          <w:p>
            <w:pPr>
              <w:spacing w:after="0"/>
            </w:pPr>
            <w:r>
              <w:rPr>
                <w:rFonts w:ascii="Arial" w:cs="Arial" w:eastAsia="Arial" w:hAnsi="Arial"/>
                <w:b/>
                <w:bCs/>
                <w:i w:val="false"/>
                <w:iCs w:val="false"/>
                <w:color w:val="FFFFFF"/>
                <w:sz w:val="18"/>
                <w:szCs w:val="18"/>
              </w:rPr>
              <w:t xml:space="preserve">Req ID</w:t>
            </w:r>
          </w:p>
        </w:tc>
        <w:tc>
          <w:tcPr>
            <w:tcW w:type="dxa" w:w="3212"/>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top"/>
          </w:tcPr>
          <w:p>
            <w:pPr>
              <w:spacing w:after="0"/>
            </w:pPr>
            <w:r>
              <w:rPr>
                <w:rFonts w:ascii="Arial" w:cs="Arial" w:eastAsia="Arial" w:hAnsi="Arial"/>
                <w:b/>
                <w:bCs/>
                <w:i w:val="false"/>
                <w:iCs w:val="false"/>
                <w:color w:val="FFFFFF"/>
                <w:sz w:val="18"/>
                <w:szCs w:val="18"/>
              </w:rPr>
              <w:t xml:space="preserve">Requirement</w:t>
            </w:r>
          </w:p>
        </w:tc>
        <w:tc>
          <w:tcPr>
            <w:tcW w:type="dxa" w:w="3214"/>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top"/>
          </w:tcPr>
          <w:p>
            <w:pPr>
              <w:spacing w:after="0"/>
            </w:pPr>
            <w:r>
              <w:rPr>
                <w:rFonts w:ascii="Arial" w:cs="Arial" w:eastAsia="Arial" w:hAnsi="Arial"/>
                <w:b/>
                <w:bCs/>
                <w:i w:val="false"/>
                <w:iCs w:val="false"/>
                <w:color w:val="FFFFFF"/>
                <w:sz w:val="18"/>
                <w:szCs w:val="18"/>
              </w:rPr>
              <w:t xml:space="preserve">Priority</w:t>
            </w:r>
          </w:p>
        </w:tc>
      </w:tr>
      <w:tr>
        <w:trPr>
          <w:tblHeader w:val="false"/>
        </w:trPr>
        <w:tc>
          <w:tcPr>
            <w:tcW w:type="dxa" w:w="321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CRM-MA-001</w:t>
            </w:r>
          </w:p>
        </w:tc>
        <w:tc>
          <w:tcPr>
            <w:tcW w:type="dxa" w:w="321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Visual workflow builder (drag-and-drop) shall enable creation of multi-step automation sequences with triggers, conditions and actions</w:t>
            </w:r>
          </w:p>
        </w:tc>
        <w:tc>
          <w:tcPr>
            <w:tcW w:type="dxa" w:w="3214"/>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Must Have</w:t>
            </w:r>
          </w:p>
        </w:tc>
      </w:tr>
      <w:tr>
        <w:trPr>
          <w:tblHeader w:val="false"/>
        </w:trPr>
        <w:tc>
          <w:tcPr>
            <w:tcW w:type="dxa" w:w="321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CRM-MA-002</w:t>
            </w:r>
          </w:p>
        </w:tc>
        <w:tc>
          <w:tcPr>
            <w:tcW w:type="dxa" w:w="321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Trigger types shall include: lead created, form submitted, email opened, link clicked, lead score changed, status changed, date/time based (e.g., 7 days before application deadline), and inactivity timeout</w:t>
            </w:r>
          </w:p>
        </w:tc>
        <w:tc>
          <w:tcPr>
            <w:tcW w:type="dxa" w:w="3214"/>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Must Have</w:t>
            </w:r>
          </w:p>
        </w:tc>
      </w:tr>
      <w:tr>
        <w:trPr>
          <w:tblHeader w:val="false"/>
        </w:trPr>
        <w:tc>
          <w:tcPr>
            <w:tcW w:type="dxa" w:w="321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CRM-MA-003</w:t>
            </w:r>
          </w:p>
        </w:tc>
        <w:tc>
          <w:tcPr>
            <w:tcW w:type="dxa" w:w="321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Action types shall include: send email, send SMS, send WhatsApp message, assign counsellor, update lead field, add tag, create task, enrol in another workflow, webhook call</w:t>
            </w:r>
          </w:p>
        </w:tc>
        <w:tc>
          <w:tcPr>
            <w:tcW w:type="dxa" w:w="3214"/>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Must Have</w:t>
            </w:r>
          </w:p>
        </w:tc>
      </w:tr>
      <w:tr>
        <w:trPr>
          <w:tblHeader w:val="false"/>
        </w:trPr>
        <w:tc>
          <w:tcPr>
            <w:tcW w:type="dxa" w:w="321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CRM-MA-004</w:t>
            </w:r>
          </w:p>
        </w:tc>
        <w:tc>
          <w:tcPr>
            <w:tcW w:type="dxa" w:w="321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A/B testing for email subject lines and message content in automated sequences shall be supported</w:t>
            </w:r>
          </w:p>
        </w:tc>
        <w:tc>
          <w:tcPr>
            <w:tcW w:type="dxa" w:w="3214"/>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Should Have</w:t>
            </w:r>
          </w:p>
        </w:tc>
      </w:tr>
      <w:tr>
        <w:trPr>
          <w:tblHeader w:val="false"/>
        </w:trPr>
        <w:tc>
          <w:tcPr>
            <w:tcW w:type="dxa" w:w="321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CRM-MA-005</w:t>
            </w:r>
          </w:p>
        </w:tc>
        <w:tc>
          <w:tcPr>
            <w:tcW w:type="dxa" w:w="321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Drip campaign sequences shall support configurable time delays between steps</w:t>
            </w:r>
          </w:p>
        </w:tc>
        <w:tc>
          <w:tcPr>
            <w:tcW w:type="dxa" w:w="3214"/>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Must Have</w:t>
            </w:r>
          </w:p>
        </w:tc>
      </w:tr>
      <w:tr>
        <w:trPr>
          <w:tblHeader w:val="false"/>
        </w:trPr>
        <w:tc>
          <w:tcPr>
            <w:tcW w:type="dxa" w:w="321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CRM-MA-006</w:t>
            </w:r>
          </w:p>
        </w:tc>
        <w:tc>
          <w:tcPr>
            <w:tcW w:type="dxa" w:w="321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Leads shall be automatically removed from nurture sequences upon status change to "Contacted" or higher</w:t>
            </w:r>
          </w:p>
        </w:tc>
        <w:tc>
          <w:tcPr>
            <w:tcW w:type="dxa" w:w="3214"/>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Must Have</w:t>
            </w:r>
          </w:p>
        </w:tc>
      </w:tr>
      <w:tr>
        <w:trPr>
          <w:tblHeader w:val="false"/>
        </w:trPr>
        <w:tc>
          <w:tcPr>
            <w:tcW w:type="dxa" w:w="321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CRM-MA-007</w:t>
            </w:r>
          </w:p>
        </w:tc>
        <w:tc>
          <w:tcPr>
            <w:tcW w:type="dxa" w:w="321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System shall support re-engagement sequences for cold/inactive leads</w:t>
            </w:r>
          </w:p>
        </w:tc>
        <w:tc>
          <w:tcPr>
            <w:tcW w:type="dxa" w:w="3214"/>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Should Have</w:t>
            </w:r>
          </w:p>
        </w:tc>
      </w:tr>
      <w:tr>
        <w:trPr>
          <w:tblHeader w:val="false"/>
        </w:trPr>
        <w:tc>
          <w:tcPr>
            <w:tcW w:type="dxa" w:w="321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CRM-MA-008</w:t>
            </w:r>
          </w:p>
        </w:tc>
        <w:tc>
          <w:tcPr>
            <w:tcW w:type="dxa" w:w="321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Programme-specific nurture journeys (e.g., MBA, B.Tech, MBA-Executive) shall be configurable separately</w:t>
            </w:r>
          </w:p>
        </w:tc>
        <w:tc>
          <w:tcPr>
            <w:tcW w:type="dxa" w:w="3214"/>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Must Have</w:t>
            </w:r>
          </w:p>
        </w:tc>
      </w:tr>
      <w:tr>
        <w:trPr>
          <w:tblHeader w:val="false"/>
        </w:trPr>
        <w:tc>
          <w:tcPr>
            <w:tcW w:type="dxa" w:w="321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CRM-MA-009</w:t>
            </w:r>
          </w:p>
        </w:tc>
        <w:tc>
          <w:tcPr>
            <w:tcW w:type="dxa" w:w="321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Event-based automation shall support: Open Day invitations, webinar reminders, result announcement, admission deadline reminders</w:t>
            </w:r>
          </w:p>
        </w:tc>
        <w:tc>
          <w:tcPr>
            <w:tcW w:type="dxa" w:w="3214"/>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Must Have</w:t>
            </w:r>
          </w:p>
        </w:tc>
      </w:tr>
      <w:tr>
        <w:trPr>
          <w:tblHeader w:val="false"/>
        </w:trPr>
        <w:tc>
          <w:tcPr>
            <w:tcW w:type="dxa" w:w="321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CRM-MA-010</w:t>
            </w:r>
          </w:p>
        </w:tc>
        <w:tc>
          <w:tcPr>
            <w:tcW w:type="dxa" w:w="321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Automation performance reporting (sequence-level open rates, click-through rates, conversion attribution) shall be available</w:t>
            </w:r>
          </w:p>
        </w:tc>
        <w:tc>
          <w:tcPr>
            <w:tcW w:type="dxa" w:w="3214"/>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Must Have</w:t>
            </w:r>
          </w:p>
        </w:tc>
      </w:tr>
    </w:tbl>
    <w:p>
      <w:pPr>
        <w:spacing w:after="160" w:before="80"/>
      </w:pPr>
    </w:p>
    <w:p>
      <w:pPr>
        <w:spacing w:after="40" w:before="40"/>
      </w:pPr>
    </w:p>
    <w:p>
      <w:pPr>
        <w:pBdr>
          <w:bottom w:val="single" w:color="D1D5DB" w:sz="3" w:space="1"/>
        </w:pBdr>
        <w:spacing w:after="80" w:before="80"/>
      </w:pPr>
    </w:p>
    <w:p>
      <w:pPr>
        <w:spacing w:after="40" w:before="40"/>
      </w:pPr>
    </w:p>
    <w:p>
      <w:pPr>
        <w:pStyle w:val="Heading3"/>
        <w:spacing w:after="100" w:before="200"/>
      </w:pPr>
      <w:r>
        <w:rPr>
          <w:rFonts w:ascii="Arial" w:cs="Arial" w:eastAsia="Arial" w:hAnsi="Arial"/>
          <w:b/>
          <w:bCs/>
          <w:i w:val="false"/>
          <w:iCs w:val="false"/>
          <w:color w:val="2563EB"/>
          <w:sz w:val="24"/>
          <w:szCs w:val="24"/>
        </w:rPr>
        <w:t xml:space="preserve">8.7 Fee, Scholarship and Payment Management</w:t>
      </w:r>
    </w:p>
    <w:p>
      <w:pPr>
        <w:spacing w:after="40" w:before="40"/>
      </w:pPr>
    </w:p>
    <w:p>
      <w:pPr>
        <w:spacing w:after="60" w:before="60"/>
        <w:jc w:val="both"/>
      </w:pPr>
      <w:r>
        <w:rPr>
          <w:rFonts w:ascii="Arial" w:cs="Arial" w:eastAsia="Arial" w:hAnsi="Arial"/>
          <w:b/>
          <w:bCs/>
          <w:i w:val="false"/>
          <w:iCs w:val="false"/>
          <w:color w:val="111827"/>
          <w:sz w:val="20"/>
          <w:szCs w:val="20"/>
        </w:rPr>
        <w:t xml:space="preserve">Purpose:</w:t>
      </w:r>
      <w:r>
        <w:rPr>
          <w:rFonts w:ascii="Arial" w:cs="Arial" w:eastAsia="Arial" w:hAnsi="Arial"/>
          <w:b w:val="false"/>
          <w:bCs w:val="false"/>
          <w:i w:val="false"/>
          <w:iCs w:val="false"/>
          <w:color w:val="111827"/>
          <w:sz w:val="20"/>
          <w:szCs w:val="20"/>
        </w:rPr>
        <w:t xml:space="preserve"> Manage all pre-admission financial transactions within the CRM, with direct integration into the A2A Fee module for post-admission continuity.</w:t>
      </w:r>
    </w:p>
    <w:p>
      <w:pPr>
        <w:spacing w:after="40" w:before="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4"/>
      </w:tblGrid>
      <w:tr>
        <w:trPr>
          <w:tblHeader/>
        </w:trPr>
        <w:tc>
          <w:tcPr>
            <w:tcW w:type="dxa" w:w="3212"/>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top"/>
          </w:tcPr>
          <w:p>
            <w:pPr>
              <w:spacing w:after="0"/>
            </w:pPr>
            <w:r>
              <w:rPr>
                <w:rFonts w:ascii="Arial" w:cs="Arial" w:eastAsia="Arial" w:hAnsi="Arial"/>
                <w:b/>
                <w:bCs/>
                <w:i w:val="false"/>
                <w:iCs w:val="false"/>
                <w:color w:val="FFFFFF"/>
                <w:sz w:val="18"/>
                <w:szCs w:val="18"/>
              </w:rPr>
              <w:t xml:space="preserve">Req ID</w:t>
            </w:r>
          </w:p>
        </w:tc>
        <w:tc>
          <w:tcPr>
            <w:tcW w:type="dxa" w:w="3212"/>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top"/>
          </w:tcPr>
          <w:p>
            <w:pPr>
              <w:spacing w:after="0"/>
            </w:pPr>
            <w:r>
              <w:rPr>
                <w:rFonts w:ascii="Arial" w:cs="Arial" w:eastAsia="Arial" w:hAnsi="Arial"/>
                <w:b/>
                <w:bCs/>
                <w:i w:val="false"/>
                <w:iCs w:val="false"/>
                <w:color w:val="FFFFFF"/>
                <w:sz w:val="18"/>
                <w:szCs w:val="18"/>
              </w:rPr>
              <w:t xml:space="preserve">Requirement</w:t>
            </w:r>
          </w:p>
        </w:tc>
        <w:tc>
          <w:tcPr>
            <w:tcW w:type="dxa" w:w="3214"/>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top"/>
          </w:tcPr>
          <w:p>
            <w:pPr>
              <w:spacing w:after="0"/>
            </w:pPr>
            <w:r>
              <w:rPr>
                <w:rFonts w:ascii="Arial" w:cs="Arial" w:eastAsia="Arial" w:hAnsi="Arial"/>
                <w:b/>
                <w:bCs/>
                <w:i w:val="false"/>
                <w:iCs w:val="false"/>
                <w:color w:val="FFFFFF"/>
                <w:sz w:val="18"/>
                <w:szCs w:val="18"/>
              </w:rPr>
              <w:t xml:space="preserve">Priority</w:t>
            </w:r>
          </w:p>
        </w:tc>
      </w:tr>
      <w:tr>
        <w:trPr>
          <w:tblHeader w:val="false"/>
        </w:trPr>
        <w:tc>
          <w:tcPr>
            <w:tcW w:type="dxa" w:w="321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CRM-FM-001</w:t>
            </w:r>
          </w:p>
        </w:tc>
        <w:tc>
          <w:tcPr>
            <w:tcW w:type="dxa" w:w="321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System shall support online application fee collection with configurable amounts per programme</w:t>
            </w:r>
          </w:p>
        </w:tc>
        <w:tc>
          <w:tcPr>
            <w:tcW w:type="dxa" w:w="3214"/>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Must Have</w:t>
            </w:r>
          </w:p>
        </w:tc>
      </w:tr>
      <w:tr>
        <w:trPr>
          <w:tblHeader w:val="false"/>
        </w:trPr>
        <w:tc>
          <w:tcPr>
            <w:tcW w:type="dxa" w:w="321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CRM-FM-002</w:t>
            </w:r>
          </w:p>
        </w:tc>
        <w:tc>
          <w:tcPr>
            <w:tcW w:type="dxa" w:w="321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Seat reservation / booking fee (partial advance fee) collection shall be supported</w:t>
            </w:r>
          </w:p>
        </w:tc>
        <w:tc>
          <w:tcPr>
            <w:tcW w:type="dxa" w:w="3214"/>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Must Have</w:t>
            </w:r>
          </w:p>
        </w:tc>
      </w:tr>
      <w:tr>
        <w:trPr>
          <w:tblHeader w:val="false"/>
        </w:trPr>
        <w:tc>
          <w:tcPr>
            <w:tcW w:type="dxa" w:w="321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CRM-FM-003</w:t>
            </w:r>
          </w:p>
        </w:tc>
        <w:tc>
          <w:tcPr>
            <w:tcW w:type="dxa" w:w="321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Integration with payment gateways (Razorpay, PayU, CCAvenue) shall be available</w:t>
            </w:r>
          </w:p>
        </w:tc>
        <w:tc>
          <w:tcPr>
            <w:tcW w:type="dxa" w:w="3214"/>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Must Have</w:t>
            </w:r>
          </w:p>
        </w:tc>
      </w:tr>
      <w:tr>
        <w:trPr>
          <w:tblHeader w:val="false"/>
        </w:trPr>
        <w:tc>
          <w:tcPr>
            <w:tcW w:type="dxa" w:w="321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CRM-FM-004</w:t>
            </w:r>
          </w:p>
        </w:tc>
        <w:tc>
          <w:tcPr>
            <w:tcW w:type="dxa" w:w="321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Payment links shall be generatable and shareable via WhatsApp, SMS, and email from the lead record</w:t>
            </w:r>
          </w:p>
        </w:tc>
        <w:tc>
          <w:tcPr>
            <w:tcW w:type="dxa" w:w="3214"/>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Must Have</w:t>
            </w:r>
          </w:p>
        </w:tc>
      </w:tr>
      <w:tr>
        <w:trPr>
          <w:tblHeader w:val="false"/>
        </w:trPr>
        <w:tc>
          <w:tcPr>
            <w:tcW w:type="dxa" w:w="321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CRM-FM-005</w:t>
            </w:r>
          </w:p>
        </w:tc>
        <w:tc>
          <w:tcPr>
            <w:tcW w:type="dxa" w:w="321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Payment confirmation shall be auto-logged to the lead record and trigger status update</w:t>
            </w:r>
          </w:p>
        </w:tc>
        <w:tc>
          <w:tcPr>
            <w:tcW w:type="dxa" w:w="3214"/>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Must Have</w:t>
            </w:r>
          </w:p>
        </w:tc>
      </w:tr>
      <w:tr>
        <w:trPr>
          <w:tblHeader w:val="false"/>
        </w:trPr>
        <w:tc>
          <w:tcPr>
            <w:tcW w:type="dxa" w:w="321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CRM-FM-006</w:t>
            </w:r>
          </w:p>
        </w:tc>
        <w:tc>
          <w:tcPr>
            <w:tcW w:type="dxa" w:w="321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Configurable scholarship and fee waiver categories (merit, sports, management quota, early bird, sibling) shall be manageable within the CRM</w:t>
            </w:r>
          </w:p>
        </w:tc>
        <w:tc>
          <w:tcPr>
            <w:tcW w:type="dxa" w:w="3214"/>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Must Have</w:t>
            </w:r>
          </w:p>
        </w:tc>
      </w:tr>
      <w:tr>
        <w:trPr>
          <w:tblHeader w:val="false"/>
        </w:trPr>
        <w:tc>
          <w:tcPr>
            <w:tcW w:type="dxa" w:w="321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CRM-FM-007</w:t>
            </w:r>
          </w:p>
        </w:tc>
        <w:tc>
          <w:tcPr>
            <w:tcW w:type="dxa" w:w="321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Scholarship eligibility evaluation against defined criteria shall be automatable</w:t>
            </w:r>
          </w:p>
        </w:tc>
        <w:tc>
          <w:tcPr>
            <w:tcW w:type="dxa" w:w="3214"/>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Should Have</w:t>
            </w:r>
          </w:p>
        </w:tc>
      </w:tr>
      <w:tr>
        <w:trPr>
          <w:tblHeader w:val="false"/>
        </w:trPr>
        <w:tc>
          <w:tcPr>
            <w:tcW w:type="dxa" w:w="321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CRM-FM-008</w:t>
            </w:r>
          </w:p>
        </w:tc>
        <w:tc>
          <w:tcPr>
            <w:tcW w:type="dxa" w:w="321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Fee discount and waiver approval workflow (counsellor → manager → finance head) shall be supported</w:t>
            </w:r>
          </w:p>
        </w:tc>
        <w:tc>
          <w:tcPr>
            <w:tcW w:type="dxa" w:w="3214"/>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Must Have</w:t>
            </w:r>
          </w:p>
        </w:tc>
      </w:tr>
      <w:tr>
        <w:trPr>
          <w:tblHeader w:val="false"/>
        </w:trPr>
        <w:tc>
          <w:tcPr>
            <w:tcW w:type="dxa" w:w="321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CRM-FM-009</w:t>
            </w:r>
          </w:p>
        </w:tc>
        <w:tc>
          <w:tcPr>
            <w:tcW w:type="dxa" w:w="321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Payment instalment plans for initial fee shall be configurable</w:t>
            </w:r>
          </w:p>
        </w:tc>
        <w:tc>
          <w:tcPr>
            <w:tcW w:type="dxa" w:w="3214"/>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Should Have</w:t>
            </w:r>
          </w:p>
        </w:tc>
      </w:tr>
      <w:tr>
        <w:trPr>
          <w:tblHeader w:val="false"/>
        </w:trPr>
        <w:tc>
          <w:tcPr>
            <w:tcW w:type="dxa" w:w="321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CRM-FM-010</w:t>
            </w:r>
          </w:p>
        </w:tc>
        <w:tc>
          <w:tcPr>
            <w:tcW w:type="dxa" w:w="321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Automated payment reminders (via WhatsApp, SMS, email) before due dates shall be supported</w:t>
            </w:r>
          </w:p>
        </w:tc>
        <w:tc>
          <w:tcPr>
            <w:tcW w:type="dxa" w:w="3214"/>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Must Have</w:t>
            </w:r>
          </w:p>
        </w:tc>
      </w:tr>
      <w:tr>
        <w:trPr>
          <w:tblHeader w:val="false"/>
        </w:trPr>
        <w:tc>
          <w:tcPr>
            <w:tcW w:type="dxa" w:w="321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CRM-FM-011</w:t>
            </w:r>
          </w:p>
        </w:tc>
        <w:tc>
          <w:tcPr>
            <w:tcW w:type="dxa" w:w="321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Fee refund request workflow shall be initiated from CRM for applicants who withdraw</w:t>
            </w:r>
          </w:p>
        </w:tc>
        <w:tc>
          <w:tcPr>
            <w:tcW w:type="dxa" w:w="3214"/>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Should Have</w:t>
            </w:r>
          </w:p>
        </w:tc>
      </w:tr>
      <w:tr>
        <w:trPr>
          <w:tblHeader w:val="false"/>
        </w:trPr>
        <w:tc>
          <w:tcPr>
            <w:tcW w:type="dxa" w:w="321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CRM-FM-012</w:t>
            </w:r>
          </w:p>
        </w:tc>
        <w:tc>
          <w:tcPr>
            <w:tcW w:type="dxa" w:w="321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Financial dashboards shall show: total fees collected, pending collections, refunds, scholarship impact, and revenue forecast by programme</w:t>
            </w:r>
          </w:p>
        </w:tc>
        <w:tc>
          <w:tcPr>
            <w:tcW w:type="dxa" w:w="3214"/>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Must Have</w:t>
            </w:r>
          </w:p>
        </w:tc>
      </w:tr>
      <w:tr>
        <w:trPr>
          <w:tblHeader w:val="false"/>
        </w:trPr>
        <w:tc>
          <w:tcPr>
            <w:tcW w:type="dxa" w:w="321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CRM-FM-013</w:t>
            </w:r>
          </w:p>
        </w:tc>
        <w:tc>
          <w:tcPr>
            <w:tcW w:type="dxa" w:w="321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Upon enrolment conversion, CRM fee records shall be migrated to the A2A ERP Fee module — no re-entry</w:t>
            </w:r>
          </w:p>
        </w:tc>
        <w:tc>
          <w:tcPr>
            <w:tcW w:type="dxa" w:w="3214"/>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Must Have</w:t>
            </w:r>
          </w:p>
        </w:tc>
      </w:tr>
    </w:tbl>
    <w:p>
      <w:pPr>
        <w:spacing w:after="160" w:before="80"/>
      </w:pPr>
    </w:p>
    <w:p>
      <w:pPr>
        <w:spacing w:after="40" w:before="40"/>
      </w:pPr>
    </w:p>
    <w:p>
      <w:pPr>
        <w:pBdr>
          <w:bottom w:val="single" w:color="D1D5DB" w:sz="3" w:space="1"/>
        </w:pBdr>
        <w:spacing w:after="80" w:before="80"/>
      </w:pPr>
    </w:p>
    <w:p>
      <w:pPr>
        <w:spacing w:after="40" w:before="40"/>
      </w:pPr>
    </w:p>
    <w:p>
      <w:pPr>
        <w:pStyle w:val="Heading3"/>
        <w:spacing w:after="100" w:before="200"/>
      </w:pPr>
      <w:r>
        <w:rPr>
          <w:rFonts w:ascii="Arial" w:cs="Arial" w:eastAsia="Arial" w:hAnsi="Arial"/>
          <w:b/>
          <w:bCs/>
          <w:i w:val="false"/>
          <w:iCs w:val="false"/>
          <w:color w:val="2563EB"/>
          <w:sz w:val="24"/>
          <w:szCs w:val="24"/>
        </w:rPr>
        <w:t xml:space="preserve">8.8 Document Management</w:t>
      </w:r>
    </w:p>
    <w:p>
      <w:pPr>
        <w:spacing w:after="40" w:before="40"/>
      </w:pPr>
    </w:p>
    <w:p>
      <w:pPr>
        <w:spacing w:after="60" w:before="60"/>
        <w:jc w:val="both"/>
      </w:pPr>
      <w:r>
        <w:rPr>
          <w:rFonts w:ascii="Arial" w:cs="Arial" w:eastAsia="Arial" w:hAnsi="Arial"/>
          <w:b/>
          <w:bCs/>
          <w:i w:val="false"/>
          <w:iCs w:val="false"/>
          <w:color w:val="111827"/>
          <w:sz w:val="20"/>
          <w:szCs w:val="20"/>
        </w:rPr>
        <w:t xml:space="preserve">Purpose:</w:t>
      </w:r>
      <w:r>
        <w:rPr>
          <w:rFonts w:ascii="Arial" w:cs="Arial" w:eastAsia="Arial" w:hAnsi="Arial"/>
          <w:b w:val="false"/>
          <w:bCs w:val="false"/>
          <w:i w:val="false"/>
          <w:iCs w:val="false"/>
          <w:color w:val="111827"/>
          <w:sz w:val="20"/>
          <w:szCs w:val="20"/>
        </w:rPr>
        <w:t xml:space="preserve"> Collect, track and verify all documents required during the admissions process, with API Setu integration for Aadhaar/DigiLocker verification.</w:t>
      </w:r>
    </w:p>
    <w:p>
      <w:pPr>
        <w:spacing w:after="40" w:before="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4"/>
      </w:tblGrid>
      <w:tr>
        <w:trPr>
          <w:tblHeader/>
        </w:trPr>
        <w:tc>
          <w:tcPr>
            <w:tcW w:type="dxa" w:w="3212"/>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top"/>
          </w:tcPr>
          <w:p>
            <w:pPr>
              <w:spacing w:after="0"/>
            </w:pPr>
            <w:r>
              <w:rPr>
                <w:rFonts w:ascii="Arial" w:cs="Arial" w:eastAsia="Arial" w:hAnsi="Arial"/>
                <w:b/>
                <w:bCs/>
                <w:i w:val="false"/>
                <w:iCs w:val="false"/>
                <w:color w:val="FFFFFF"/>
                <w:sz w:val="18"/>
                <w:szCs w:val="18"/>
              </w:rPr>
              <w:t xml:space="preserve">Req ID</w:t>
            </w:r>
          </w:p>
        </w:tc>
        <w:tc>
          <w:tcPr>
            <w:tcW w:type="dxa" w:w="3212"/>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top"/>
          </w:tcPr>
          <w:p>
            <w:pPr>
              <w:spacing w:after="0"/>
            </w:pPr>
            <w:r>
              <w:rPr>
                <w:rFonts w:ascii="Arial" w:cs="Arial" w:eastAsia="Arial" w:hAnsi="Arial"/>
                <w:b/>
                <w:bCs/>
                <w:i w:val="false"/>
                <w:iCs w:val="false"/>
                <w:color w:val="FFFFFF"/>
                <w:sz w:val="18"/>
                <w:szCs w:val="18"/>
              </w:rPr>
              <w:t xml:space="preserve">Requirement</w:t>
            </w:r>
          </w:p>
        </w:tc>
        <w:tc>
          <w:tcPr>
            <w:tcW w:type="dxa" w:w="3214"/>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top"/>
          </w:tcPr>
          <w:p>
            <w:pPr>
              <w:spacing w:after="0"/>
            </w:pPr>
            <w:r>
              <w:rPr>
                <w:rFonts w:ascii="Arial" w:cs="Arial" w:eastAsia="Arial" w:hAnsi="Arial"/>
                <w:b/>
                <w:bCs/>
                <w:i w:val="false"/>
                <w:iCs w:val="false"/>
                <w:color w:val="FFFFFF"/>
                <w:sz w:val="18"/>
                <w:szCs w:val="18"/>
              </w:rPr>
              <w:t xml:space="preserve">Priority</w:t>
            </w:r>
          </w:p>
        </w:tc>
      </w:tr>
      <w:tr>
        <w:trPr>
          <w:tblHeader w:val="false"/>
        </w:trPr>
        <w:tc>
          <w:tcPr>
            <w:tcW w:type="dxa" w:w="321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CRM-DM-001</w:t>
            </w:r>
          </w:p>
        </w:tc>
        <w:tc>
          <w:tcPr>
            <w:tcW w:type="dxa" w:w="321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Configurable document checklists per programme (e.g., 10th marksheet, 12th marksheet, ID proof, caste certificate, entrance exam scorecard) shall be definable</w:t>
            </w:r>
          </w:p>
        </w:tc>
        <w:tc>
          <w:tcPr>
            <w:tcW w:type="dxa" w:w="3214"/>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Must Have</w:t>
            </w:r>
          </w:p>
        </w:tc>
      </w:tr>
      <w:tr>
        <w:trPr>
          <w:tblHeader w:val="false"/>
        </w:trPr>
        <w:tc>
          <w:tcPr>
            <w:tcW w:type="dxa" w:w="321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CRM-DM-002</w:t>
            </w:r>
          </w:p>
        </w:tc>
        <w:tc>
          <w:tcPr>
            <w:tcW w:type="dxa" w:w="321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Applicants shall be able to upload documents via student portal, WhatsApp bot, or email</w:t>
            </w:r>
          </w:p>
        </w:tc>
        <w:tc>
          <w:tcPr>
            <w:tcW w:type="dxa" w:w="3214"/>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Must Have</w:t>
            </w:r>
          </w:p>
        </w:tc>
      </w:tr>
      <w:tr>
        <w:trPr>
          <w:tblHeader w:val="false"/>
        </w:trPr>
        <w:tc>
          <w:tcPr>
            <w:tcW w:type="dxa" w:w="321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CRM-DM-003</w:t>
            </w:r>
          </w:p>
        </w:tc>
        <w:tc>
          <w:tcPr>
            <w:tcW w:type="dxa" w:w="321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Document status tracking (Not Submitted / Submitted / Under Review / Verified / Rejected) shall be maintained per document per applicant</w:t>
            </w:r>
          </w:p>
        </w:tc>
        <w:tc>
          <w:tcPr>
            <w:tcW w:type="dxa" w:w="3214"/>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Must Have</w:t>
            </w:r>
          </w:p>
        </w:tc>
      </w:tr>
      <w:tr>
        <w:trPr>
          <w:tblHeader w:val="false"/>
        </w:trPr>
        <w:tc>
          <w:tcPr>
            <w:tcW w:type="dxa" w:w="321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CRM-DM-004</w:t>
            </w:r>
          </w:p>
        </w:tc>
        <w:tc>
          <w:tcPr>
            <w:tcW w:type="dxa" w:w="321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Admissions staff shall be able to verify, approve or reject documents with comments</w:t>
            </w:r>
          </w:p>
        </w:tc>
        <w:tc>
          <w:tcPr>
            <w:tcW w:type="dxa" w:w="3214"/>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Must Have</w:t>
            </w:r>
          </w:p>
        </w:tc>
      </w:tr>
      <w:tr>
        <w:trPr>
          <w:tblHeader w:val="false"/>
        </w:trPr>
        <w:tc>
          <w:tcPr>
            <w:tcW w:type="dxa" w:w="321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CRM-DM-005</w:t>
            </w:r>
          </w:p>
        </w:tc>
        <w:tc>
          <w:tcPr>
            <w:tcW w:type="dxa" w:w="321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Automated reminders shall be sent for pending document submissions</w:t>
            </w:r>
          </w:p>
        </w:tc>
        <w:tc>
          <w:tcPr>
            <w:tcW w:type="dxa" w:w="3214"/>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Must Have</w:t>
            </w:r>
          </w:p>
        </w:tc>
      </w:tr>
      <w:tr>
        <w:trPr>
          <w:tblHeader w:val="false"/>
        </w:trPr>
        <w:tc>
          <w:tcPr>
            <w:tcW w:type="dxa" w:w="321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CRM-DM-006</w:t>
            </w:r>
          </w:p>
        </w:tc>
        <w:tc>
          <w:tcPr>
            <w:tcW w:type="dxa" w:w="321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Integration with DigiLocker via API Setu shall enable applicants to share verified documents directly</w:t>
            </w:r>
          </w:p>
        </w:tc>
        <w:tc>
          <w:tcPr>
            <w:tcW w:type="dxa" w:w="3214"/>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Should Have</w:t>
            </w:r>
          </w:p>
        </w:tc>
      </w:tr>
      <w:tr>
        <w:trPr>
          <w:tblHeader w:val="false"/>
        </w:trPr>
        <w:tc>
          <w:tcPr>
            <w:tcW w:type="dxa" w:w="321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CRM-DM-007</w:t>
            </w:r>
          </w:p>
        </w:tc>
        <w:tc>
          <w:tcPr>
            <w:tcW w:type="dxa" w:w="321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Aadhaar-based identity verification via API Setu shall be supported (OTP-based eKYC)</w:t>
            </w:r>
          </w:p>
        </w:tc>
        <w:tc>
          <w:tcPr>
            <w:tcW w:type="dxa" w:w="3214"/>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Should Have</w:t>
            </w:r>
          </w:p>
        </w:tc>
      </w:tr>
      <w:tr>
        <w:trPr>
          <w:tblHeader w:val="false"/>
        </w:trPr>
        <w:tc>
          <w:tcPr>
            <w:tcW w:type="dxa" w:w="321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CRM-DM-008</w:t>
            </w:r>
          </w:p>
        </w:tc>
        <w:tc>
          <w:tcPr>
            <w:tcW w:type="dxa" w:w="321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Document storage shall be encrypted at rest and access-controlled by role</w:t>
            </w:r>
          </w:p>
        </w:tc>
        <w:tc>
          <w:tcPr>
            <w:tcW w:type="dxa" w:w="3214"/>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Must Have</w:t>
            </w:r>
          </w:p>
        </w:tc>
      </w:tr>
      <w:tr>
        <w:trPr>
          <w:tblHeader w:val="false"/>
        </w:trPr>
        <w:tc>
          <w:tcPr>
            <w:tcW w:type="dxa" w:w="321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CRM-DM-009</w:t>
            </w:r>
          </w:p>
        </w:tc>
        <w:tc>
          <w:tcPr>
            <w:tcW w:type="dxa" w:w="321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Bulk document download (per applicant or per programme batch) shall be available for admissions staff</w:t>
            </w:r>
          </w:p>
        </w:tc>
        <w:tc>
          <w:tcPr>
            <w:tcW w:type="dxa" w:w="3214"/>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Must Have</w:t>
            </w:r>
          </w:p>
        </w:tc>
      </w:tr>
      <w:tr>
        <w:trPr>
          <w:tblHeader w:val="false"/>
        </w:trPr>
        <w:tc>
          <w:tcPr>
            <w:tcW w:type="dxa" w:w="321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CRM-DM-010</w:t>
            </w:r>
          </w:p>
        </w:tc>
        <w:tc>
          <w:tcPr>
            <w:tcW w:type="dxa" w:w="321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Document completeness score per applicant shall be visible on the lead record</w:t>
            </w:r>
          </w:p>
        </w:tc>
        <w:tc>
          <w:tcPr>
            <w:tcW w:type="dxa" w:w="3214"/>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Must Have</w:t>
            </w:r>
          </w:p>
        </w:tc>
      </w:tr>
    </w:tbl>
    <w:p>
      <w:pPr>
        <w:spacing w:after="160" w:before="80"/>
      </w:pPr>
    </w:p>
    <w:p>
      <w:pPr>
        <w:spacing w:after="40" w:before="40"/>
      </w:pPr>
    </w:p>
    <w:p>
      <w:pPr>
        <w:pBdr>
          <w:bottom w:val="single" w:color="D1D5DB" w:sz="3" w:space="1"/>
        </w:pBdr>
        <w:spacing w:after="80" w:before="80"/>
      </w:pPr>
    </w:p>
    <w:p>
      <w:pPr>
        <w:spacing w:after="40" w:before="40"/>
      </w:pPr>
    </w:p>
    <w:p>
      <w:pPr>
        <w:pStyle w:val="Heading3"/>
        <w:spacing w:after="100" w:before="200"/>
      </w:pPr>
      <w:r>
        <w:rPr>
          <w:rFonts w:ascii="Arial" w:cs="Arial" w:eastAsia="Arial" w:hAnsi="Arial"/>
          <w:b/>
          <w:bCs/>
          <w:i w:val="false"/>
          <w:iCs w:val="false"/>
          <w:color w:val="2563EB"/>
          <w:sz w:val="24"/>
          <w:szCs w:val="24"/>
        </w:rPr>
        <w:t xml:space="preserve">8.9 Task, Activity and Follow-Up Management</w:t>
      </w:r>
    </w:p>
    <w:p>
      <w:pPr>
        <w:spacing w:after="40" w:before="40"/>
      </w:pPr>
    </w:p>
    <w:p>
      <w:pPr>
        <w:spacing w:after="60" w:before="60"/>
        <w:jc w:val="both"/>
      </w:pPr>
      <w:r>
        <w:rPr>
          <w:rFonts w:ascii="Arial" w:cs="Arial" w:eastAsia="Arial" w:hAnsi="Arial"/>
          <w:b/>
          <w:bCs/>
          <w:i w:val="false"/>
          <w:iCs w:val="false"/>
          <w:color w:val="111827"/>
          <w:sz w:val="20"/>
          <w:szCs w:val="20"/>
        </w:rPr>
        <w:t xml:space="preserve">Purpose:</w:t>
      </w:r>
      <w:r>
        <w:rPr>
          <w:rFonts w:ascii="Arial" w:cs="Arial" w:eastAsia="Arial" w:hAnsi="Arial"/>
          <w:b w:val="false"/>
          <w:bCs w:val="false"/>
          <w:i w:val="false"/>
          <w:iCs w:val="false"/>
          <w:color w:val="111827"/>
          <w:sz w:val="20"/>
          <w:szCs w:val="20"/>
        </w:rPr>
        <w:t xml:space="preserve"> Ensure counsellors never miss a follow-up, and managers have full visibility into team activity.</w:t>
      </w:r>
    </w:p>
    <w:p>
      <w:pPr>
        <w:spacing w:after="40" w:before="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4"/>
      </w:tblGrid>
      <w:tr>
        <w:trPr>
          <w:tblHeader/>
        </w:trPr>
        <w:tc>
          <w:tcPr>
            <w:tcW w:type="dxa" w:w="3212"/>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top"/>
          </w:tcPr>
          <w:p>
            <w:pPr>
              <w:spacing w:after="0"/>
            </w:pPr>
            <w:r>
              <w:rPr>
                <w:rFonts w:ascii="Arial" w:cs="Arial" w:eastAsia="Arial" w:hAnsi="Arial"/>
                <w:b/>
                <w:bCs/>
                <w:i w:val="false"/>
                <w:iCs w:val="false"/>
                <w:color w:val="FFFFFF"/>
                <w:sz w:val="18"/>
                <w:szCs w:val="18"/>
              </w:rPr>
              <w:t xml:space="preserve">Req ID</w:t>
            </w:r>
          </w:p>
        </w:tc>
        <w:tc>
          <w:tcPr>
            <w:tcW w:type="dxa" w:w="3212"/>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top"/>
          </w:tcPr>
          <w:p>
            <w:pPr>
              <w:spacing w:after="0"/>
            </w:pPr>
            <w:r>
              <w:rPr>
                <w:rFonts w:ascii="Arial" w:cs="Arial" w:eastAsia="Arial" w:hAnsi="Arial"/>
                <w:b/>
                <w:bCs/>
                <w:i w:val="false"/>
                <w:iCs w:val="false"/>
                <w:color w:val="FFFFFF"/>
                <w:sz w:val="18"/>
                <w:szCs w:val="18"/>
              </w:rPr>
              <w:t xml:space="preserve">Requirement</w:t>
            </w:r>
          </w:p>
        </w:tc>
        <w:tc>
          <w:tcPr>
            <w:tcW w:type="dxa" w:w="3214"/>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top"/>
          </w:tcPr>
          <w:p>
            <w:pPr>
              <w:spacing w:after="0"/>
            </w:pPr>
            <w:r>
              <w:rPr>
                <w:rFonts w:ascii="Arial" w:cs="Arial" w:eastAsia="Arial" w:hAnsi="Arial"/>
                <w:b/>
                <w:bCs/>
                <w:i w:val="false"/>
                <w:iCs w:val="false"/>
                <w:color w:val="FFFFFF"/>
                <w:sz w:val="18"/>
                <w:szCs w:val="18"/>
              </w:rPr>
              <w:t xml:space="preserve">Priority</w:t>
            </w:r>
          </w:p>
        </w:tc>
      </w:tr>
      <w:tr>
        <w:trPr>
          <w:tblHeader w:val="false"/>
        </w:trPr>
        <w:tc>
          <w:tcPr>
            <w:tcW w:type="dxa" w:w="321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CRM-TF-001</w:t>
            </w:r>
          </w:p>
        </w:tc>
        <w:tc>
          <w:tcPr>
            <w:tcW w:type="dxa" w:w="321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Counsellors shall be able to create tasks (call, email, WhatsApp, meeting, document review) linked to a lead</w:t>
            </w:r>
          </w:p>
        </w:tc>
        <w:tc>
          <w:tcPr>
            <w:tcW w:type="dxa" w:w="3214"/>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Must Have</w:t>
            </w:r>
          </w:p>
        </w:tc>
      </w:tr>
      <w:tr>
        <w:trPr>
          <w:tblHeader w:val="false"/>
        </w:trPr>
        <w:tc>
          <w:tcPr>
            <w:tcW w:type="dxa" w:w="321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CRM-TF-002</w:t>
            </w:r>
          </w:p>
        </w:tc>
        <w:tc>
          <w:tcPr>
            <w:tcW w:type="dxa" w:w="321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System shall auto-create follow-up tasks based on configured rules (e.g., no contact in 3 days → auto-create call task)</w:t>
            </w:r>
          </w:p>
        </w:tc>
        <w:tc>
          <w:tcPr>
            <w:tcW w:type="dxa" w:w="3214"/>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Must Have</w:t>
            </w:r>
          </w:p>
        </w:tc>
      </w:tr>
      <w:tr>
        <w:trPr>
          <w:tblHeader w:val="false"/>
        </w:trPr>
        <w:tc>
          <w:tcPr>
            <w:tcW w:type="dxa" w:w="321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CRM-TF-003</w:t>
            </w:r>
          </w:p>
        </w:tc>
        <w:tc>
          <w:tcPr>
            <w:tcW w:type="dxa" w:w="321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Counsellor's daily task list shall be displayed on their dashboard, sorted by priority and due time</w:t>
            </w:r>
          </w:p>
        </w:tc>
        <w:tc>
          <w:tcPr>
            <w:tcW w:type="dxa" w:w="3214"/>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Must Have</w:t>
            </w:r>
          </w:p>
        </w:tc>
      </w:tr>
      <w:tr>
        <w:trPr>
          <w:tblHeader w:val="false"/>
        </w:trPr>
        <w:tc>
          <w:tcPr>
            <w:tcW w:type="dxa" w:w="321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CRM-TF-004</w:t>
            </w:r>
          </w:p>
        </w:tc>
        <w:tc>
          <w:tcPr>
            <w:tcW w:type="dxa" w:w="321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Overdue tasks shall be flagged prominently and escalated per configured rules</w:t>
            </w:r>
          </w:p>
        </w:tc>
        <w:tc>
          <w:tcPr>
            <w:tcW w:type="dxa" w:w="3214"/>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Must Have</w:t>
            </w:r>
          </w:p>
        </w:tc>
      </w:tr>
      <w:tr>
        <w:trPr>
          <w:tblHeader w:val="false"/>
        </w:trPr>
        <w:tc>
          <w:tcPr>
            <w:tcW w:type="dxa" w:w="321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CRM-TF-005</w:t>
            </w:r>
          </w:p>
        </w:tc>
        <w:tc>
          <w:tcPr>
            <w:tcW w:type="dxa" w:w="321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Task completion shall require a disposition/outcome (e.g., Reached-Interested, Reached-Not Interested, Not Reachable, Call Back Requested)</w:t>
            </w:r>
          </w:p>
        </w:tc>
        <w:tc>
          <w:tcPr>
            <w:tcW w:type="dxa" w:w="3214"/>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Must Have</w:t>
            </w:r>
          </w:p>
        </w:tc>
      </w:tr>
      <w:tr>
        <w:trPr>
          <w:tblHeader w:val="false"/>
        </w:trPr>
        <w:tc>
          <w:tcPr>
            <w:tcW w:type="dxa" w:w="321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CRM-TF-006</w:t>
            </w:r>
          </w:p>
        </w:tc>
        <w:tc>
          <w:tcPr>
            <w:tcW w:type="dxa" w:w="321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Managers shall have a team-level task and activity view</w:t>
            </w:r>
          </w:p>
        </w:tc>
        <w:tc>
          <w:tcPr>
            <w:tcW w:type="dxa" w:w="3214"/>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Must Have</w:t>
            </w:r>
          </w:p>
        </w:tc>
      </w:tr>
      <w:tr>
        <w:trPr>
          <w:tblHeader w:val="false"/>
        </w:trPr>
        <w:tc>
          <w:tcPr>
            <w:tcW w:type="dxa" w:w="321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CRM-TF-007</w:t>
            </w:r>
          </w:p>
        </w:tc>
        <w:tc>
          <w:tcPr>
            <w:tcW w:type="dxa" w:w="321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Activity feed (what each counsellor has done today) shall be available to managers in real time</w:t>
            </w:r>
          </w:p>
        </w:tc>
        <w:tc>
          <w:tcPr>
            <w:tcW w:type="dxa" w:w="3214"/>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Must Have</w:t>
            </w:r>
          </w:p>
        </w:tc>
      </w:tr>
      <w:tr>
        <w:trPr>
          <w:tblHeader w:val="false"/>
        </w:trPr>
        <w:tc>
          <w:tcPr>
            <w:tcW w:type="dxa" w:w="321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CRM-TF-008</w:t>
            </w:r>
          </w:p>
        </w:tc>
        <w:tc>
          <w:tcPr>
            <w:tcW w:type="dxa" w:w="321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Bulk task assignment and reassignment shall be available</w:t>
            </w:r>
          </w:p>
        </w:tc>
        <w:tc>
          <w:tcPr>
            <w:tcW w:type="dxa" w:w="3214"/>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Must Have</w:t>
            </w:r>
          </w:p>
        </w:tc>
      </w:tr>
      <w:tr>
        <w:trPr>
          <w:tblHeader w:val="false"/>
        </w:trPr>
        <w:tc>
          <w:tcPr>
            <w:tcW w:type="dxa" w:w="321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CRM-TF-009</w:t>
            </w:r>
          </w:p>
        </w:tc>
        <w:tc>
          <w:tcPr>
            <w:tcW w:type="dxa" w:w="321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Calendar view of tasks (daily, weekly, monthly) shall be available for counsellors</w:t>
            </w:r>
          </w:p>
        </w:tc>
        <w:tc>
          <w:tcPr>
            <w:tcW w:type="dxa" w:w="3214"/>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Must Have</w:t>
            </w:r>
          </w:p>
        </w:tc>
      </w:tr>
    </w:tbl>
    <w:p>
      <w:pPr>
        <w:spacing w:after="160" w:before="80"/>
      </w:pPr>
    </w:p>
    <w:p>
      <w:pPr>
        <w:spacing w:after="40" w:before="40"/>
      </w:pPr>
    </w:p>
    <w:p>
      <w:pPr>
        <w:pBdr>
          <w:bottom w:val="single" w:color="D1D5DB" w:sz="3" w:space="1"/>
        </w:pBdr>
        <w:spacing w:after="80" w:before="80"/>
      </w:pPr>
    </w:p>
    <w:p>
      <w:pPr>
        <w:spacing w:after="40" w:before="40"/>
      </w:pPr>
    </w:p>
    <w:p>
      <w:pPr>
        <w:pStyle w:val="Heading3"/>
        <w:spacing w:after="100" w:before="200"/>
      </w:pPr>
      <w:r>
        <w:rPr>
          <w:rFonts w:ascii="Arial" w:cs="Arial" w:eastAsia="Arial" w:hAnsi="Arial"/>
          <w:b/>
          <w:bCs/>
          <w:i w:val="false"/>
          <w:iCs w:val="false"/>
          <w:color w:val="2563EB"/>
          <w:sz w:val="24"/>
          <w:szCs w:val="24"/>
        </w:rPr>
        <w:t xml:space="preserve">8.10 Telecalling and Call Centre Module</w:t>
      </w:r>
    </w:p>
    <w:p>
      <w:pPr>
        <w:spacing w:after="40" w:before="40"/>
      </w:pPr>
    </w:p>
    <w:p>
      <w:pPr>
        <w:spacing w:after="60" w:before="60"/>
        <w:jc w:val="both"/>
      </w:pPr>
      <w:r>
        <w:rPr>
          <w:rFonts w:ascii="Arial" w:cs="Arial" w:eastAsia="Arial" w:hAnsi="Arial"/>
          <w:b/>
          <w:bCs/>
          <w:i w:val="false"/>
          <w:iCs w:val="false"/>
          <w:color w:val="111827"/>
          <w:sz w:val="20"/>
          <w:szCs w:val="20"/>
        </w:rPr>
        <w:t xml:space="preserve">Purpose:</w:t>
      </w:r>
      <w:r>
        <w:rPr>
          <w:rFonts w:ascii="Arial" w:cs="Arial" w:eastAsia="Arial" w:hAnsi="Arial"/>
          <w:b w:val="false"/>
          <w:bCs w:val="false"/>
          <w:i w:val="false"/>
          <w:iCs w:val="false"/>
          <w:color w:val="111827"/>
          <w:sz w:val="20"/>
          <w:szCs w:val="20"/>
        </w:rPr>
        <w:t xml:space="preserve"> Enable high-volume outbound calling campaigns and structured inbound call management for large admissions teams.</w:t>
      </w:r>
    </w:p>
    <w:p>
      <w:pPr>
        <w:spacing w:after="40" w:before="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4"/>
      </w:tblGrid>
      <w:tr>
        <w:trPr>
          <w:tblHeader/>
        </w:trPr>
        <w:tc>
          <w:tcPr>
            <w:tcW w:type="dxa" w:w="3212"/>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top"/>
          </w:tcPr>
          <w:p>
            <w:pPr>
              <w:spacing w:after="0"/>
            </w:pPr>
            <w:r>
              <w:rPr>
                <w:rFonts w:ascii="Arial" w:cs="Arial" w:eastAsia="Arial" w:hAnsi="Arial"/>
                <w:b/>
                <w:bCs/>
                <w:i w:val="false"/>
                <w:iCs w:val="false"/>
                <w:color w:val="FFFFFF"/>
                <w:sz w:val="18"/>
                <w:szCs w:val="18"/>
              </w:rPr>
              <w:t xml:space="preserve">Req ID</w:t>
            </w:r>
          </w:p>
        </w:tc>
        <w:tc>
          <w:tcPr>
            <w:tcW w:type="dxa" w:w="3212"/>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top"/>
          </w:tcPr>
          <w:p>
            <w:pPr>
              <w:spacing w:after="0"/>
            </w:pPr>
            <w:r>
              <w:rPr>
                <w:rFonts w:ascii="Arial" w:cs="Arial" w:eastAsia="Arial" w:hAnsi="Arial"/>
                <w:b/>
                <w:bCs/>
                <w:i w:val="false"/>
                <w:iCs w:val="false"/>
                <w:color w:val="FFFFFF"/>
                <w:sz w:val="18"/>
                <w:szCs w:val="18"/>
              </w:rPr>
              <w:t xml:space="preserve">Requirement</w:t>
            </w:r>
          </w:p>
        </w:tc>
        <w:tc>
          <w:tcPr>
            <w:tcW w:type="dxa" w:w="3214"/>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top"/>
          </w:tcPr>
          <w:p>
            <w:pPr>
              <w:spacing w:after="0"/>
            </w:pPr>
            <w:r>
              <w:rPr>
                <w:rFonts w:ascii="Arial" w:cs="Arial" w:eastAsia="Arial" w:hAnsi="Arial"/>
                <w:b/>
                <w:bCs/>
                <w:i w:val="false"/>
                <w:iCs w:val="false"/>
                <w:color w:val="FFFFFF"/>
                <w:sz w:val="18"/>
                <w:szCs w:val="18"/>
              </w:rPr>
              <w:t xml:space="preserve">Priority</w:t>
            </w:r>
          </w:p>
        </w:tc>
      </w:tr>
      <w:tr>
        <w:trPr>
          <w:tblHeader w:val="false"/>
        </w:trPr>
        <w:tc>
          <w:tcPr>
            <w:tcW w:type="dxa" w:w="321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CRM-TC-001</w:t>
            </w:r>
          </w:p>
        </w:tc>
        <w:tc>
          <w:tcPr>
            <w:tcW w:type="dxa" w:w="321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Power/auto-dialler capability shall enable counsellors to work through calling lists efficiently</w:t>
            </w:r>
          </w:p>
        </w:tc>
        <w:tc>
          <w:tcPr>
            <w:tcW w:type="dxa" w:w="3214"/>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Should Have</w:t>
            </w:r>
          </w:p>
        </w:tc>
      </w:tr>
      <w:tr>
        <w:trPr>
          <w:tblHeader w:val="false"/>
        </w:trPr>
        <w:tc>
          <w:tcPr>
            <w:tcW w:type="dxa" w:w="321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CRM-TC-002</w:t>
            </w:r>
          </w:p>
        </w:tc>
        <w:tc>
          <w:tcPr>
            <w:tcW w:type="dxa" w:w="321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Call scripts shall be displayable to counsellors during an active call, with branching based on responses</w:t>
            </w:r>
          </w:p>
        </w:tc>
        <w:tc>
          <w:tcPr>
            <w:tcW w:type="dxa" w:w="3214"/>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Should Have</w:t>
            </w:r>
          </w:p>
        </w:tc>
      </w:tr>
      <w:tr>
        <w:trPr>
          <w:tblHeader w:val="false"/>
        </w:trPr>
        <w:tc>
          <w:tcPr>
            <w:tcW w:type="dxa" w:w="321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CRM-TC-003</w:t>
            </w:r>
          </w:p>
        </w:tc>
        <w:tc>
          <w:tcPr>
            <w:tcW w:type="dxa" w:w="321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Call dispositions shall be configurable (Interested, Not Interested, Call Back, Wrong Number, Not Reachable, Number Invalid, etc.)</w:t>
            </w:r>
          </w:p>
        </w:tc>
        <w:tc>
          <w:tcPr>
            <w:tcW w:type="dxa" w:w="3214"/>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Must Have</w:t>
            </w:r>
          </w:p>
        </w:tc>
      </w:tr>
      <w:tr>
        <w:trPr>
          <w:tblHeader w:val="false"/>
        </w:trPr>
        <w:tc>
          <w:tcPr>
            <w:tcW w:type="dxa" w:w="321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CRM-TC-004</w:t>
            </w:r>
          </w:p>
        </w:tc>
        <w:tc>
          <w:tcPr>
            <w:tcW w:type="dxa" w:w="321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Post-call, the system shall automatically prompt the counsellor to schedule the next follow-up</w:t>
            </w:r>
          </w:p>
        </w:tc>
        <w:tc>
          <w:tcPr>
            <w:tcW w:type="dxa" w:w="3214"/>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Must Have</w:t>
            </w:r>
          </w:p>
        </w:tc>
      </w:tr>
      <w:tr>
        <w:trPr>
          <w:tblHeader w:val="false"/>
        </w:trPr>
        <w:tc>
          <w:tcPr>
            <w:tcW w:type="dxa" w:w="321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CRM-TC-005</w:t>
            </w:r>
          </w:p>
        </w:tc>
        <w:tc>
          <w:tcPr>
            <w:tcW w:type="dxa" w:w="321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Supervisor/manager shall be able to listen to live calls (barge-in), whisper to counsellors, or take over calls</w:t>
            </w:r>
          </w:p>
        </w:tc>
        <w:tc>
          <w:tcPr>
            <w:tcW w:type="dxa" w:w="3214"/>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Should Have</w:t>
            </w:r>
          </w:p>
        </w:tc>
      </w:tr>
      <w:tr>
        <w:trPr>
          <w:tblHeader w:val="false"/>
        </w:trPr>
        <w:tc>
          <w:tcPr>
            <w:tcW w:type="dxa" w:w="321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CRM-TC-006</w:t>
            </w:r>
          </w:p>
        </w:tc>
        <w:tc>
          <w:tcPr>
            <w:tcW w:type="dxa" w:w="321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Calling campaign management (define list, assign agents, set time window, track progress) shall be available</w:t>
            </w:r>
          </w:p>
        </w:tc>
        <w:tc>
          <w:tcPr>
            <w:tcW w:type="dxa" w:w="3214"/>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Must Have</w:t>
            </w:r>
          </w:p>
        </w:tc>
      </w:tr>
      <w:tr>
        <w:trPr>
          <w:tblHeader w:val="false"/>
        </w:trPr>
        <w:tc>
          <w:tcPr>
            <w:tcW w:type="dxa" w:w="321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CRM-TC-007</w:t>
            </w:r>
          </w:p>
        </w:tc>
        <w:tc>
          <w:tcPr>
            <w:tcW w:type="dxa" w:w="321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Call centre performance dashboard (calls made, talk time, connects, conversions per agent) shall be available</w:t>
            </w:r>
          </w:p>
        </w:tc>
        <w:tc>
          <w:tcPr>
            <w:tcW w:type="dxa" w:w="3214"/>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Must Have</w:t>
            </w:r>
          </w:p>
        </w:tc>
      </w:tr>
      <w:tr>
        <w:trPr>
          <w:tblHeader w:val="false"/>
        </w:trPr>
        <w:tc>
          <w:tcPr>
            <w:tcW w:type="dxa" w:w="321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CRM-TC-008</w:t>
            </w:r>
          </w:p>
        </w:tc>
        <w:tc>
          <w:tcPr>
            <w:tcW w:type="dxa" w:w="321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Automatic call recording with storage, playback and search shall be supported (with DPDP consent compliance)</w:t>
            </w:r>
          </w:p>
        </w:tc>
        <w:tc>
          <w:tcPr>
            <w:tcW w:type="dxa" w:w="3214"/>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Must Have</w:t>
            </w:r>
          </w:p>
        </w:tc>
      </w:tr>
      <w:tr>
        <w:trPr>
          <w:tblHeader w:val="false"/>
        </w:trPr>
        <w:tc>
          <w:tcPr>
            <w:tcW w:type="dxa" w:w="321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CRM-TC-009</w:t>
            </w:r>
          </w:p>
        </w:tc>
        <w:tc>
          <w:tcPr>
            <w:tcW w:type="dxa" w:w="321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Do-Not-Call (DNC) list management shall be built in</w:t>
            </w:r>
          </w:p>
        </w:tc>
        <w:tc>
          <w:tcPr>
            <w:tcW w:type="dxa" w:w="3214"/>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Must Have</w:t>
            </w:r>
          </w:p>
        </w:tc>
      </w:tr>
    </w:tbl>
    <w:p>
      <w:pPr>
        <w:spacing w:after="160" w:before="80"/>
      </w:pPr>
    </w:p>
    <w:p>
      <w:pPr>
        <w:spacing w:after="40" w:before="40"/>
      </w:pPr>
    </w:p>
    <w:p>
      <w:pPr>
        <w:pBdr>
          <w:bottom w:val="single" w:color="D1D5DB" w:sz="3" w:space="1"/>
        </w:pBdr>
        <w:spacing w:after="80" w:before="80"/>
      </w:pPr>
    </w:p>
    <w:p>
      <w:pPr>
        <w:spacing w:after="40" w:before="40"/>
      </w:pPr>
    </w:p>
    <w:p>
      <w:pPr>
        <w:pStyle w:val="Heading3"/>
        <w:spacing w:after="100" w:before="200"/>
      </w:pPr>
      <w:r>
        <w:rPr>
          <w:rFonts w:ascii="Arial" w:cs="Arial" w:eastAsia="Arial" w:hAnsi="Arial"/>
          <w:b/>
          <w:bCs/>
          <w:i w:val="false"/>
          <w:iCs w:val="false"/>
          <w:color w:val="2563EB"/>
          <w:sz w:val="24"/>
          <w:szCs w:val="24"/>
        </w:rPr>
        <w:t xml:space="preserve">8.11 Student Portal and Self-Service</w:t>
      </w:r>
    </w:p>
    <w:p>
      <w:pPr>
        <w:spacing w:after="40" w:before="40"/>
      </w:pPr>
    </w:p>
    <w:p>
      <w:pPr>
        <w:spacing w:after="60" w:before="60"/>
        <w:jc w:val="both"/>
      </w:pPr>
      <w:r>
        <w:rPr>
          <w:rFonts w:ascii="Arial" w:cs="Arial" w:eastAsia="Arial" w:hAnsi="Arial"/>
          <w:b/>
          <w:bCs/>
          <w:i w:val="false"/>
          <w:iCs w:val="false"/>
          <w:color w:val="111827"/>
          <w:sz w:val="20"/>
          <w:szCs w:val="20"/>
        </w:rPr>
        <w:t xml:space="preserve">Purpose:</w:t>
      </w:r>
      <w:r>
        <w:rPr>
          <w:rFonts w:ascii="Arial" w:cs="Arial" w:eastAsia="Arial" w:hAnsi="Arial"/>
          <w:b w:val="false"/>
          <w:bCs w:val="false"/>
          <w:i w:val="false"/>
          <w:iCs w:val="false"/>
          <w:color w:val="111827"/>
          <w:sz w:val="20"/>
          <w:szCs w:val="20"/>
        </w:rPr>
        <w:t xml:space="preserve"> Provide applicants with a branded, self-service portal to track application status, upload documents, make payments, book counselling appointments, and communicate with the institution.</w:t>
      </w:r>
    </w:p>
    <w:p>
      <w:pPr>
        <w:spacing w:after="40" w:before="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4"/>
      </w:tblGrid>
      <w:tr>
        <w:trPr>
          <w:tblHeader/>
        </w:trPr>
        <w:tc>
          <w:tcPr>
            <w:tcW w:type="dxa" w:w="3212"/>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top"/>
          </w:tcPr>
          <w:p>
            <w:pPr>
              <w:spacing w:after="0"/>
            </w:pPr>
            <w:r>
              <w:rPr>
                <w:rFonts w:ascii="Arial" w:cs="Arial" w:eastAsia="Arial" w:hAnsi="Arial"/>
                <w:b/>
                <w:bCs/>
                <w:i w:val="false"/>
                <w:iCs w:val="false"/>
                <w:color w:val="FFFFFF"/>
                <w:sz w:val="18"/>
                <w:szCs w:val="18"/>
              </w:rPr>
              <w:t xml:space="preserve">Req ID</w:t>
            </w:r>
          </w:p>
        </w:tc>
        <w:tc>
          <w:tcPr>
            <w:tcW w:type="dxa" w:w="3212"/>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top"/>
          </w:tcPr>
          <w:p>
            <w:pPr>
              <w:spacing w:after="0"/>
            </w:pPr>
            <w:r>
              <w:rPr>
                <w:rFonts w:ascii="Arial" w:cs="Arial" w:eastAsia="Arial" w:hAnsi="Arial"/>
                <w:b/>
                <w:bCs/>
                <w:i w:val="false"/>
                <w:iCs w:val="false"/>
                <w:color w:val="FFFFFF"/>
                <w:sz w:val="18"/>
                <w:szCs w:val="18"/>
              </w:rPr>
              <w:t xml:space="preserve">Requirement</w:t>
            </w:r>
          </w:p>
        </w:tc>
        <w:tc>
          <w:tcPr>
            <w:tcW w:type="dxa" w:w="3214"/>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top"/>
          </w:tcPr>
          <w:p>
            <w:pPr>
              <w:spacing w:after="0"/>
            </w:pPr>
            <w:r>
              <w:rPr>
                <w:rFonts w:ascii="Arial" w:cs="Arial" w:eastAsia="Arial" w:hAnsi="Arial"/>
                <w:b/>
                <w:bCs/>
                <w:i w:val="false"/>
                <w:iCs w:val="false"/>
                <w:color w:val="FFFFFF"/>
                <w:sz w:val="18"/>
                <w:szCs w:val="18"/>
              </w:rPr>
              <w:t xml:space="preserve">Priority</w:t>
            </w:r>
          </w:p>
        </w:tc>
      </w:tr>
      <w:tr>
        <w:trPr>
          <w:tblHeader w:val="false"/>
        </w:trPr>
        <w:tc>
          <w:tcPr>
            <w:tcW w:type="dxa" w:w="321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CRM-SP-001</w:t>
            </w:r>
          </w:p>
        </w:tc>
        <w:tc>
          <w:tcPr>
            <w:tcW w:type="dxa" w:w="321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A branded, mobile-responsive applicant portal shall be configurable per institution</w:t>
            </w:r>
          </w:p>
        </w:tc>
        <w:tc>
          <w:tcPr>
            <w:tcW w:type="dxa" w:w="3214"/>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Must Have</w:t>
            </w:r>
          </w:p>
        </w:tc>
      </w:tr>
      <w:tr>
        <w:trPr>
          <w:tblHeader w:val="false"/>
        </w:trPr>
        <w:tc>
          <w:tcPr>
            <w:tcW w:type="dxa" w:w="321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CRM-SP-002</w:t>
            </w:r>
          </w:p>
        </w:tc>
        <w:tc>
          <w:tcPr>
            <w:tcW w:type="dxa" w:w="321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Applicants shall authenticate via OTP (mobile and/or email)</w:t>
            </w:r>
          </w:p>
        </w:tc>
        <w:tc>
          <w:tcPr>
            <w:tcW w:type="dxa" w:w="3214"/>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Must Have</w:t>
            </w:r>
          </w:p>
        </w:tc>
      </w:tr>
      <w:tr>
        <w:trPr>
          <w:tblHeader w:val="false"/>
        </w:trPr>
        <w:tc>
          <w:tcPr>
            <w:tcW w:type="dxa" w:w="321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CRM-SP-003</w:t>
            </w:r>
          </w:p>
        </w:tc>
        <w:tc>
          <w:tcPr>
            <w:tcW w:type="dxa" w:w="321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Portal shall display: application status, document checklist, payment history, communication history, and upcoming appointments</w:t>
            </w:r>
          </w:p>
        </w:tc>
        <w:tc>
          <w:tcPr>
            <w:tcW w:type="dxa" w:w="3214"/>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Must Have</w:t>
            </w:r>
          </w:p>
        </w:tc>
      </w:tr>
      <w:tr>
        <w:trPr>
          <w:tblHeader w:val="false"/>
        </w:trPr>
        <w:tc>
          <w:tcPr>
            <w:tcW w:type="dxa" w:w="321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CRM-SP-004</w:t>
            </w:r>
          </w:p>
        </w:tc>
        <w:tc>
          <w:tcPr>
            <w:tcW w:type="dxa" w:w="321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Applicants shall be able to initiate chat with their assigned counsellor from the portal</w:t>
            </w:r>
          </w:p>
        </w:tc>
        <w:tc>
          <w:tcPr>
            <w:tcW w:type="dxa" w:w="3214"/>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Should Have</w:t>
            </w:r>
          </w:p>
        </w:tc>
      </w:tr>
      <w:tr>
        <w:trPr>
          <w:tblHeader w:val="false"/>
        </w:trPr>
        <w:tc>
          <w:tcPr>
            <w:tcW w:type="dxa" w:w="321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CRM-SP-005</w:t>
            </w:r>
          </w:p>
        </w:tc>
        <w:tc>
          <w:tcPr>
            <w:tcW w:type="dxa" w:w="321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Offer letter, admission confirmation letter and payment receipts shall be downloadable from the portal</w:t>
            </w:r>
          </w:p>
        </w:tc>
        <w:tc>
          <w:tcPr>
            <w:tcW w:type="dxa" w:w="3214"/>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Must Have</w:t>
            </w:r>
          </w:p>
        </w:tc>
      </w:tr>
      <w:tr>
        <w:trPr>
          <w:tblHeader w:val="false"/>
        </w:trPr>
        <w:tc>
          <w:tcPr>
            <w:tcW w:type="dxa" w:w="321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CRM-SP-006</w:t>
            </w:r>
          </w:p>
        </w:tc>
        <w:tc>
          <w:tcPr>
            <w:tcW w:type="dxa" w:w="321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Portal shall support multiple simultaneous applications (for students applying to multiple programmes)</w:t>
            </w:r>
          </w:p>
        </w:tc>
        <w:tc>
          <w:tcPr>
            <w:tcW w:type="dxa" w:w="3214"/>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Must Have</w:t>
            </w:r>
          </w:p>
        </w:tc>
      </w:tr>
      <w:tr>
        <w:trPr>
          <w:tblHeader w:val="false"/>
        </w:trPr>
        <w:tc>
          <w:tcPr>
            <w:tcW w:type="dxa" w:w="321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CRM-SP-007</w:t>
            </w:r>
          </w:p>
        </w:tc>
        <w:tc>
          <w:tcPr>
            <w:tcW w:type="dxa" w:w="321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Upon enrolment, the applicant portal shall seamlessly transition to the A2A Student ERP portal — same credentials, no re-registration</w:t>
            </w:r>
          </w:p>
        </w:tc>
        <w:tc>
          <w:tcPr>
            <w:tcW w:type="dxa" w:w="3214"/>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Must Have</w:t>
            </w:r>
          </w:p>
        </w:tc>
      </w:tr>
      <w:tr>
        <w:trPr>
          <w:tblHeader w:val="false"/>
        </w:trPr>
        <w:tc>
          <w:tcPr>
            <w:tcW w:type="dxa" w:w="321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CRM-SP-008</w:t>
            </w:r>
          </w:p>
        </w:tc>
        <w:tc>
          <w:tcPr>
            <w:tcW w:type="dxa" w:w="321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Portal shall support institutional branding (logo, colours, domain)</w:t>
            </w:r>
          </w:p>
        </w:tc>
        <w:tc>
          <w:tcPr>
            <w:tcW w:type="dxa" w:w="3214"/>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Must Have</w:t>
            </w:r>
          </w:p>
        </w:tc>
      </w:tr>
    </w:tbl>
    <w:p>
      <w:pPr>
        <w:spacing w:after="160" w:before="80"/>
      </w:pPr>
    </w:p>
    <w:p>
      <w:pPr>
        <w:spacing w:after="40" w:before="40"/>
      </w:pPr>
    </w:p>
    <w:p>
      <w:pPr>
        <w:pBdr>
          <w:bottom w:val="single" w:color="D1D5DB" w:sz="3" w:space="1"/>
        </w:pBdr>
        <w:spacing w:after="80" w:before="80"/>
      </w:pPr>
    </w:p>
    <w:p>
      <w:pPr>
        <w:spacing w:after="40" w:before="40"/>
      </w:pPr>
    </w:p>
    <w:p>
      <w:pPr>
        <w:pStyle w:val="Heading3"/>
        <w:spacing w:after="100" w:before="200"/>
      </w:pPr>
      <w:r>
        <w:rPr>
          <w:rFonts w:ascii="Arial" w:cs="Arial" w:eastAsia="Arial" w:hAnsi="Arial"/>
          <w:b/>
          <w:bCs/>
          <w:i w:val="false"/>
          <w:iCs w:val="false"/>
          <w:color w:val="2563EB"/>
          <w:sz w:val="24"/>
          <w:szCs w:val="24"/>
        </w:rPr>
        <w:t xml:space="preserve">8.12 Agent and Channel Partner Management</w:t>
      </w:r>
    </w:p>
    <w:p>
      <w:pPr>
        <w:spacing w:after="40" w:before="40"/>
      </w:pPr>
    </w:p>
    <w:p>
      <w:pPr>
        <w:spacing w:after="60" w:before="60"/>
        <w:jc w:val="both"/>
      </w:pPr>
      <w:r>
        <w:rPr>
          <w:rFonts w:ascii="Arial" w:cs="Arial" w:eastAsia="Arial" w:hAnsi="Arial"/>
          <w:b/>
          <w:bCs/>
          <w:i w:val="false"/>
          <w:iCs w:val="false"/>
          <w:color w:val="111827"/>
          <w:sz w:val="20"/>
          <w:szCs w:val="20"/>
        </w:rPr>
        <w:t xml:space="preserve">Purpose:</w:t>
      </w:r>
      <w:r>
        <w:rPr>
          <w:rFonts w:ascii="Arial" w:cs="Arial" w:eastAsia="Arial" w:hAnsi="Arial"/>
          <w:b w:val="false"/>
          <w:bCs w:val="false"/>
          <w:i w:val="false"/>
          <w:iCs w:val="false"/>
          <w:color w:val="111827"/>
          <w:sz w:val="20"/>
          <w:szCs w:val="20"/>
        </w:rPr>
        <w:t xml:space="preserve"> Manage channel partners, agents, and referral sources that bring leads to the institution, including commission tracking.</w:t>
      </w:r>
    </w:p>
    <w:p>
      <w:pPr>
        <w:spacing w:after="40" w:before="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4"/>
      </w:tblGrid>
      <w:tr>
        <w:trPr>
          <w:tblHeader/>
        </w:trPr>
        <w:tc>
          <w:tcPr>
            <w:tcW w:type="dxa" w:w="3212"/>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top"/>
          </w:tcPr>
          <w:p>
            <w:pPr>
              <w:spacing w:after="0"/>
            </w:pPr>
            <w:r>
              <w:rPr>
                <w:rFonts w:ascii="Arial" w:cs="Arial" w:eastAsia="Arial" w:hAnsi="Arial"/>
                <w:b/>
                <w:bCs/>
                <w:i w:val="false"/>
                <w:iCs w:val="false"/>
                <w:color w:val="FFFFFF"/>
                <w:sz w:val="18"/>
                <w:szCs w:val="18"/>
              </w:rPr>
              <w:t xml:space="preserve">Req ID</w:t>
            </w:r>
          </w:p>
        </w:tc>
        <w:tc>
          <w:tcPr>
            <w:tcW w:type="dxa" w:w="3212"/>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top"/>
          </w:tcPr>
          <w:p>
            <w:pPr>
              <w:spacing w:after="0"/>
            </w:pPr>
            <w:r>
              <w:rPr>
                <w:rFonts w:ascii="Arial" w:cs="Arial" w:eastAsia="Arial" w:hAnsi="Arial"/>
                <w:b/>
                <w:bCs/>
                <w:i w:val="false"/>
                <w:iCs w:val="false"/>
                <w:color w:val="FFFFFF"/>
                <w:sz w:val="18"/>
                <w:szCs w:val="18"/>
              </w:rPr>
              <w:t xml:space="preserve">Requirement</w:t>
            </w:r>
          </w:p>
        </w:tc>
        <w:tc>
          <w:tcPr>
            <w:tcW w:type="dxa" w:w="3214"/>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top"/>
          </w:tcPr>
          <w:p>
            <w:pPr>
              <w:spacing w:after="0"/>
            </w:pPr>
            <w:r>
              <w:rPr>
                <w:rFonts w:ascii="Arial" w:cs="Arial" w:eastAsia="Arial" w:hAnsi="Arial"/>
                <w:b/>
                <w:bCs/>
                <w:i w:val="false"/>
                <w:iCs w:val="false"/>
                <w:color w:val="FFFFFF"/>
                <w:sz w:val="18"/>
                <w:szCs w:val="18"/>
              </w:rPr>
              <w:t xml:space="preserve">Priority</w:t>
            </w:r>
          </w:p>
        </w:tc>
      </w:tr>
      <w:tr>
        <w:trPr>
          <w:tblHeader w:val="false"/>
        </w:trPr>
        <w:tc>
          <w:tcPr>
            <w:tcW w:type="dxa" w:w="321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CRM-AG-001</w:t>
            </w:r>
          </w:p>
        </w:tc>
        <w:tc>
          <w:tcPr>
            <w:tcW w:type="dxa" w:w="321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Agent/channel partner profiles shall be maintainable with contact details, agreement terms, active programmes, and performance history</w:t>
            </w:r>
          </w:p>
        </w:tc>
        <w:tc>
          <w:tcPr>
            <w:tcW w:type="dxa" w:w="3214"/>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Must Have</w:t>
            </w:r>
          </w:p>
        </w:tc>
      </w:tr>
      <w:tr>
        <w:trPr>
          <w:tblHeader w:val="false"/>
        </w:trPr>
        <w:tc>
          <w:tcPr>
            <w:tcW w:type="dxa" w:w="321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CRM-AG-002</w:t>
            </w:r>
          </w:p>
        </w:tc>
        <w:tc>
          <w:tcPr>
            <w:tcW w:type="dxa" w:w="321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Each agent shall have a unique referral link/code for lead attribution</w:t>
            </w:r>
          </w:p>
        </w:tc>
        <w:tc>
          <w:tcPr>
            <w:tcW w:type="dxa" w:w="3214"/>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Must Have</w:t>
            </w:r>
          </w:p>
        </w:tc>
      </w:tr>
      <w:tr>
        <w:trPr>
          <w:tblHeader w:val="false"/>
        </w:trPr>
        <w:tc>
          <w:tcPr>
            <w:tcW w:type="dxa" w:w="321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CRM-AG-003</w:t>
            </w:r>
          </w:p>
        </w:tc>
        <w:tc>
          <w:tcPr>
            <w:tcW w:type="dxa" w:w="321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Agent portal shall allow partners to submit leads, track lead status, and view their conversion dashboard</w:t>
            </w:r>
          </w:p>
        </w:tc>
        <w:tc>
          <w:tcPr>
            <w:tcW w:type="dxa" w:w="3214"/>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Must Have</w:t>
            </w:r>
          </w:p>
        </w:tc>
      </w:tr>
      <w:tr>
        <w:trPr>
          <w:tblHeader w:val="false"/>
        </w:trPr>
        <w:tc>
          <w:tcPr>
            <w:tcW w:type="dxa" w:w="321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CRM-AG-004</w:t>
            </w:r>
          </w:p>
        </w:tc>
        <w:tc>
          <w:tcPr>
            <w:tcW w:type="dxa" w:w="321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Commission structures (per enrolled student, per application, percentage of fee) shall be configurable per agent agreement</w:t>
            </w:r>
          </w:p>
        </w:tc>
        <w:tc>
          <w:tcPr>
            <w:tcW w:type="dxa" w:w="3214"/>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Must Have</w:t>
            </w:r>
          </w:p>
        </w:tc>
      </w:tr>
      <w:tr>
        <w:trPr>
          <w:tblHeader w:val="false"/>
        </w:trPr>
        <w:tc>
          <w:tcPr>
            <w:tcW w:type="dxa" w:w="321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CRM-AG-005</w:t>
            </w:r>
          </w:p>
        </w:tc>
        <w:tc>
          <w:tcPr>
            <w:tcW w:type="dxa" w:w="321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Commission accrual shall be auto-calculated on enrolment confirmation</w:t>
            </w:r>
          </w:p>
        </w:tc>
        <w:tc>
          <w:tcPr>
            <w:tcW w:type="dxa" w:w="3214"/>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Must Have</w:t>
            </w:r>
          </w:p>
        </w:tc>
      </w:tr>
      <w:tr>
        <w:trPr>
          <w:tblHeader w:val="false"/>
        </w:trPr>
        <w:tc>
          <w:tcPr>
            <w:tcW w:type="dxa" w:w="321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CRM-AG-006</w:t>
            </w:r>
          </w:p>
        </w:tc>
        <w:tc>
          <w:tcPr>
            <w:tcW w:type="dxa" w:w="321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Commission approval and payout workflow shall be available</w:t>
            </w:r>
          </w:p>
        </w:tc>
        <w:tc>
          <w:tcPr>
            <w:tcW w:type="dxa" w:w="3214"/>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Should Have</w:t>
            </w:r>
          </w:p>
        </w:tc>
      </w:tr>
      <w:tr>
        <w:trPr>
          <w:tblHeader w:val="false"/>
        </w:trPr>
        <w:tc>
          <w:tcPr>
            <w:tcW w:type="dxa" w:w="321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CRM-AG-007</w:t>
            </w:r>
          </w:p>
        </w:tc>
        <w:tc>
          <w:tcPr>
            <w:tcW w:type="dxa" w:w="321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Agent performance report (leads submitted, conversions, revenue generated, commissions) shall be available</w:t>
            </w:r>
          </w:p>
        </w:tc>
        <w:tc>
          <w:tcPr>
            <w:tcW w:type="dxa" w:w="3214"/>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Must Have</w:t>
            </w:r>
          </w:p>
        </w:tc>
      </w:tr>
      <w:tr>
        <w:trPr>
          <w:tblHeader w:val="false"/>
        </w:trPr>
        <w:tc>
          <w:tcPr>
            <w:tcW w:type="dxa" w:w="321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CRM-AG-008</w:t>
            </w:r>
          </w:p>
        </w:tc>
        <w:tc>
          <w:tcPr>
            <w:tcW w:type="dxa" w:w="321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Communication tools (bulk email/WhatsApp to agent network) shall be available</w:t>
            </w:r>
          </w:p>
        </w:tc>
        <w:tc>
          <w:tcPr>
            <w:tcW w:type="dxa" w:w="3214"/>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Should Have</w:t>
            </w:r>
          </w:p>
        </w:tc>
      </w:tr>
    </w:tbl>
    <w:p>
      <w:pPr>
        <w:spacing w:after="160" w:before="80"/>
      </w:pPr>
    </w:p>
    <w:p>
      <w:pPr>
        <w:spacing w:after="40" w:before="40"/>
      </w:pPr>
    </w:p>
    <w:p>
      <w:pPr>
        <w:pBdr>
          <w:bottom w:val="single" w:color="D1D5DB" w:sz="3" w:space="1"/>
        </w:pBdr>
        <w:spacing w:after="80" w:before="80"/>
      </w:pPr>
    </w:p>
    <w:p>
      <w:pPr>
        <w:spacing w:after="40" w:before="40"/>
      </w:pPr>
    </w:p>
    <w:p>
      <w:pPr>
        <w:pStyle w:val="Heading3"/>
        <w:spacing w:after="100" w:before="200"/>
      </w:pPr>
      <w:r>
        <w:rPr>
          <w:rFonts w:ascii="Arial" w:cs="Arial" w:eastAsia="Arial" w:hAnsi="Arial"/>
          <w:b/>
          <w:bCs/>
          <w:i w:val="false"/>
          <w:iCs w:val="false"/>
          <w:color w:val="2563EB"/>
          <w:sz w:val="24"/>
          <w:szCs w:val="24"/>
        </w:rPr>
        <w:t xml:space="preserve">8.13 Alumni Lifecycle Bridge</w:t>
      </w:r>
    </w:p>
    <w:p>
      <w:pPr>
        <w:spacing w:after="40" w:before="40"/>
      </w:pPr>
    </w:p>
    <w:p>
      <w:pPr>
        <w:spacing w:after="60" w:before="60"/>
        <w:jc w:val="both"/>
      </w:pPr>
      <w:r>
        <w:rPr>
          <w:rFonts w:ascii="Arial" w:cs="Arial" w:eastAsia="Arial" w:hAnsi="Arial"/>
          <w:b/>
          <w:bCs/>
          <w:i w:val="false"/>
          <w:iCs w:val="false"/>
          <w:color w:val="111827"/>
          <w:sz w:val="20"/>
          <w:szCs w:val="20"/>
        </w:rPr>
        <w:t xml:space="preserve">Purpose:</w:t>
      </w:r>
      <w:r>
        <w:rPr>
          <w:rFonts w:ascii="Arial" w:cs="Arial" w:eastAsia="Arial" w:hAnsi="Arial"/>
          <w:b w:val="false"/>
          <w:bCs w:val="false"/>
          <w:i w:val="false"/>
          <w:iCs w:val="false"/>
          <w:color w:val="111827"/>
          <w:sz w:val="20"/>
          <w:szCs w:val="20"/>
        </w:rPr>
        <w:t xml:space="preserve"> Ensure seamless continuity from the CRM to the A2A Alumni module, enabling alumni engagement to feed back as referral leads, and leveraging alumni as a brand ambassador channel.</w:t>
      </w:r>
    </w:p>
    <w:p>
      <w:pPr>
        <w:spacing w:after="40" w:before="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4"/>
      </w:tblGrid>
      <w:tr>
        <w:trPr>
          <w:tblHeader/>
        </w:trPr>
        <w:tc>
          <w:tcPr>
            <w:tcW w:type="dxa" w:w="3212"/>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top"/>
          </w:tcPr>
          <w:p>
            <w:pPr>
              <w:spacing w:after="0"/>
            </w:pPr>
            <w:r>
              <w:rPr>
                <w:rFonts w:ascii="Arial" w:cs="Arial" w:eastAsia="Arial" w:hAnsi="Arial"/>
                <w:b/>
                <w:bCs/>
                <w:i w:val="false"/>
                <w:iCs w:val="false"/>
                <w:color w:val="FFFFFF"/>
                <w:sz w:val="18"/>
                <w:szCs w:val="18"/>
              </w:rPr>
              <w:t xml:space="preserve">Req ID</w:t>
            </w:r>
          </w:p>
        </w:tc>
        <w:tc>
          <w:tcPr>
            <w:tcW w:type="dxa" w:w="3212"/>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top"/>
          </w:tcPr>
          <w:p>
            <w:pPr>
              <w:spacing w:after="0"/>
            </w:pPr>
            <w:r>
              <w:rPr>
                <w:rFonts w:ascii="Arial" w:cs="Arial" w:eastAsia="Arial" w:hAnsi="Arial"/>
                <w:b/>
                <w:bCs/>
                <w:i w:val="false"/>
                <w:iCs w:val="false"/>
                <w:color w:val="FFFFFF"/>
                <w:sz w:val="18"/>
                <w:szCs w:val="18"/>
              </w:rPr>
              <w:t xml:space="preserve">Requirement</w:t>
            </w:r>
          </w:p>
        </w:tc>
        <w:tc>
          <w:tcPr>
            <w:tcW w:type="dxa" w:w="3214"/>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top"/>
          </w:tcPr>
          <w:p>
            <w:pPr>
              <w:spacing w:after="0"/>
            </w:pPr>
            <w:r>
              <w:rPr>
                <w:rFonts w:ascii="Arial" w:cs="Arial" w:eastAsia="Arial" w:hAnsi="Arial"/>
                <w:b/>
                <w:bCs/>
                <w:i w:val="false"/>
                <w:iCs w:val="false"/>
                <w:color w:val="FFFFFF"/>
                <w:sz w:val="18"/>
                <w:szCs w:val="18"/>
              </w:rPr>
              <w:t xml:space="preserve">Priority</w:t>
            </w:r>
          </w:p>
        </w:tc>
      </w:tr>
      <w:tr>
        <w:trPr>
          <w:tblHeader w:val="false"/>
        </w:trPr>
        <w:tc>
          <w:tcPr>
            <w:tcW w:type="dxa" w:w="321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CRM-AL-001</w:t>
            </w:r>
          </w:p>
        </w:tc>
        <w:tc>
          <w:tcPr>
            <w:tcW w:type="dxa" w:w="321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Enrolled student records converted to A2A ERP shall automatically populate the future alumni pipeline upon programme completion</w:t>
            </w:r>
          </w:p>
        </w:tc>
        <w:tc>
          <w:tcPr>
            <w:tcW w:type="dxa" w:w="3214"/>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Must Have</w:t>
            </w:r>
          </w:p>
        </w:tc>
      </w:tr>
      <w:tr>
        <w:trPr>
          <w:tblHeader w:val="false"/>
        </w:trPr>
        <w:tc>
          <w:tcPr>
            <w:tcW w:type="dxa" w:w="321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CRM-AL-002</w:t>
            </w:r>
          </w:p>
        </w:tc>
        <w:tc>
          <w:tcPr>
            <w:tcW w:type="dxa" w:w="321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Alumni referral campaigns shall generate unique referral codes for alumni to share with prospective students</w:t>
            </w:r>
          </w:p>
        </w:tc>
        <w:tc>
          <w:tcPr>
            <w:tcW w:type="dxa" w:w="3214"/>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Should Have</w:t>
            </w:r>
          </w:p>
        </w:tc>
      </w:tr>
      <w:tr>
        <w:trPr>
          <w:tblHeader w:val="false"/>
        </w:trPr>
        <w:tc>
          <w:tcPr>
            <w:tcW w:type="dxa" w:w="321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CRM-AL-003</w:t>
            </w:r>
          </w:p>
        </w:tc>
        <w:tc>
          <w:tcPr>
            <w:tcW w:type="dxa" w:w="321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Leads generated via alumni referral shall be tagged and tracked for conversion, enabling alumni reward programmes</w:t>
            </w:r>
          </w:p>
        </w:tc>
        <w:tc>
          <w:tcPr>
            <w:tcW w:type="dxa" w:w="3214"/>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Should Have</w:t>
            </w:r>
          </w:p>
        </w:tc>
      </w:tr>
      <w:tr>
        <w:trPr>
          <w:tblHeader w:val="false"/>
        </w:trPr>
        <w:tc>
          <w:tcPr>
            <w:tcW w:type="dxa" w:w="321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CRM-AL-004</w:t>
            </w:r>
          </w:p>
        </w:tc>
        <w:tc>
          <w:tcPr>
            <w:tcW w:type="dxa" w:w="321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Alumni satisfaction data (NPS scores from A2A Alumni module) shall be surfaceable on the CRM analytics dashboard as a lead conversion influencer</w:t>
            </w:r>
          </w:p>
        </w:tc>
        <w:tc>
          <w:tcPr>
            <w:tcW w:type="dxa" w:w="3214"/>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Could Have</w:t>
            </w:r>
          </w:p>
        </w:tc>
      </w:tr>
    </w:tbl>
    <w:p>
      <w:pPr>
        <w:spacing w:after="160" w:before="80"/>
      </w:pPr>
    </w:p>
    <w:p>
      <w:pPr>
        <w:spacing w:after="40" w:before="40"/>
      </w:pPr>
    </w:p>
    <w:p>
      <w:pPr>
        <w:pBdr>
          <w:bottom w:val="single" w:color="D1D5DB" w:sz="3" w:space="1"/>
        </w:pBdr>
        <w:spacing w:after="80" w:before="80"/>
      </w:pPr>
    </w:p>
    <w:p>
      <w:pPr>
        <w:spacing w:after="40" w:before="40"/>
      </w:pPr>
    </w:p>
    <w:p>
      <w:pPr>
        <w:pStyle w:val="Heading3"/>
        <w:spacing w:after="100" w:before="200"/>
      </w:pPr>
      <w:r>
        <w:rPr>
          <w:rFonts w:ascii="Arial" w:cs="Arial" w:eastAsia="Arial" w:hAnsi="Arial"/>
          <w:b/>
          <w:bCs/>
          <w:i w:val="false"/>
          <w:iCs w:val="false"/>
          <w:color w:val="2563EB"/>
          <w:sz w:val="24"/>
          <w:szCs w:val="24"/>
        </w:rPr>
        <w:t xml:space="preserve">8.14 Analytics, Dashboards and Reporting</w:t>
      </w:r>
    </w:p>
    <w:p>
      <w:pPr>
        <w:spacing w:after="40" w:before="40"/>
      </w:pPr>
    </w:p>
    <w:p>
      <w:pPr>
        <w:spacing w:after="60" w:before="60"/>
        <w:jc w:val="both"/>
      </w:pPr>
      <w:r>
        <w:rPr>
          <w:rFonts w:ascii="Arial" w:cs="Arial" w:eastAsia="Arial" w:hAnsi="Arial"/>
          <w:b/>
          <w:bCs/>
          <w:i w:val="false"/>
          <w:iCs w:val="false"/>
          <w:color w:val="111827"/>
          <w:sz w:val="20"/>
          <w:szCs w:val="20"/>
        </w:rPr>
        <w:t xml:space="preserve">Purpose:</w:t>
      </w:r>
      <w:r>
        <w:rPr>
          <w:rFonts w:ascii="Arial" w:cs="Arial" w:eastAsia="Arial" w:hAnsi="Arial"/>
          <w:b w:val="false"/>
          <w:bCs w:val="false"/>
          <w:i w:val="false"/>
          <w:iCs w:val="false"/>
          <w:color w:val="111827"/>
          <w:sz w:val="20"/>
          <w:szCs w:val="20"/>
        </w:rPr>
        <w:t xml:space="preserve"> Provide role-appropriate, real-time visibility into the admissions funnel, counsellor performance, campaign effectiveness, and revenue pipeline.</w:t>
      </w:r>
    </w:p>
    <w:p>
      <w:pPr>
        <w:spacing w:after="40" w:before="40"/>
      </w:pPr>
    </w:p>
    <w:p>
      <w:pPr>
        <w:pStyle w:val="Heading4"/>
        <w:spacing w:after="80" w:before="160"/>
      </w:pPr>
      <w:r>
        <w:rPr>
          <w:rFonts w:ascii="Arial" w:cs="Arial" w:eastAsia="Arial" w:hAnsi="Arial"/>
          <w:b/>
          <w:bCs/>
          <w:i w:val="false"/>
          <w:iCs w:val="false"/>
          <w:color w:val="1B2A4A"/>
          <w:sz w:val="22"/>
          <w:szCs w:val="22"/>
        </w:rPr>
        <w:t xml:space="preserve">8.14.1 Dashboards</w:t>
      </w:r>
    </w:p>
    <w:p>
      <w:pPr>
        <w:spacing w:after="40" w:before="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4"/>
      </w:tblGrid>
      <w:tr>
        <w:trPr>
          <w:tblHeader/>
        </w:trPr>
        <w:tc>
          <w:tcPr>
            <w:tcW w:type="dxa" w:w="3212"/>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top"/>
          </w:tcPr>
          <w:p>
            <w:pPr>
              <w:spacing w:after="0"/>
            </w:pPr>
            <w:r>
              <w:rPr>
                <w:rFonts w:ascii="Arial" w:cs="Arial" w:eastAsia="Arial" w:hAnsi="Arial"/>
                <w:b/>
                <w:bCs/>
                <w:i w:val="false"/>
                <w:iCs w:val="false"/>
                <w:color w:val="FFFFFF"/>
                <w:sz w:val="18"/>
                <w:szCs w:val="18"/>
              </w:rPr>
              <w:t xml:space="preserve">Req ID</w:t>
            </w:r>
          </w:p>
        </w:tc>
        <w:tc>
          <w:tcPr>
            <w:tcW w:type="dxa" w:w="3212"/>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top"/>
          </w:tcPr>
          <w:p>
            <w:pPr>
              <w:spacing w:after="0"/>
            </w:pPr>
            <w:r>
              <w:rPr>
                <w:rFonts w:ascii="Arial" w:cs="Arial" w:eastAsia="Arial" w:hAnsi="Arial"/>
                <w:b/>
                <w:bCs/>
                <w:i w:val="false"/>
                <w:iCs w:val="false"/>
                <w:color w:val="FFFFFF"/>
                <w:sz w:val="18"/>
                <w:szCs w:val="18"/>
              </w:rPr>
              <w:t xml:space="preserve">Requirement</w:t>
            </w:r>
          </w:p>
        </w:tc>
        <w:tc>
          <w:tcPr>
            <w:tcW w:type="dxa" w:w="3214"/>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top"/>
          </w:tcPr>
          <w:p>
            <w:pPr>
              <w:spacing w:after="0"/>
            </w:pPr>
            <w:r>
              <w:rPr>
                <w:rFonts w:ascii="Arial" w:cs="Arial" w:eastAsia="Arial" w:hAnsi="Arial"/>
                <w:b/>
                <w:bCs/>
                <w:i w:val="false"/>
                <w:iCs w:val="false"/>
                <w:color w:val="FFFFFF"/>
                <w:sz w:val="18"/>
                <w:szCs w:val="18"/>
              </w:rPr>
              <w:t xml:space="preserve">Priority</w:t>
            </w:r>
          </w:p>
        </w:tc>
      </w:tr>
      <w:tr>
        <w:trPr>
          <w:tblHeader w:val="false"/>
        </w:trPr>
        <w:tc>
          <w:tcPr>
            <w:tcW w:type="dxa" w:w="321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CRM-AR-001</w:t>
            </w:r>
          </w:p>
        </w:tc>
        <w:tc>
          <w:tcPr>
            <w:tcW w:type="dxa" w:w="321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Institution-level admissions dashboard: total leads, applications, offers, enrolments, revenue — by programme, campus, source, and period</w:t>
            </w:r>
          </w:p>
        </w:tc>
        <w:tc>
          <w:tcPr>
            <w:tcW w:type="dxa" w:w="3214"/>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Must Have</w:t>
            </w:r>
          </w:p>
        </w:tc>
      </w:tr>
      <w:tr>
        <w:trPr>
          <w:tblHeader w:val="false"/>
        </w:trPr>
        <w:tc>
          <w:tcPr>
            <w:tcW w:type="dxa" w:w="321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CRM-AR-002</w:t>
            </w:r>
          </w:p>
        </w:tc>
        <w:tc>
          <w:tcPr>
            <w:tcW w:type="dxa" w:w="321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Counsellor performance dashboard: leads owned, tasks completed, conversion rate, average response time</w:t>
            </w:r>
          </w:p>
        </w:tc>
        <w:tc>
          <w:tcPr>
            <w:tcW w:type="dxa" w:w="3214"/>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Must Have</w:t>
            </w:r>
          </w:p>
        </w:tc>
      </w:tr>
      <w:tr>
        <w:trPr>
          <w:tblHeader w:val="false"/>
        </w:trPr>
        <w:tc>
          <w:tcPr>
            <w:tcW w:type="dxa" w:w="321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CRM-AR-003</w:t>
            </w:r>
          </w:p>
        </w:tc>
        <w:tc>
          <w:tcPr>
            <w:tcW w:type="dxa" w:w="321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Marketing campaign dashboard: spend vs. leads, cost per lead, cost per enrolment, channel ROI</w:t>
            </w:r>
          </w:p>
        </w:tc>
        <w:tc>
          <w:tcPr>
            <w:tcW w:type="dxa" w:w="3214"/>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Must Have</w:t>
            </w:r>
          </w:p>
        </w:tc>
      </w:tr>
      <w:tr>
        <w:trPr>
          <w:tblHeader w:val="false"/>
        </w:trPr>
        <w:tc>
          <w:tcPr>
            <w:tcW w:type="dxa" w:w="321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CRM-AR-004</w:t>
            </w:r>
          </w:p>
        </w:tc>
        <w:tc>
          <w:tcPr>
            <w:tcW w:type="dxa" w:w="321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Admissions funnel visualisation (stage-wise conversion rates with drop-off analysis)</w:t>
            </w:r>
          </w:p>
        </w:tc>
        <w:tc>
          <w:tcPr>
            <w:tcW w:type="dxa" w:w="3214"/>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Must Have</w:t>
            </w:r>
          </w:p>
        </w:tc>
      </w:tr>
      <w:tr>
        <w:trPr>
          <w:tblHeader w:val="false"/>
        </w:trPr>
        <w:tc>
          <w:tcPr>
            <w:tcW w:type="dxa" w:w="321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CRM-AR-005</w:t>
            </w:r>
          </w:p>
        </w:tc>
        <w:tc>
          <w:tcPr>
            <w:tcW w:type="dxa" w:w="321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Real-time seat availability vs. confirmed enrolments dashboard by programme and batch</w:t>
            </w:r>
          </w:p>
        </w:tc>
        <w:tc>
          <w:tcPr>
            <w:tcW w:type="dxa" w:w="3214"/>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Must Have</w:t>
            </w:r>
          </w:p>
        </w:tc>
      </w:tr>
      <w:tr>
        <w:trPr>
          <w:tblHeader w:val="false"/>
        </w:trPr>
        <w:tc>
          <w:tcPr>
            <w:tcW w:type="dxa" w:w="321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CRM-AR-006</w:t>
            </w:r>
          </w:p>
        </w:tc>
        <w:tc>
          <w:tcPr>
            <w:tcW w:type="dxa" w:w="321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Management / Director-level executive dashboard with KPI tiles and trend charts</w:t>
            </w:r>
          </w:p>
        </w:tc>
        <w:tc>
          <w:tcPr>
            <w:tcW w:type="dxa" w:w="3214"/>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Must Have</w:t>
            </w:r>
          </w:p>
        </w:tc>
      </w:tr>
      <w:tr>
        <w:trPr>
          <w:tblHeader w:val="false"/>
        </w:trPr>
        <w:tc>
          <w:tcPr>
            <w:tcW w:type="dxa" w:w="321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CRM-AR-007</w:t>
            </w:r>
          </w:p>
        </w:tc>
        <w:tc>
          <w:tcPr>
            <w:tcW w:type="dxa" w:w="321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Dashboards shall be role-based (counsellor sees own data; manager sees team; director sees institution)</w:t>
            </w:r>
          </w:p>
        </w:tc>
        <w:tc>
          <w:tcPr>
            <w:tcW w:type="dxa" w:w="3214"/>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Must Have</w:t>
            </w:r>
          </w:p>
        </w:tc>
      </w:tr>
      <w:tr>
        <w:trPr>
          <w:tblHeader w:val="false"/>
        </w:trPr>
        <w:tc>
          <w:tcPr>
            <w:tcW w:type="dxa" w:w="321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CRM-AR-008</w:t>
            </w:r>
          </w:p>
        </w:tc>
        <w:tc>
          <w:tcPr>
            <w:tcW w:type="dxa" w:w="321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All dashboards shall support date range filtering and drill-down to individual lead records</w:t>
            </w:r>
          </w:p>
        </w:tc>
        <w:tc>
          <w:tcPr>
            <w:tcW w:type="dxa" w:w="3214"/>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Must Have</w:t>
            </w:r>
          </w:p>
        </w:tc>
      </w:tr>
    </w:tbl>
    <w:p>
      <w:pPr>
        <w:spacing w:after="160" w:before="80"/>
      </w:pPr>
    </w:p>
    <w:p>
      <w:pPr>
        <w:spacing w:after="40" w:before="40"/>
      </w:pPr>
    </w:p>
    <w:p>
      <w:pPr>
        <w:pStyle w:val="Heading4"/>
        <w:spacing w:after="80" w:before="160"/>
      </w:pPr>
      <w:r>
        <w:rPr>
          <w:rFonts w:ascii="Arial" w:cs="Arial" w:eastAsia="Arial" w:hAnsi="Arial"/>
          <w:b/>
          <w:bCs/>
          <w:i w:val="false"/>
          <w:iCs w:val="false"/>
          <w:color w:val="1B2A4A"/>
          <w:sz w:val="22"/>
          <w:szCs w:val="22"/>
        </w:rPr>
        <w:t xml:space="preserve">8.14.2 Standard Reports</w:t>
      </w:r>
    </w:p>
    <w:p>
      <w:pPr>
        <w:spacing w:after="40" w:before="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4"/>
      </w:tblGrid>
      <w:tr>
        <w:trPr>
          <w:tblHeader/>
        </w:trPr>
        <w:tc>
          <w:tcPr>
            <w:tcW w:type="dxa" w:w="3212"/>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top"/>
          </w:tcPr>
          <w:p>
            <w:pPr>
              <w:spacing w:after="0"/>
            </w:pPr>
            <w:r>
              <w:rPr>
                <w:rFonts w:ascii="Arial" w:cs="Arial" w:eastAsia="Arial" w:hAnsi="Arial"/>
                <w:b/>
                <w:bCs/>
                <w:i w:val="false"/>
                <w:iCs w:val="false"/>
                <w:color w:val="FFFFFF"/>
                <w:sz w:val="18"/>
                <w:szCs w:val="18"/>
              </w:rPr>
              <w:t xml:space="preserve">Req ID</w:t>
            </w:r>
          </w:p>
        </w:tc>
        <w:tc>
          <w:tcPr>
            <w:tcW w:type="dxa" w:w="3212"/>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top"/>
          </w:tcPr>
          <w:p>
            <w:pPr>
              <w:spacing w:after="0"/>
            </w:pPr>
            <w:r>
              <w:rPr>
                <w:rFonts w:ascii="Arial" w:cs="Arial" w:eastAsia="Arial" w:hAnsi="Arial"/>
                <w:b/>
                <w:bCs/>
                <w:i w:val="false"/>
                <w:iCs w:val="false"/>
                <w:color w:val="FFFFFF"/>
                <w:sz w:val="18"/>
                <w:szCs w:val="18"/>
              </w:rPr>
              <w:t xml:space="preserve">Requirement</w:t>
            </w:r>
          </w:p>
        </w:tc>
        <w:tc>
          <w:tcPr>
            <w:tcW w:type="dxa" w:w="3214"/>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top"/>
          </w:tcPr>
          <w:p>
            <w:pPr>
              <w:spacing w:after="0"/>
            </w:pPr>
            <w:r>
              <w:rPr>
                <w:rFonts w:ascii="Arial" w:cs="Arial" w:eastAsia="Arial" w:hAnsi="Arial"/>
                <w:b/>
                <w:bCs/>
                <w:i w:val="false"/>
                <w:iCs w:val="false"/>
                <w:color w:val="FFFFFF"/>
                <w:sz w:val="18"/>
                <w:szCs w:val="18"/>
              </w:rPr>
              <w:t xml:space="preserve">Priority</w:t>
            </w:r>
          </w:p>
        </w:tc>
      </w:tr>
      <w:tr>
        <w:trPr>
          <w:tblHeader w:val="false"/>
        </w:trPr>
        <w:tc>
          <w:tcPr>
            <w:tcW w:type="dxa" w:w="321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CRM-AR-009</w:t>
            </w:r>
          </w:p>
        </w:tc>
        <w:tc>
          <w:tcPr>
            <w:tcW w:type="dxa" w:w="321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Enquiry Register Report (all leads with source, status, assigned counsellor, last contact date)</w:t>
            </w:r>
          </w:p>
        </w:tc>
        <w:tc>
          <w:tcPr>
            <w:tcW w:type="dxa" w:w="3214"/>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Must Have</w:t>
            </w:r>
          </w:p>
        </w:tc>
      </w:tr>
      <w:tr>
        <w:trPr>
          <w:tblHeader w:val="false"/>
        </w:trPr>
        <w:tc>
          <w:tcPr>
            <w:tcW w:type="dxa" w:w="321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CRM-AR-010</w:t>
            </w:r>
          </w:p>
        </w:tc>
        <w:tc>
          <w:tcPr>
            <w:tcW w:type="dxa" w:w="321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Counsellor Activity Report (daily/weekly activity summary per counsellor)</w:t>
            </w:r>
          </w:p>
        </w:tc>
        <w:tc>
          <w:tcPr>
            <w:tcW w:type="dxa" w:w="3214"/>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Must Have</w:t>
            </w:r>
          </w:p>
        </w:tc>
      </w:tr>
      <w:tr>
        <w:trPr>
          <w:tblHeader w:val="false"/>
        </w:trPr>
        <w:tc>
          <w:tcPr>
            <w:tcW w:type="dxa" w:w="321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CRM-AR-011</w:t>
            </w:r>
          </w:p>
        </w:tc>
        <w:tc>
          <w:tcPr>
            <w:tcW w:type="dxa" w:w="321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Application Status Report (applications by stage, programme, counsellor)</w:t>
            </w:r>
          </w:p>
        </w:tc>
        <w:tc>
          <w:tcPr>
            <w:tcW w:type="dxa" w:w="3214"/>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Must Have</w:t>
            </w:r>
          </w:p>
        </w:tc>
      </w:tr>
      <w:tr>
        <w:trPr>
          <w:tblHeader w:val="false"/>
        </w:trPr>
        <w:tc>
          <w:tcPr>
            <w:tcW w:type="dxa" w:w="321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CRM-AR-012</w:t>
            </w:r>
          </w:p>
        </w:tc>
        <w:tc>
          <w:tcPr>
            <w:tcW w:type="dxa" w:w="321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Source Effectiveness Report (leads, applications, enrolments, revenue by source)</w:t>
            </w:r>
          </w:p>
        </w:tc>
        <w:tc>
          <w:tcPr>
            <w:tcW w:type="dxa" w:w="3214"/>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Must Have</w:t>
            </w:r>
          </w:p>
        </w:tc>
      </w:tr>
      <w:tr>
        <w:trPr>
          <w:tblHeader w:val="false"/>
        </w:trPr>
        <w:tc>
          <w:tcPr>
            <w:tcW w:type="dxa" w:w="321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CRM-AR-013</w:t>
            </w:r>
          </w:p>
        </w:tc>
        <w:tc>
          <w:tcPr>
            <w:tcW w:type="dxa" w:w="321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Lost Lead Analysis Report (drop-off stage and reason)</w:t>
            </w:r>
          </w:p>
        </w:tc>
        <w:tc>
          <w:tcPr>
            <w:tcW w:type="dxa" w:w="3214"/>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Must Have</w:t>
            </w:r>
          </w:p>
        </w:tc>
      </w:tr>
      <w:tr>
        <w:trPr>
          <w:tblHeader w:val="false"/>
        </w:trPr>
        <w:tc>
          <w:tcPr>
            <w:tcW w:type="dxa" w:w="321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CRM-AR-014</w:t>
            </w:r>
          </w:p>
        </w:tc>
        <w:tc>
          <w:tcPr>
            <w:tcW w:type="dxa" w:w="321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Fee Collection Report (collected, pending, overdue, by programme)</w:t>
            </w:r>
          </w:p>
        </w:tc>
        <w:tc>
          <w:tcPr>
            <w:tcW w:type="dxa" w:w="3214"/>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Must Have</w:t>
            </w:r>
          </w:p>
        </w:tc>
      </w:tr>
      <w:tr>
        <w:trPr>
          <w:tblHeader w:val="false"/>
        </w:trPr>
        <w:tc>
          <w:tcPr>
            <w:tcW w:type="dxa" w:w="321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CRM-AR-015</w:t>
            </w:r>
          </w:p>
        </w:tc>
        <w:tc>
          <w:tcPr>
            <w:tcW w:type="dxa" w:w="321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Document Compliance Report (applicants with pending documents by programme)</w:t>
            </w:r>
          </w:p>
        </w:tc>
        <w:tc>
          <w:tcPr>
            <w:tcW w:type="dxa" w:w="3214"/>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Must Have</w:t>
            </w:r>
          </w:p>
        </w:tc>
      </w:tr>
      <w:tr>
        <w:trPr>
          <w:tblHeader w:val="false"/>
        </w:trPr>
        <w:tc>
          <w:tcPr>
            <w:tcW w:type="dxa" w:w="321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CRM-AR-016</w:t>
            </w:r>
          </w:p>
        </w:tc>
        <w:tc>
          <w:tcPr>
            <w:tcW w:type="dxa" w:w="321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Year-on-Year Comparison Report (leads, applications, enrolments vs. prior academic year)</w:t>
            </w:r>
          </w:p>
        </w:tc>
        <w:tc>
          <w:tcPr>
            <w:tcW w:type="dxa" w:w="3214"/>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Must Have</w:t>
            </w:r>
          </w:p>
        </w:tc>
      </w:tr>
      <w:tr>
        <w:trPr>
          <w:tblHeader w:val="false"/>
        </w:trPr>
        <w:tc>
          <w:tcPr>
            <w:tcW w:type="dxa" w:w="321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CRM-AR-017</w:t>
            </w:r>
          </w:p>
        </w:tc>
        <w:tc>
          <w:tcPr>
            <w:tcW w:type="dxa" w:w="321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Agent Performance Report</w:t>
            </w:r>
          </w:p>
        </w:tc>
        <w:tc>
          <w:tcPr>
            <w:tcW w:type="dxa" w:w="3214"/>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Must Have</w:t>
            </w:r>
          </w:p>
        </w:tc>
      </w:tr>
    </w:tbl>
    <w:p>
      <w:pPr>
        <w:spacing w:after="160" w:before="80"/>
      </w:pPr>
    </w:p>
    <w:p>
      <w:pPr>
        <w:spacing w:after="40" w:before="40"/>
      </w:pPr>
    </w:p>
    <w:p>
      <w:pPr>
        <w:pStyle w:val="Heading4"/>
        <w:spacing w:after="80" w:before="160"/>
      </w:pPr>
      <w:r>
        <w:rPr>
          <w:rFonts w:ascii="Arial" w:cs="Arial" w:eastAsia="Arial" w:hAnsi="Arial"/>
          <w:b/>
          <w:bCs/>
          <w:i w:val="false"/>
          <w:iCs w:val="false"/>
          <w:color w:val="1B2A4A"/>
          <w:sz w:val="22"/>
          <w:szCs w:val="22"/>
        </w:rPr>
        <w:t xml:space="preserve">8.14.3 Custom Reports and Export</w:t>
      </w:r>
    </w:p>
    <w:p>
      <w:pPr>
        <w:spacing w:after="40" w:before="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4"/>
      </w:tblGrid>
      <w:tr>
        <w:trPr>
          <w:tblHeader/>
        </w:trPr>
        <w:tc>
          <w:tcPr>
            <w:tcW w:type="dxa" w:w="3212"/>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top"/>
          </w:tcPr>
          <w:p>
            <w:pPr>
              <w:spacing w:after="0"/>
            </w:pPr>
            <w:r>
              <w:rPr>
                <w:rFonts w:ascii="Arial" w:cs="Arial" w:eastAsia="Arial" w:hAnsi="Arial"/>
                <w:b/>
                <w:bCs/>
                <w:i w:val="false"/>
                <w:iCs w:val="false"/>
                <w:color w:val="FFFFFF"/>
                <w:sz w:val="18"/>
                <w:szCs w:val="18"/>
              </w:rPr>
              <w:t xml:space="preserve">Req ID</w:t>
            </w:r>
          </w:p>
        </w:tc>
        <w:tc>
          <w:tcPr>
            <w:tcW w:type="dxa" w:w="3212"/>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top"/>
          </w:tcPr>
          <w:p>
            <w:pPr>
              <w:spacing w:after="0"/>
            </w:pPr>
            <w:r>
              <w:rPr>
                <w:rFonts w:ascii="Arial" w:cs="Arial" w:eastAsia="Arial" w:hAnsi="Arial"/>
                <w:b/>
                <w:bCs/>
                <w:i w:val="false"/>
                <w:iCs w:val="false"/>
                <w:color w:val="FFFFFF"/>
                <w:sz w:val="18"/>
                <w:szCs w:val="18"/>
              </w:rPr>
              <w:t xml:space="preserve">Requirement</w:t>
            </w:r>
          </w:p>
        </w:tc>
        <w:tc>
          <w:tcPr>
            <w:tcW w:type="dxa" w:w="3214"/>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top"/>
          </w:tcPr>
          <w:p>
            <w:pPr>
              <w:spacing w:after="0"/>
            </w:pPr>
            <w:r>
              <w:rPr>
                <w:rFonts w:ascii="Arial" w:cs="Arial" w:eastAsia="Arial" w:hAnsi="Arial"/>
                <w:b/>
                <w:bCs/>
                <w:i w:val="false"/>
                <w:iCs w:val="false"/>
                <w:color w:val="FFFFFF"/>
                <w:sz w:val="18"/>
                <w:szCs w:val="18"/>
              </w:rPr>
              <w:t xml:space="preserve">Priority</w:t>
            </w:r>
          </w:p>
        </w:tc>
      </w:tr>
      <w:tr>
        <w:trPr>
          <w:tblHeader w:val="false"/>
        </w:trPr>
        <w:tc>
          <w:tcPr>
            <w:tcW w:type="dxa" w:w="321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CRM-AR-018</w:t>
            </w:r>
          </w:p>
        </w:tc>
        <w:tc>
          <w:tcPr>
            <w:tcW w:type="dxa" w:w="321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Custom report builder shall allow users to select fields, filters, grouping and aggregations</w:t>
            </w:r>
          </w:p>
        </w:tc>
        <w:tc>
          <w:tcPr>
            <w:tcW w:type="dxa" w:w="3214"/>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Should Have</w:t>
            </w:r>
          </w:p>
        </w:tc>
      </w:tr>
      <w:tr>
        <w:trPr>
          <w:tblHeader w:val="false"/>
        </w:trPr>
        <w:tc>
          <w:tcPr>
            <w:tcW w:type="dxa" w:w="321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CRM-AR-019</w:t>
            </w:r>
          </w:p>
        </w:tc>
        <w:tc>
          <w:tcPr>
            <w:tcW w:type="dxa" w:w="321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All reports shall be exportable to Excel and PDF</w:t>
            </w:r>
          </w:p>
        </w:tc>
        <w:tc>
          <w:tcPr>
            <w:tcW w:type="dxa" w:w="3214"/>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Must Have</w:t>
            </w:r>
          </w:p>
        </w:tc>
      </w:tr>
      <w:tr>
        <w:trPr>
          <w:tblHeader w:val="false"/>
        </w:trPr>
        <w:tc>
          <w:tcPr>
            <w:tcW w:type="dxa" w:w="321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CRM-AR-020</w:t>
            </w:r>
          </w:p>
        </w:tc>
        <w:tc>
          <w:tcPr>
            <w:tcW w:type="dxa" w:w="321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Scheduled report delivery via email shall be configurable</w:t>
            </w:r>
          </w:p>
        </w:tc>
        <w:tc>
          <w:tcPr>
            <w:tcW w:type="dxa" w:w="3214"/>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Should Have</w:t>
            </w:r>
          </w:p>
        </w:tc>
      </w:tr>
      <w:tr>
        <w:trPr>
          <w:tblHeader w:val="false"/>
        </w:trPr>
        <w:tc>
          <w:tcPr>
            <w:tcW w:type="dxa" w:w="321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CRM-AR-021</w:t>
            </w:r>
          </w:p>
        </w:tc>
        <w:tc>
          <w:tcPr>
            <w:tcW w:type="dxa" w:w="321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API access to analytics data for Power BI / Tableau integration shall be available</w:t>
            </w:r>
          </w:p>
        </w:tc>
        <w:tc>
          <w:tcPr>
            <w:tcW w:type="dxa" w:w="3214"/>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Could Have</w:t>
            </w:r>
          </w:p>
        </w:tc>
      </w:tr>
    </w:tbl>
    <w:p>
      <w:pPr>
        <w:spacing w:after="160" w:before="80"/>
      </w:pPr>
    </w:p>
    <w:p>
      <w:pPr>
        <w:spacing w:after="40" w:before="40"/>
      </w:pPr>
    </w:p>
    <w:p>
      <w:pPr>
        <w:pBdr>
          <w:bottom w:val="single" w:color="D1D5DB" w:sz="3" w:space="1"/>
        </w:pBdr>
        <w:spacing w:after="80" w:before="80"/>
      </w:pPr>
    </w:p>
    <w:p>
      <w:pPr>
        <w:spacing w:after="40" w:before="40"/>
      </w:pPr>
    </w:p>
    <w:p>
      <w:pPr>
        <w:pStyle w:val="Heading3"/>
        <w:spacing w:after="100" w:before="200"/>
      </w:pPr>
      <w:r>
        <w:rPr>
          <w:rFonts w:ascii="Arial" w:cs="Arial" w:eastAsia="Arial" w:hAnsi="Arial"/>
          <w:b/>
          <w:bCs/>
          <w:i w:val="false"/>
          <w:iCs w:val="false"/>
          <w:color w:val="2563EB"/>
          <w:sz w:val="24"/>
          <w:szCs w:val="24"/>
        </w:rPr>
        <w:t xml:space="preserve">8.15 AI and Agentic Intelligence Layer</w:t>
      </w:r>
    </w:p>
    <w:p>
      <w:pPr>
        <w:spacing w:after="40" w:before="40"/>
      </w:pPr>
    </w:p>
    <w:p>
      <w:pPr>
        <w:spacing w:after="60" w:before="60"/>
        <w:jc w:val="both"/>
      </w:pPr>
      <w:r>
        <w:rPr>
          <w:rFonts w:ascii="Arial" w:cs="Arial" w:eastAsia="Arial" w:hAnsi="Arial"/>
          <w:b/>
          <w:bCs/>
          <w:i w:val="false"/>
          <w:iCs w:val="false"/>
          <w:color w:val="111827"/>
          <w:sz w:val="20"/>
          <w:szCs w:val="20"/>
        </w:rPr>
        <w:t xml:space="preserve">Purpose:</w:t>
      </w:r>
      <w:r>
        <w:rPr>
          <w:rFonts w:ascii="Arial" w:cs="Arial" w:eastAsia="Arial" w:hAnsi="Arial"/>
          <w:b w:val="false"/>
          <w:bCs w:val="false"/>
          <w:i w:val="false"/>
          <w:iCs w:val="false"/>
          <w:color w:val="111827"/>
          <w:sz w:val="20"/>
          <w:szCs w:val="20"/>
        </w:rPr>
        <w:t xml:space="preserve"> Embed AI-driven intelligence throughout the CRM to augment counsellor productivity, improve lead conversion, and enable proactive admissions management. Built on the Anthropic Claude API, leveraging MEETCS's existing AI CRM engine.</w:t>
      </w:r>
    </w:p>
    <w:p>
      <w:pPr>
        <w:spacing w:after="40" w:before="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4"/>
      </w:tblGrid>
      <w:tr>
        <w:trPr>
          <w:tblHeader/>
        </w:trPr>
        <w:tc>
          <w:tcPr>
            <w:tcW w:type="dxa" w:w="3212"/>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top"/>
          </w:tcPr>
          <w:p>
            <w:pPr>
              <w:spacing w:after="0"/>
            </w:pPr>
            <w:r>
              <w:rPr>
                <w:rFonts w:ascii="Arial" w:cs="Arial" w:eastAsia="Arial" w:hAnsi="Arial"/>
                <w:b/>
                <w:bCs/>
                <w:i w:val="false"/>
                <w:iCs w:val="false"/>
                <w:color w:val="FFFFFF"/>
                <w:sz w:val="18"/>
                <w:szCs w:val="18"/>
              </w:rPr>
              <w:t xml:space="preserve">Req ID</w:t>
            </w:r>
          </w:p>
        </w:tc>
        <w:tc>
          <w:tcPr>
            <w:tcW w:type="dxa" w:w="3212"/>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top"/>
          </w:tcPr>
          <w:p>
            <w:pPr>
              <w:spacing w:after="0"/>
            </w:pPr>
            <w:r>
              <w:rPr>
                <w:rFonts w:ascii="Arial" w:cs="Arial" w:eastAsia="Arial" w:hAnsi="Arial"/>
                <w:b/>
                <w:bCs/>
                <w:i w:val="false"/>
                <w:iCs w:val="false"/>
                <w:color w:val="FFFFFF"/>
                <w:sz w:val="18"/>
                <w:szCs w:val="18"/>
              </w:rPr>
              <w:t xml:space="preserve">Requirement</w:t>
            </w:r>
          </w:p>
        </w:tc>
        <w:tc>
          <w:tcPr>
            <w:tcW w:type="dxa" w:w="3214"/>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top"/>
          </w:tcPr>
          <w:p>
            <w:pPr>
              <w:spacing w:after="0"/>
            </w:pPr>
            <w:r>
              <w:rPr>
                <w:rFonts w:ascii="Arial" w:cs="Arial" w:eastAsia="Arial" w:hAnsi="Arial"/>
                <w:b/>
                <w:bCs/>
                <w:i w:val="false"/>
                <w:iCs w:val="false"/>
                <w:color w:val="FFFFFF"/>
                <w:sz w:val="18"/>
                <w:szCs w:val="18"/>
              </w:rPr>
              <w:t xml:space="preserve">Priority</w:t>
            </w:r>
          </w:p>
        </w:tc>
      </w:tr>
      <w:tr>
        <w:trPr>
          <w:tblHeader w:val="false"/>
        </w:trPr>
        <w:tc>
          <w:tcPr>
            <w:tcW w:type="dxa" w:w="321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CRM-AI-001</w:t>
            </w:r>
          </w:p>
        </w:tc>
        <w:tc>
          <w:tcPr>
            <w:tcW w:type="dxa" w:w="321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AI-assisted lead scoring shall analyse lead behaviour patterns and historical conversion data to predict conversion probability</w:t>
            </w:r>
          </w:p>
        </w:tc>
        <w:tc>
          <w:tcPr>
            <w:tcW w:type="dxa" w:w="3214"/>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Must Have</w:t>
            </w:r>
          </w:p>
        </w:tc>
      </w:tr>
      <w:tr>
        <w:trPr>
          <w:tblHeader w:val="false"/>
        </w:trPr>
        <w:tc>
          <w:tcPr>
            <w:tcW w:type="dxa" w:w="321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CRM-AI-002</w:t>
            </w:r>
          </w:p>
        </w:tc>
        <w:tc>
          <w:tcPr>
            <w:tcW w:type="dxa" w:w="321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Next Best Action engine shall recommend the optimal next counsellor action for each lead (call, WhatsApp, email, invite to event) with reasoning</w:t>
            </w:r>
          </w:p>
        </w:tc>
        <w:tc>
          <w:tcPr>
            <w:tcW w:type="dxa" w:w="3214"/>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Must Have</w:t>
            </w:r>
          </w:p>
        </w:tc>
      </w:tr>
      <w:tr>
        <w:trPr>
          <w:tblHeader w:val="false"/>
        </w:trPr>
        <w:tc>
          <w:tcPr>
            <w:tcW w:type="dxa" w:w="321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CRM-AI-003</w:t>
            </w:r>
          </w:p>
        </w:tc>
        <w:tc>
          <w:tcPr>
            <w:tcW w:type="dxa" w:w="321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AI-assisted communication drafting shall generate personalised email/WhatsApp message drafts in the context of the lead's profile and stage</w:t>
            </w:r>
          </w:p>
        </w:tc>
        <w:tc>
          <w:tcPr>
            <w:tcW w:type="dxa" w:w="3214"/>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Must Have</w:t>
            </w:r>
          </w:p>
        </w:tc>
      </w:tr>
      <w:tr>
        <w:trPr>
          <w:tblHeader w:val="false"/>
        </w:trPr>
        <w:tc>
          <w:tcPr>
            <w:tcW w:type="dxa" w:w="321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CRM-AI-004</w:t>
            </w:r>
          </w:p>
        </w:tc>
        <w:tc>
          <w:tcPr>
            <w:tcW w:type="dxa" w:w="321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Sentiment analysis on inbound emails and chat messages shall flag negative or urgent leads for priority attention</w:t>
            </w:r>
          </w:p>
        </w:tc>
        <w:tc>
          <w:tcPr>
            <w:tcW w:type="dxa" w:w="3214"/>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Should Have</w:t>
            </w:r>
          </w:p>
        </w:tc>
      </w:tr>
      <w:tr>
        <w:trPr>
          <w:tblHeader w:val="false"/>
        </w:trPr>
        <w:tc>
          <w:tcPr>
            <w:tcW w:type="dxa" w:w="321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CRM-AI-005</w:t>
            </w:r>
          </w:p>
        </w:tc>
        <w:tc>
          <w:tcPr>
            <w:tcW w:type="dxa" w:w="321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AI shall generate a daily priority lead list for each counsellor based on score, inactivity, and conversion probability</w:t>
            </w:r>
          </w:p>
        </w:tc>
        <w:tc>
          <w:tcPr>
            <w:tcW w:type="dxa" w:w="3214"/>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Must Have</w:t>
            </w:r>
          </w:p>
        </w:tc>
      </w:tr>
      <w:tr>
        <w:trPr>
          <w:tblHeader w:val="false"/>
        </w:trPr>
        <w:tc>
          <w:tcPr>
            <w:tcW w:type="dxa" w:w="321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CRM-AI-006</w:t>
            </w:r>
          </w:p>
        </w:tc>
        <w:tc>
          <w:tcPr>
            <w:tcW w:type="dxa" w:w="321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Conversational AI (chatbot) for WhatsApp and web chat shall handle Tier-1 enquiries (programme info, eligibility, fee structure, application process) and escalate to human counsellors when needed</w:t>
            </w:r>
          </w:p>
        </w:tc>
        <w:tc>
          <w:tcPr>
            <w:tcW w:type="dxa" w:w="3214"/>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Should Have</w:t>
            </w:r>
          </w:p>
        </w:tc>
      </w:tr>
      <w:tr>
        <w:trPr>
          <w:tblHeader w:val="false"/>
        </w:trPr>
        <w:tc>
          <w:tcPr>
            <w:tcW w:type="dxa" w:w="321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CRM-AI-007</w:t>
            </w:r>
          </w:p>
        </w:tc>
        <w:tc>
          <w:tcPr>
            <w:tcW w:type="dxa" w:w="321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AI-powered call transcription and summary generation (post-call) shall be available</w:t>
            </w:r>
          </w:p>
        </w:tc>
        <w:tc>
          <w:tcPr>
            <w:tcW w:type="dxa" w:w="3214"/>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Could Have</w:t>
            </w:r>
          </w:p>
        </w:tc>
      </w:tr>
      <w:tr>
        <w:trPr>
          <w:tblHeader w:val="false"/>
        </w:trPr>
        <w:tc>
          <w:tcPr>
            <w:tcW w:type="dxa" w:w="321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CRM-AI-008</w:t>
            </w:r>
          </w:p>
        </w:tc>
        <w:tc>
          <w:tcPr>
            <w:tcW w:type="dxa" w:w="321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Predictive enrolment forecasting (projected enrolments by programme for current cycle) shall be available on the analytics dashboard</w:t>
            </w:r>
          </w:p>
        </w:tc>
        <w:tc>
          <w:tcPr>
            <w:tcW w:type="dxa" w:w="3214"/>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Should Have</w:t>
            </w:r>
          </w:p>
        </w:tc>
      </w:tr>
      <w:tr>
        <w:trPr>
          <w:tblHeader w:val="false"/>
        </w:trPr>
        <w:tc>
          <w:tcPr>
            <w:tcW w:type="dxa" w:w="321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CRM-AI-009</w:t>
            </w:r>
          </w:p>
        </w:tc>
        <w:tc>
          <w:tcPr>
            <w:tcW w:type="dxa" w:w="321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Anomaly detection shall flag unusual drops in enquiry volume or conversion rates and alert admissions managers</w:t>
            </w:r>
          </w:p>
        </w:tc>
        <w:tc>
          <w:tcPr>
            <w:tcW w:type="dxa" w:w="3214"/>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Should Have</w:t>
            </w:r>
          </w:p>
        </w:tc>
      </w:tr>
      <w:tr>
        <w:trPr>
          <w:tblHeader w:val="false"/>
        </w:trPr>
        <w:tc>
          <w:tcPr>
            <w:tcW w:type="dxa" w:w="321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CRM-AI-010</w:t>
            </w:r>
          </w:p>
        </w:tc>
        <w:tc>
          <w:tcPr>
            <w:tcW w:type="dxa" w:w="321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AI shall assist in building segment-specific nurture journeys by recommending optimal message timing, channel, and content based on cohort behaviour</w:t>
            </w:r>
          </w:p>
        </w:tc>
        <w:tc>
          <w:tcPr>
            <w:tcW w:type="dxa" w:w="3214"/>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Should Have</w:t>
            </w:r>
          </w:p>
        </w:tc>
      </w:tr>
      <w:tr>
        <w:trPr>
          <w:tblHeader w:val="false"/>
        </w:trPr>
        <w:tc>
          <w:tcPr>
            <w:tcW w:type="dxa" w:w="321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CRM-AI-011</w:t>
            </w:r>
          </w:p>
        </w:tc>
        <w:tc>
          <w:tcPr>
            <w:tcW w:type="dxa" w:w="321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All AI-generated content and recommendations shall be presented as suggestions; final action shall remain with the human user</w:t>
            </w:r>
          </w:p>
        </w:tc>
        <w:tc>
          <w:tcPr>
            <w:tcW w:type="dxa" w:w="3214"/>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Must Have</w:t>
            </w:r>
          </w:p>
        </w:tc>
      </w:tr>
      <w:tr>
        <w:trPr>
          <w:tblHeader w:val="false"/>
        </w:trPr>
        <w:tc>
          <w:tcPr>
            <w:tcW w:type="dxa" w:w="321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CRM-AI-012</w:t>
            </w:r>
          </w:p>
        </w:tc>
        <w:tc>
          <w:tcPr>
            <w:tcW w:type="dxa" w:w="321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AI usage logs shall be maintained for audit and DPDP compliance purposes</w:t>
            </w:r>
          </w:p>
        </w:tc>
        <w:tc>
          <w:tcPr>
            <w:tcW w:type="dxa" w:w="3214"/>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Must Have</w:t>
            </w:r>
          </w:p>
        </w:tc>
      </w:tr>
    </w:tbl>
    <w:p>
      <w:pPr>
        <w:spacing w:after="160" w:before="80"/>
      </w:pPr>
    </w:p>
    <w:p>
      <w:pPr>
        <w:spacing w:after="40" w:before="40"/>
      </w:pPr>
    </w:p>
    <w:p>
      <w:pPr>
        <w:pBdr>
          <w:bottom w:val="single" w:color="D1D5DB" w:sz="3" w:space="1"/>
        </w:pBdr>
        <w:spacing w:after="80" w:before="80"/>
      </w:pPr>
    </w:p>
    <w:p>
      <w:pPr>
        <w:spacing w:after="40" w:before="40"/>
      </w:pPr>
    </w:p>
    <w:p>
      <w:pPr>
        <w:pStyle w:val="Heading3"/>
        <w:spacing w:after="100" w:before="200"/>
      </w:pPr>
      <w:r>
        <w:rPr>
          <w:rFonts w:ascii="Arial" w:cs="Arial" w:eastAsia="Arial" w:hAnsi="Arial"/>
          <w:b/>
          <w:bCs/>
          <w:i w:val="false"/>
          <w:iCs w:val="false"/>
          <w:color w:val="2563EB"/>
          <w:sz w:val="24"/>
          <w:szCs w:val="24"/>
        </w:rPr>
        <w:t xml:space="preserve">8.16 Mobile Application</w:t>
      </w:r>
    </w:p>
    <w:p>
      <w:pPr>
        <w:spacing w:after="40" w:before="40"/>
      </w:pPr>
    </w:p>
    <w:p>
      <w:pPr>
        <w:spacing w:after="60" w:before="60"/>
        <w:jc w:val="both"/>
      </w:pPr>
      <w:r>
        <w:rPr>
          <w:rFonts w:ascii="Arial" w:cs="Arial" w:eastAsia="Arial" w:hAnsi="Arial"/>
          <w:b/>
          <w:bCs/>
          <w:i w:val="false"/>
          <w:iCs w:val="false"/>
          <w:color w:val="111827"/>
          <w:sz w:val="20"/>
          <w:szCs w:val="20"/>
        </w:rPr>
        <w:t xml:space="preserve">Purpose:</w:t>
      </w:r>
      <w:r>
        <w:rPr>
          <w:rFonts w:ascii="Arial" w:cs="Arial" w:eastAsia="Arial" w:hAnsi="Arial"/>
          <w:b w:val="false"/>
          <w:bCs w:val="false"/>
          <w:i w:val="false"/>
          <w:iCs w:val="false"/>
          <w:color w:val="111827"/>
          <w:sz w:val="20"/>
          <w:szCs w:val="20"/>
        </w:rPr>
        <w:t xml:space="preserve"> Enable counsellors and admissions managers to manage leads, tasks and communications on-the-go via a dedicated mobile application.</w:t>
      </w:r>
    </w:p>
    <w:p>
      <w:pPr>
        <w:spacing w:after="40" w:before="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4"/>
      </w:tblGrid>
      <w:tr>
        <w:trPr>
          <w:tblHeader/>
        </w:trPr>
        <w:tc>
          <w:tcPr>
            <w:tcW w:type="dxa" w:w="3212"/>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top"/>
          </w:tcPr>
          <w:p>
            <w:pPr>
              <w:spacing w:after="0"/>
            </w:pPr>
            <w:r>
              <w:rPr>
                <w:rFonts w:ascii="Arial" w:cs="Arial" w:eastAsia="Arial" w:hAnsi="Arial"/>
                <w:b/>
                <w:bCs/>
                <w:i w:val="false"/>
                <w:iCs w:val="false"/>
                <w:color w:val="FFFFFF"/>
                <w:sz w:val="18"/>
                <w:szCs w:val="18"/>
              </w:rPr>
              <w:t xml:space="preserve">Req ID</w:t>
            </w:r>
          </w:p>
        </w:tc>
        <w:tc>
          <w:tcPr>
            <w:tcW w:type="dxa" w:w="3212"/>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top"/>
          </w:tcPr>
          <w:p>
            <w:pPr>
              <w:spacing w:after="0"/>
            </w:pPr>
            <w:r>
              <w:rPr>
                <w:rFonts w:ascii="Arial" w:cs="Arial" w:eastAsia="Arial" w:hAnsi="Arial"/>
                <w:b/>
                <w:bCs/>
                <w:i w:val="false"/>
                <w:iCs w:val="false"/>
                <w:color w:val="FFFFFF"/>
                <w:sz w:val="18"/>
                <w:szCs w:val="18"/>
              </w:rPr>
              <w:t xml:space="preserve">Requirement</w:t>
            </w:r>
          </w:p>
        </w:tc>
        <w:tc>
          <w:tcPr>
            <w:tcW w:type="dxa" w:w="3214"/>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top"/>
          </w:tcPr>
          <w:p>
            <w:pPr>
              <w:spacing w:after="0"/>
            </w:pPr>
            <w:r>
              <w:rPr>
                <w:rFonts w:ascii="Arial" w:cs="Arial" w:eastAsia="Arial" w:hAnsi="Arial"/>
                <w:b/>
                <w:bCs/>
                <w:i w:val="false"/>
                <w:iCs w:val="false"/>
                <w:color w:val="FFFFFF"/>
                <w:sz w:val="18"/>
                <w:szCs w:val="18"/>
              </w:rPr>
              <w:t xml:space="preserve">Priority</w:t>
            </w:r>
          </w:p>
        </w:tc>
      </w:tr>
      <w:tr>
        <w:trPr>
          <w:tblHeader w:val="false"/>
        </w:trPr>
        <w:tc>
          <w:tcPr>
            <w:tcW w:type="dxa" w:w="321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CRM-MB-001</w:t>
            </w:r>
          </w:p>
        </w:tc>
        <w:tc>
          <w:tcPr>
            <w:tcW w:type="dxa" w:w="321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Native mobile app shall be available for iOS and Android</w:t>
            </w:r>
          </w:p>
        </w:tc>
        <w:tc>
          <w:tcPr>
            <w:tcW w:type="dxa" w:w="3214"/>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Must Have</w:t>
            </w:r>
          </w:p>
        </w:tc>
      </w:tr>
      <w:tr>
        <w:trPr>
          <w:tblHeader w:val="false"/>
        </w:trPr>
        <w:tc>
          <w:tcPr>
            <w:tcW w:type="dxa" w:w="321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CRM-MB-002</w:t>
            </w:r>
          </w:p>
        </w:tc>
        <w:tc>
          <w:tcPr>
            <w:tcW w:type="dxa" w:w="321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App shall support: lead view, lead status update, task management, click-to-call, WhatsApp messaging, note logging</w:t>
            </w:r>
          </w:p>
        </w:tc>
        <w:tc>
          <w:tcPr>
            <w:tcW w:type="dxa" w:w="3214"/>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Must Have</w:t>
            </w:r>
          </w:p>
        </w:tc>
      </w:tr>
      <w:tr>
        <w:trPr>
          <w:tblHeader w:val="false"/>
        </w:trPr>
        <w:tc>
          <w:tcPr>
            <w:tcW w:type="dxa" w:w="321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CRM-MB-003</w:t>
            </w:r>
          </w:p>
        </w:tc>
        <w:tc>
          <w:tcPr>
            <w:tcW w:type="dxa" w:w="321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Push notifications shall be delivered for: new lead assigned, follow-up due, inbound message received, escalation alert</w:t>
            </w:r>
          </w:p>
        </w:tc>
        <w:tc>
          <w:tcPr>
            <w:tcW w:type="dxa" w:w="3214"/>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Must Have</w:t>
            </w:r>
          </w:p>
        </w:tc>
      </w:tr>
      <w:tr>
        <w:trPr>
          <w:tblHeader w:val="false"/>
        </w:trPr>
        <w:tc>
          <w:tcPr>
            <w:tcW w:type="dxa" w:w="321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CRM-MB-004</w:t>
            </w:r>
          </w:p>
        </w:tc>
        <w:tc>
          <w:tcPr>
            <w:tcW w:type="dxa" w:w="321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Business card / visiting card scanner shall create a new lead record via OCR</w:t>
            </w:r>
          </w:p>
        </w:tc>
        <w:tc>
          <w:tcPr>
            <w:tcW w:type="dxa" w:w="3214"/>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Should Have</w:t>
            </w:r>
          </w:p>
        </w:tc>
      </w:tr>
      <w:tr>
        <w:trPr>
          <w:tblHeader w:val="false"/>
        </w:trPr>
        <w:tc>
          <w:tcPr>
            <w:tcW w:type="dxa" w:w="321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CRM-MB-005</w:t>
            </w:r>
          </w:p>
        </w:tc>
        <w:tc>
          <w:tcPr>
            <w:tcW w:type="dxa" w:w="321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QR code scanner for walk-in enquiry capture shall be available on the mobile app</w:t>
            </w:r>
          </w:p>
        </w:tc>
        <w:tc>
          <w:tcPr>
            <w:tcW w:type="dxa" w:w="3214"/>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Must Have</w:t>
            </w:r>
          </w:p>
        </w:tc>
      </w:tr>
      <w:tr>
        <w:trPr>
          <w:tblHeader w:val="false"/>
        </w:trPr>
        <w:tc>
          <w:tcPr>
            <w:tcW w:type="dxa" w:w="321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CRM-MB-006</w:t>
            </w:r>
          </w:p>
        </w:tc>
        <w:tc>
          <w:tcPr>
            <w:tcW w:type="dxa" w:w="321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App shall function in offline mode for viewing and note-taking, with sync on reconnect</w:t>
            </w:r>
          </w:p>
        </w:tc>
        <w:tc>
          <w:tcPr>
            <w:tcW w:type="dxa" w:w="3214"/>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Should Have</w:t>
            </w:r>
          </w:p>
        </w:tc>
      </w:tr>
      <w:tr>
        <w:trPr>
          <w:tblHeader w:val="false"/>
        </w:trPr>
        <w:tc>
          <w:tcPr>
            <w:tcW w:type="dxa" w:w="321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CRM-MB-007</w:t>
            </w:r>
          </w:p>
        </w:tc>
        <w:tc>
          <w:tcPr>
            <w:tcW w:type="dxa" w:w="321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App shall support biometric authentication (fingerprint/face unlock)</w:t>
            </w:r>
          </w:p>
        </w:tc>
        <w:tc>
          <w:tcPr>
            <w:tcW w:type="dxa" w:w="3214"/>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Should Have</w:t>
            </w:r>
          </w:p>
        </w:tc>
      </w:tr>
      <w:tr>
        <w:trPr>
          <w:tblHeader w:val="false"/>
        </w:trPr>
        <w:tc>
          <w:tcPr>
            <w:tcW w:type="dxa" w:w="321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CRM-MB-008</w:t>
            </w:r>
          </w:p>
        </w:tc>
        <w:tc>
          <w:tcPr>
            <w:tcW w:type="dxa" w:w="321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Manager-level app view shall include team dashboards and activity feeds</w:t>
            </w:r>
          </w:p>
        </w:tc>
        <w:tc>
          <w:tcPr>
            <w:tcW w:type="dxa" w:w="3214"/>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Must Have</w:t>
            </w:r>
          </w:p>
        </w:tc>
      </w:tr>
    </w:tbl>
    <w:p>
      <w:pPr>
        <w:spacing w:after="160" w:before="80"/>
      </w:pPr>
    </w:p>
    <w:p>
      <w:pPr>
        <w:spacing w:after="40" w:before="40"/>
      </w:pPr>
    </w:p>
    <w:p>
      <w:pPr>
        <w:pBdr>
          <w:bottom w:val="single" w:color="D1D5DB" w:sz="3" w:space="1"/>
        </w:pBdr>
        <w:spacing w:after="80" w:before="80"/>
      </w:pPr>
    </w:p>
    <w:p>
      <w:pPr>
        <w:spacing w:after="40" w:before="40"/>
      </w:pPr>
    </w:p>
    <w:p>
      <w:pPr>
        <w:pStyle w:val="Heading3"/>
        <w:spacing w:after="100" w:before="200"/>
      </w:pPr>
      <w:r>
        <w:rPr>
          <w:rFonts w:ascii="Arial" w:cs="Arial" w:eastAsia="Arial" w:hAnsi="Arial"/>
          <w:b/>
          <w:bCs/>
          <w:i w:val="false"/>
          <w:iCs w:val="false"/>
          <w:color w:val="2563EB"/>
          <w:sz w:val="24"/>
          <w:szCs w:val="24"/>
        </w:rPr>
        <w:t xml:space="preserve">8.17 ERP Integration Layer (A2A Native)</w:t>
      </w:r>
    </w:p>
    <w:p>
      <w:pPr>
        <w:spacing w:after="40" w:before="40"/>
      </w:pPr>
    </w:p>
    <w:p>
      <w:pPr>
        <w:spacing w:after="60" w:before="60"/>
        <w:jc w:val="both"/>
      </w:pPr>
      <w:r>
        <w:rPr>
          <w:rFonts w:ascii="Arial" w:cs="Arial" w:eastAsia="Arial" w:hAnsi="Arial"/>
          <w:b/>
          <w:bCs/>
          <w:i w:val="false"/>
          <w:iCs w:val="false"/>
          <w:color w:val="111827"/>
          <w:sz w:val="20"/>
          <w:szCs w:val="20"/>
        </w:rPr>
        <w:t xml:space="preserve">Purpose:</w:t>
      </w:r>
      <w:r>
        <w:rPr>
          <w:rFonts w:ascii="Arial" w:cs="Arial" w:eastAsia="Arial" w:hAnsi="Arial"/>
          <w:b w:val="false"/>
          <w:bCs w:val="false"/>
          <w:i w:val="false"/>
          <w:iCs w:val="false"/>
          <w:color w:val="111827"/>
          <w:sz w:val="20"/>
          <w:szCs w:val="20"/>
        </w:rPr>
        <w:t xml:space="preserve"> Define the native integration points between A2A-CRM and the broader A2A ERP ecosystem, ensuring seamless data continuity across the student lifecycle.</w:t>
      </w:r>
    </w:p>
    <w:p>
      <w:pPr>
        <w:spacing w:after="40" w:before="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4"/>
      </w:tblGrid>
      <w:tr>
        <w:trPr>
          <w:tblHeader/>
        </w:trPr>
        <w:tc>
          <w:tcPr>
            <w:tcW w:type="dxa" w:w="3212"/>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top"/>
          </w:tcPr>
          <w:p>
            <w:pPr>
              <w:spacing w:after="0"/>
            </w:pPr>
            <w:r>
              <w:rPr>
                <w:rFonts w:ascii="Arial" w:cs="Arial" w:eastAsia="Arial" w:hAnsi="Arial"/>
                <w:b/>
                <w:bCs/>
                <w:i w:val="false"/>
                <w:iCs w:val="false"/>
                <w:color w:val="FFFFFF"/>
                <w:sz w:val="18"/>
                <w:szCs w:val="18"/>
              </w:rPr>
              <w:t xml:space="preserve">Req ID</w:t>
            </w:r>
          </w:p>
        </w:tc>
        <w:tc>
          <w:tcPr>
            <w:tcW w:type="dxa" w:w="3212"/>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top"/>
          </w:tcPr>
          <w:p>
            <w:pPr>
              <w:spacing w:after="0"/>
            </w:pPr>
            <w:r>
              <w:rPr>
                <w:rFonts w:ascii="Arial" w:cs="Arial" w:eastAsia="Arial" w:hAnsi="Arial"/>
                <w:b/>
                <w:bCs/>
                <w:i w:val="false"/>
                <w:iCs w:val="false"/>
                <w:color w:val="FFFFFF"/>
                <w:sz w:val="18"/>
                <w:szCs w:val="18"/>
              </w:rPr>
              <w:t xml:space="preserve">Requirement</w:t>
            </w:r>
          </w:p>
        </w:tc>
        <w:tc>
          <w:tcPr>
            <w:tcW w:type="dxa" w:w="3214"/>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top"/>
          </w:tcPr>
          <w:p>
            <w:pPr>
              <w:spacing w:after="0"/>
            </w:pPr>
            <w:r>
              <w:rPr>
                <w:rFonts w:ascii="Arial" w:cs="Arial" w:eastAsia="Arial" w:hAnsi="Arial"/>
                <w:b/>
                <w:bCs/>
                <w:i w:val="false"/>
                <w:iCs w:val="false"/>
                <w:color w:val="FFFFFF"/>
                <w:sz w:val="18"/>
                <w:szCs w:val="18"/>
              </w:rPr>
              <w:t xml:space="preserve">Priority</w:t>
            </w:r>
          </w:p>
        </w:tc>
      </w:tr>
      <w:tr>
        <w:trPr>
          <w:tblHeader w:val="false"/>
        </w:trPr>
        <w:tc>
          <w:tcPr>
            <w:tcW w:type="dxa" w:w="321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CRM-EI-001</w:t>
            </w:r>
          </w:p>
        </w:tc>
        <w:tc>
          <w:tcPr>
            <w:tcW w:type="dxa" w:w="321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Programme Master from A2A ERP shall be synchronised to CRM (programme name, code, duration, intake capacity, eligibility criteria)</w:t>
            </w:r>
          </w:p>
        </w:tc>
        <w:tc>
          <w:tcPr>
            <w:tcW w:type="dxa" w:w="3214"/>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Must Have</w:t>
            </w:r>
          </w:p>
        </w:tc>
      </w:tr>
      <w:tr>
        <w:trPr>
          <w:tblHeader w:val="false"/>
        </w:trPr>
        <w:tc>
          <w:tcPr>
            <w:tcW w:type="dxa" w:w="321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CRM-EI-002</w:t>
            </w:r>
          </w:p>
        </w:tc>
        <w:tc>
          <w:tcPr>
            <w:tcW w:type="dxa" w:w="321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Fee structure from A2A Fee module shall be accessible within CRM for display to applicants and counsellors without re-configuration</w:t>
            </w:r>
          </w:p>
        </w:tc>
        <w:tc>
          <w:tcPr>
            <w:tcW w:type="dxa" w:w="3214"/>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Must Have</w:t>
            </w:r>
          </w:p>
        </w:tc>
      </w:tr>
      <w:tr>
        <w:trPr>
          <w:tblHeader w:val="false"/>
        </w:trPr>
        <w:tc>
          <w:tcPr>
            <w:tcW w:type="dxa" w:w="321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CRM-EI-003</w:t>
            </w:r>
          </w:p>
        </w:tc>
        <w:tc>
          <w:tcPr>
            <w:tcW w:type="dxa" w:w="321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Academic Calendar (intake dates, application deadlines, orientation dates) from A2A ERP shall be visible in CRM</w:t>
            </w:r>
          </w:p>
        </w:tc>
        <w:tc>
          <w:tcPr>
            <w:tcW w:type="dxa" w:w="3214"/>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Must Have</w:t>
            </w:r>
          </w:p>
        </w:tc>
      </w:tr>
      <w:tr>
        <w:trPr>
          <w:tblHeader w:val="false"/>
        </w:trPr>
        <w:tc>
          <w:tcPr>
            <w:tcW w:type="dxa" w:w="321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CRM-EI-004</w:t>
            </w:r>
          </w:p>
        </w:tc>
        <w:tc>
          <w:tcPr>
            <w:tcW w:type="dxa" w:w="321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Seat availability (sanctioned intake vs. confirmed enrolments) shall reflect live A2A ERP data</w:t>
            </w:r>
          </w:p>
        </w:tc>
        <w:tc>
          <w:tcPr>
            <w:tcW w:type="dxa" w:w="3214"/>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Must Have</w:t>
            </w:r>
          </w:p>
        </w:tc>
      </w:tr>
      <w:tr>
        <w:trPr>
          <w:tblHeader w:val="false"/>
        </w:trPr>
        <w:tc>
          <w:tcPr>
            <w:tcW w:type="dxa" w:w="321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CRM-EI-005</w:t>
            </w:r>
          </w:p>
        </w:tc>
        <w:tc>
          <w:tcPr>
            <w:tcW w:type="dxa" w:w="321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Lead-to-Student conversion shall write to the A2A Student Master with full field mapping</w:t>
            </w:r>
          </w:p>
        </w:tc>
        <w:tc>
          <w:tcPr>
            <w:tcW w:type="dxa" w:w="3214"/>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Must Have</w:t>
            </w:r>
          </w:p>
        </w:tc>
      </w:tr>
      <w:tr>
        <w:trPr>
          <w:tblHeader w:val="false"/>
        </w:trPr>
        <w:tc>
          <w:tcPr>
            <w:tcW w:type="dxa" w:w="321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CRM-EI-006</w:t>
            </w:r>
          </w:p>
        </w:tc>
        <w:tc>
          <w:tcPr>
            <w:tcW w:type="dxa" w:w="321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CRM payments shall be reflected in A2A Fee module accounts (pre-admission fee accounting)</w:t>
            </w:r>
          </w:p>
        </w:tc>
        <w:tc>
          <w:tcPr>
            <w:tcW w:type="dxa" w:w="3214"/>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Must Have</w:t>
            </w:r>
          </w:p>
        </w:tc>
      </w:tr>
      <w:tr>
        <w:trPr>
          <w:tblHeader w:val="false"/>
        </w:trPr>
        <w:tc>
          <w:tcPr>
            <w:tcW w:type="dxa" w:w="321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CRM-EI-007</w:t>
            </w:r>
          </w:p>
        </w:tc>
        <w:tc>
          <w:tcPr>
            <w:tcW w:type="dxa" w:w="321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CRM documents shall be accessible from the A2A Student record post-conversion</w:t>
            </w:r>
          </w:p>
        </w:tc>
        <w:tc>
          <w:tcPr>
            <w:tcW w:type="dxa" w:w="3214"/>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Must Have</w:t>
            </w:r>
          </w:p>
        </w:tc>
      </w:tr>
      <w:tr>
        <w:trPr>
          <w:tblHeader w:val="false"/>
        </w:trPr>
        <w:tc>
          <w:tcPr>
            <w:tcW w:type="dxa" w:w="321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CRM-EI-008</w:t>
            </w:r>
          </w:p>
        </w:tc>
        <w:tc>
          <w:tcPr>
            <w:tcW w:type="dxa" w:w="321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A2A Alumni module shall receive graduate records, enabling alumni engagement and referral programme</w:t>
            </w:r>
          </w:p>
        </w:tc>
        <w:tc>
          <w:tcPr>
            <w:tcW w:type="dxa" w:w="3214"/>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Should Have</w:t>
            </w:r>
          </w:p>
        </w:tc>
      </w:tr>
      <w:tr>
        <w:trPr>
          <w:tblHeader w:val="false"/>
        </w:trPr>
        <w:tc>
          <w:tcPr>
            <w:tcW w:type="dxa" w:w="321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CRM-EI-009</w:t>
            </w:r>
          </w:p>
        </w:tc>
        <w:tc>
          <w:tcPr>
            <w:tcW w:type="dxa" w:w="321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TalenTicks HRMS shall receive counsellor activity data for HR performance review integration</w:t>
            </w:r>
          </w:p>
        </w:tc>
        <w:tc>
          <w:tcPr>
            <w:tcW w:type="dxa" w:w="3214"/>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Could Have</w:t>
            </w:r>
          </w:p>
        </w:tc>
      </w:tr>
      <w:tr>
        <w:trPr>
          <w:tblHeader w:val="false"/>
        </w:trPr>
        <w:tc>
          <w:tcPr>
            <w:tcW w:type="dxa" w:w="321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CRM-EI-010</w:t>
            </w:r>
          </w:p>
        </w:tc>
        <w:tc>
          <w:tcPr>
            <w:tcW w:type="dxa" w:w="321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CamPLUS / Moodle LMS enrolment shall be auto-triggered for enrolled students upon CRM-to-ERP conversion</w:t>
            </w:r>
          </w:p>
        </w:tc>
        <w:tc>
          <w:tcPr>
            <w:tcW w:type="dxa" w:w="3214"/>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Should Have</w:t>
            </w:r>
          </w:p>
        </w:tc>
      </w:tr>
    </w:tbl>
    <w:p>
      <w:pPr>
        <w:spacing w:after="160" w:before="80"/>
      </w:pPr>
    </w:p>
    <w:p>
      <w:pPr>
        <w:spacing w:after="40" w:before="40"/>
      </w:pPr>
    </w:p>
    <w:p>
      <w:pPr>
        <w:pBdr>
          <w:bottom w:val="single" w:color="D1D5DB" w:sz="3" w:space="1"/>
        </w:pBdr>
        <w:spacing w:after="80" w:before="80"/>
      </w:pPr>
    </w:p>
    <w:p>
      <w:pPr>
        <w:spacing w:after="40" w:before="40"/>
      </w:pPr>
    </w:p>
    <w:p>
      <w:pPr>
        <w:pStyle w:val="Heading3"/>
        <w:spacing w:after="100" w:before="200"/>
      </w:pPr>
      <w:r>
        <w:rPr>
          <w:rFonts w:ascii="Arial" w:cs="Arial" w:eastAsia="Arial" w:hAnsi="Arial"/>
          <w:b/>
          <w:bCs/>
          <w:i w:val="false"/>
          <w:iCs w:val="false"/>
          <w:color w:val="2563EB"/>
          <w:sz w:val="24"/>
          <w:szCs w:val="24"/>
        </w:rPr>
        <w:t xml:space="preserve">8.18 Third-Party Integrations</w:t>
      </w:r>
    </w:p>
    <w:p>
      <w:pPr>
        <w:spacing w:after="40" w:before="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4"/>
      </w:tblGrid>
      <w:tr>
        <w:trPr>
          <w:tblHeader/>
        </w:trPr>
        <w:tc>
          <w:tcPr>
            <w:tcW w:type="dxa" w:w="3212"/>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top"/>
          </w:tcPr>
          <w:p>
            <w:pPr>
              <w:spacing w:after="0"/>
            </w:pPr>
            <w:r>
              <w:rPr>
                <w:rFonts w:ascii="Arial" w:cs="Arial" w:eastAsia="Arial" w:hAnsi="Arial"/>
                <w:b/>
                <w:bCs/>
                <w:i w:val="false"/>
                <w:iCs w:val="false"/>
                <w:color w:val="FFFFFF"/>
                <w:sz w:val="18"/>
                <w:szCs w:val="18"/>
              </w:rPr>
              <w:t xml:space="preserve">Integration Category</w:t>
            </w:r>
          </w:p>
        </w:tc>
        <w:tc>
          <w:tcPr>
            <w:tcW w:type="dxa" w:w="3212"/>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top"/>
          </w:tcPr>
          <w:p>
            <w:pPr>
              <w:spacing w:after="0"/>
            </w:pPr>
            <w:r>
              <w:rPr>
                <w:rFonts w:ascii="Arial" w:cs="Arial" w:eastAsia="Arial" w:hAnsi="Arial"/>
                <w:b/>
                <w:bCs/>
                <w:i w:val="false"/>
                <w:iCs w:val="false"/>
                <w:color w:val="FFFFFF"/>
                <w:sz w:val="18"/>
                <w:szCs w:val="18"/>
              </w:rPr>
              <w:t xml:space="preserve">Specific Integrations</w:t>
            </w:r>
          </w:p>
        </w:tc>
        <w:tc>
          <w:tcPr>
            <w:tcW w:type="dxa" w:w="3214"/>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top"/>
          </w:tcPr>
          <w:p>
            <w:pPr>
              <w:spacing w:after="0"/>
            </w:pPr>
            <w:r>
              <w:rPr>
                <w:rFonts w:ascii="Arial" w:cs="Arial" w:eastAsia="Arial" w:hAnsi="Arial"/>
                <w:b/>
                <w:bCs/>
                <w:i w:val="false"/>
                <w:iCs w:val="false"/>
                <w:color w:val="FFFFFF"/>
                <w:sz w:val="18"/>
                <w:szCs w:val="18"/>
              </w:rPr>
              <w:t xml:space="preserve">Priority</w:t>
            </w:r>
          </w:p>
        </w:tc>
      </w:tr>
      <w:tr>
        <w:trPr>
          <w:tblHeader w:val="false"/>
        </w:trPr>
        <w:tc>
          <w:tcPr>
            <w:tcW w:type="dxa" w:w="321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Email Gateways</w:t>
            </w:r>
          </w:p>
        </w:tc>
        <w:tc>
          <w:tcPr>
            <w:tcW w:type="dxa" w:w="321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SMTP (custom), SendGrid, AWS SES</w:t>
            </w:r>
          </w:p>
        </w:tc>
        <w:tc>
          <w:tcPr>
            <w:tcW w:type="dxa" w:w="3214"/>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Must Have</w:t>
            </w:r>
          </w:p>
        </w:tc>
      </w:tr>
      <w:tr>
        <w:trPr>
          <w:tblHeader w:val="false"/>
        </w:trPr>
        <w:tc>
          <w:tcPr>
            <w:tcW w:type="dxa" w:w="321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SMS Gateways</w:t>
            </w:r>
          </w:p>
        </w:tc>
        <w:tc>
          <w:tcPr>
            <w:tcW w:type="dxa" w:w="321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MSG91, Textlocal, Kaleyra, Exotel SMS</w:t>
            </w:r>
          </w:p>
        </w:tc>
        <w:tc>
          <w:tcPr>
            <w:tcW w:type="dxa" w:w="3214"/>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Must Have</w:t>
            </w:r>
          </w:p>
        </w:tc>
      </w:tr>
      <w:tr>
        <w:trPr>
          <w:tblHeader w:val="false"/>
        </w:trPr>
        <w:tc>
          <w:tcPr>
            <w:tcW w:type="dxa" w:w="321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WhatsApp BSP</w:t>
            </w:r>
          </w:p>
        </w:tc>
        <w:tc>
          <w:tcPr>
            <w:tcW w:type="dxa" w:w="321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Interakt, Wati, 360dialog, Gupshup</w:t>
            </w:r>
          </w:p>
        </w:tc>
        <w:tc>
          <w:tcPr>
            <w:tcW w:type="dxa" w:w="3214"/>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Must Have</w:t>
            </w:r>
          </w:p>
        </w:tc>
      </w:tr>
      <w:tr>
        <w:trPr>
          <w:tblHeader w:val="false"/>
        </w:trPr>
        <w:tc>
          <w:tcPr>
            <w:tcW w:type="dxa" w:w="321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Telephony / IVR</w:t>
            </w:r>
          </w:p>
        </w:tc>
        <w:tc>
          <w:tcPr>
            <w:tcW w:type="dxa" w:w="321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Exotel, Ozonetel, Knowlarity, Tata Tele</w:t>
            </w:r>
          </w:p>
        </w:tc>
        <w:tc>
          <w:tcPr>
            <w:tcW w:type="dxa" w:w="3214"/>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Must Have</w:t>
            </w:r>
          </w:p>
        </w:tc>
      </w:tr>
      <w:tr>
        <w:trPr>
          <w:tblHeader w:val="false"/>
        </w:trPr>
        <w:tc>
          <w:tcPr>
            <w:tcW w:type="dxa" w:w="321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Payment Gateways</w:t>
            </w:r>
          </w:p>
        </w:tc>
        <w:tc>
          <w:tcPr>
            <w:tcW w:type="dxa" w:w="321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Razorpay, PayU, CCAvenue</w:t>
            </w:r>
          </w:p>
        </w:tc>
        <w:tc>
          <w:tcPr>
            <w:tcW w:type="dxa" w:w="3214"/>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Must Have</w:t>
            </w:r>
          </w:p>
        </w:tc>
      </w:tr>
      <w:tr>
        <w:trPr>
          <w:tblHeader w:val="false"/>
        </w:trPr>
        <w:tc>
          <w:tcPr>
            <w:tcW w:type="dxa" w:w="321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Education Portals</w:t>
            </w:r>
          </w:p>
        </w:tc>
        <w:tc>
          <w:tcPr>
            <w:tcW w:type="dxa" w:w="321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Shiksha, CollegeDekho, Careers360, Collegedunia (lead import API)</w:t>
            </w:r>
          </w:p>
        </w:tc>
        <w:tc>
          <w:tcPr>
            <w:tcW w:type="dxa" w:w="3214"/>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Must Have</w:t>
            </w:r>
          </w:p>
        </w:tc>
      </w:tr>
      <w:tr>
        <w:trPr>
          <w:tblHeader w:val="false"/>
        </w:trPr>
        <w:tc>
          <w:tcPr>
            <w:tcW w:type="dxa" w:w="321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Social / Ad Platforms</w:t>
            </w:r>
          </w:p>
        </w:tc>
        <w:tc>
          <w:tcPr>
            <w:tcW w:type="dxa" w:w="321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Meta Lead Ads, Google Lead Form Extensions</w:t>
            </w:r>
          </w:p>
        </w:tc>
        <w:tc>
          <w:tcPr>
            <w:tcW w:type="dxa" w:w="3214"/>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Must Have</w:t>
            </w:r>
          </w:p>
        </w:tc>
      </w:tr>
      <w:tr>
        <w:trPr>
          <w:tblHeader w:val="false"/>
        </w:trPr>
        <w:tc>
          <w:tcPr>
            <w:tcW w:type="dxa" w:w="321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Document Verification</w:t>
            </w:r>
          </w:p>
        </w:tc>
        <w:tc>
          <w:tcPr>
            <w:tcW w:type="dxa" w:w="321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API Setu — DigiLocker, Aadhaar eKYC</w:t>
            </w:r>
          </w:p>
        </w:tc>
        <w:tc>
          <w:tcPr>
            <w:tcW w:type="dxa" w:w="3214"/>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Should Have</w:t>
            </w:r>
          </w:p>
        </w:tc>
      </w:tr>
      <w:tr>
        <w:trPr>
          <w:tblHeader w:val="false"/>
        </w:trPr>
        <w:tc>
          <w:tcPr>
            <w:tcW w:type="dxa" w:w="321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Video Conferencing</w:t>
            </w:r>
          </w:p>
        </w:tc>
        <w:tc>
          <w:tcPr>
            <w:tcW w:type="dxa" w:w="321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Zoom, Google Meet</w:t>
            </w:r>
          </w:p>
        </w:tc>
        <w:tc>
          <w:tcPr>
            <w:tcW w:type="dxa" w:w="3214"/>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Should Have</w:t>
            </w:r>
          </w:p>
        </w:tc>
      </w:tr>
      <w:tr>
        <w:trPr>
          <w:tblHeader w:val="false"/>
        </w:trPr>
        <w:tc>
          <w:tcPr>
            <w:tcW w:type="dxa" w:w="321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Cloud Storage</w:t>
            </w:r>
          </w:p>
        </w:tc>
        <w:tc>
          <w:tcPr>
            <w:tcW w:type="dxa" w:w="321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AWS S3, Google Cloud Storage (document hosting)</w:t>
            </w:r>
          </w:p>
        </w:tc>
        <w:tc>
          <w:tcPr>
            <w:tcW w:type="dxa" w:w="3214"/>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Must Have</w:t>
            </w:r>
          </w:p>
        </w:tc>
      </w:tr>
      <w:tr>
        <w:trPr>
          <w:tblHeader w:val="false"/>
        </w:trPr>
        <w:tc>
          <w:tcPr>
            <w:tcW w:type="dxa" w:w="321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Analytics / BI</w:t>
            </w:r>
          </w:p>
        </w:tc>
        <w:tc>
          <w:tcPr>
            <w:tcW w:type="dxa" w:w="321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Power BI, Google Data Studio (data export API)</w:t>
            </w:r>
          </w:p>
        </w:tc>
        <w:tc>
          <w:tcPr>
            <w:tcW w:type="dxa" w:w="3214"/>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Could Have</w:t>
            </w:r>
          </w:p>
        </w:tc>
      </w:tr>
      <w:tr>
        <w:trPr>
          <w:tblHeader w:val="false"/>
        </w:trPr>
        <w:tc>
          <w:tcPr>
            <w:tcW w:type="dxa" w:w="321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ERP (External)</w:t>
            </w:r>
          </w:p>
        </w:tc>
        <w:tc>
          <w:tcPr>
            <w:tcW w:type="dxa" w:w="321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REST API for non-A2A ERP integration (for standalone CRM licensing)</w:t>
            </w:r>
          </w:p>
        </w:tc>
        <w:tc>
          <w:tcPr>
            <w:tcW w:type="dxa" w:w="3214"/>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Should Have</w:t>
            </w:r>
          </w:p>
        </w:tc>
      </w:tr>
      <w:tr>
        <w:trPr>
          <w:tblHeader w:val="false"/>
        </w:trPr>
        <w:tc>
          <w:tcPr>
            <w:tcW w:type="dxa" w:w="321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AI / LLM</w:t>
            </w:r>
          </w:p>
        </w:tc>
        <w:tc>
          <w:tcPr>
            <w:tcW w:type="dxa" w:w="321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Anthropic Claude API</w:t>
            </w:r>
          </w:p>
        </w:tc>
        <w:tc>
          <w:tcPr>
            <w:tcW w:type="dxa" w:w="3214"/>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Must Have</w:t>
            </w:r>
          </w:p>
        </w:tc>
      </w:tr>
    </w:tbl>
    <w:p>
      <w:pPr>
        <w:spacing w:after="160" w:before="80"/>
      </w:pPr>
    </w:p>
    <w:p>
      <w:pPr>
        <w:spacing w:after="40" w:before="40"/>
      </w:pPr>
    </w:p>
    <w:p>
      <w:pPr>
        <w:pBdr>
          <w:bottom w:val="single" w:color="D1D5DB" w:sz="3" w:space="1"/>
        </w:pBdr>
        <w:spacing w:after="80" w:before="80"/>
      </w:pPr>
    </w:p>
    <w:p>
      <w:pPr>
        <w:spacing w:after="40" w:before="40"/>
      </w:pPr>
    </w:p>
    <w:p>
      <w:pPr>
        <w:pStyle w:val="Heading3"/>
        <w:spacing w:after="100" w:before="200"/>
      </w:pPr>
      <w:r>
        <w:rPr>
          <w:rFonts w:ascii="Arial" w:cs="Arial" w:eastAsia="Arial" w:hAnsi="Arial"/>
          <w:b/>
          <w:bCs/>
          <w:i w:val="false"/>
          <w:iCs w:val="false"/>
          <w:color w:val="2563EB"/>
          <w:sz w:val="24"/>
          <w:szCs w:val="24"/>
        </w:rPr>
        <w:t xml:space="preserve">8.19 System Administration and Configuration</w:t>
      </w:r>
    </w:p>
    <w:p>
      <w:pPr>
        <w:spacing w:after="40" w:before="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4"/>
      </w:tblGrid>
      <w:tr>
        <w:trPr>
          <w:tblHeader/>
        </w:trPr>
        <w:tc>
          <w:tcPr>
            <w:tcW w:type="dxa" w:w="3212"/>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top"/>
          </w:tcPr>
          <w:p>
            <w:pPr>
              <w:spacing w:after="0"/>
            </w:pPr>
            <w:r>
              <w:rPr>
                <w:rFonts w:ascii="Arial" w:cs="Arial" w:eastAsia="Arial" w:hAnsi="Arial"/>
                <w:b/>
                <w:bCs/>
                <w:i w:val="false"/>
                <w:iCs w:val="false"/>
                <w:color w:val="FFFFFF"/>
                <w:sz w:val="18"/>
                <w:szCs w:val="18"/>
              </w:rPr>
              <w:t xml:space="preserve">Req ID</w:t>
            </w:r>
          </w:p>
        </w:tc>
        <w:tc>
          <w:tcPr>
            <w:tcW w:type="dxa" w:w="3212"/>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top"/>
          </w:tcPr>
          <w:p>
            <w:pPr>
              <w:spacing w:after="0"/>
            </w:pPr>
            <w:r>
              <w:rPr>
                <w:rFonts w:ascii="Arial" w:cs="Arial" w:eastAsia="Arial" w:hAnsi="Arial"/>
                <w:b/>
                <w:bCs/>
                <w:i w:val="false"/>
                <w:iCs w:val="false"/>
                <w:color w:val="FFFFFF"/>
                <w:sz w:val="18"/>
                <w:szCs w:val="18"/>
              </w:rPr>
              <w:t xml:space="preserve">Requirement</w:t>
            </w:r>
          </w:p>
        </w:tc>
        <w:tc>
          <w:tcPr>
            <w:tcW w:type="dxa" w:w="3214"/>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top"/>
          </w:tcPr>
          <w:p>
            <w:pPr>
              <w:spacing w:after="0"/>
            </w:pPr>
            <w:r>
              <w:rPr>
                <w:rFonts w:ascii="Arial" w:cs="Arial" w:eastAsia="Arial" w:hAnsi="Arial"/>
                <w:b/>
                <w:bCs/>
                <w:i w:val="false"/>
                <w:iCs w:val="false"/>
                <w:color w:val="FFFFFF"/>
                <w:sz w:val="18"/>
                <w:szCs w:val="18"/>
              </w:rPr>
              <w:t xml:space="preserve">Priority</w:t>
            </w:r>
          </w:p>
        </w:tc>
      </w:tr>
      <w:tr>
        <w:trPr>
          <w:tblHeader w:val="false"/>
        </w:trPr>
        <w:tc>
          <w:tcPr>
            <w:tcW w:type="dxa" w:w="321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CRM-SA-001</w:t>
            </w:r>
          </w:p>
        </w:tc>
        <w:tc>
          <w:tcPr>
            <w:tcW w:type="dxa" w:w="321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Multi-institution support: A single A2A-CRM deployment shall support multiple institutions with complete data segregation</w:t>
            </w:r>
          </w:p>
        </w:tc>
        <w:tc>
          <w:tcPr>
            <w:tcW w:type="dxa" w:w="3214"/>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Must Have</w:t>
            </w:r>
          </w:p>
        </w:tc>
      </w:tr>
      <w:tr>
        <w:trPr>
          <w:tblHeader w:val="false"/>
        </w:trPr>
        <w:tc>
          <w:tcPr>
            <w:tcW w:type="dxa" w:w="321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CRM-SA-002</w:t>
            </w:r>
          </w:p>
        </w:tc>
        <w:tc>
          <w:tcPr>
            <w:tcW w:type="dxa" w:w="321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Multi-campus support within a single institution: campus-level data and reporting</w:t>
            </w:r>
          </w:p>
        </w:tc>
        <w:tc>
          <w:tcPr>
            <w:tcW w:type="dxa" w:w="3214"/>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Must Have</w:t>
            </w:r>
          </w:p>
        </w:tc>
      </w:tr>
      <w:tr>
        <w:trPr>
          <w:tblHeader w:val="false"/>
        </w:trPr>
        <w:tc>
          <w:tcPr>
            <w:tcW w:type="dxa" w:w="321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CRM-SA-003</w:t>
            </w:r>
          </w:p>
        </w:tc>
        <w:tc>
          <w:tcPr>
            <w:tcW w:type="dxa" w:w="321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Academic year / admission cycle management with rollover</w:t>
            </w:r>
          </w:p>
        </w:tc>
        <w:tc>
          <w:tcPr>
            <w:tcW w:type="dxa" w:w="3214"/>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Must Have</w:t>
            </w:r>
          </w:p>
        </w:tc>
      </w:tr>
      <w:tr>
        <w:trPr>
          <w:tblHeader w:val="false"/>
        </w:trPr>
        <w:tc>
          <w:tcPr>
            <w:tcW w:type="dxa" w:w="321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CRM-SA-004</w:t>
            </w:r>
          </w:p>
        </w:tc>
        <w:tc>
          <w:tcPr>
            <w:tcW w:type="dxa" w:w="321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Full audit trail for all CRM data changes (who changed what, when)</w:t>
            </w:r>
          </w:p>
        </w:tc>
        <w:tc>
          <w:tcPr>
            <w:tcW w:type="dxa" w:w="3214"/>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Must Have</w:t>
            </w:r>
          </w:p>
        </w:tc>
      </w:tr>
      <w:tr>
        <w:trPr>
          <w:tblHeader w:val="false"/>
        </w:trPr>
        <w:tc>
          <w:tcPr>
            <w:tcW w:type="dxa" w:w="321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CRM-SA-005</w:t>
            </w:r>
          </w:p>
        </w:tc>
        <w:tc>
          <w:tcPr>
            <w:tcW w:type="dxa" w:w="321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Data import and export tools (leads, applications, contacts) in CSV/Excel</w:t>
            </w:r>
          </w:p>
        </w:tc>
        <w:tc>
          <w:tcPr>
            <w:tcW w:type="dxa" w:w="3214"/>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Must Have</w:t>
            </w:r>
          </w:p>
        </w:tc>
      </w:tr>
      <w:tr>
        <w:trPr>
          <w:tblHeader w:val="false"/>
        </w:trPr>
        <w:tc>
          <w:tcPr>
            <w:tcW w:type="dxa" w:w="321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CRM-SA-006</w:t>
            </w:r>
          </w:p>
        </w:tc>
        <w:tc>
          <w:tcPr>
            <w:tcW w:type="dxa" w:w="321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System configuration: business hours, time zones, language/locale, institution branding</w:t>
            </w:r>
          </w:p>
        </w:tc>
        <w:tc>
          <w:tcPr>
            <w:tcW w:type="dxa" w:w="3214"/>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Must Have</w:t>
            </w:r>
          </w:p>
        </w:tc>
      </w:tr>
      <w:tr>
        <w:trPr>
          <w:tblHeader w:val="false"/>
        </w:trPr>
        <w:tc>
          <w:tcPr>
            <w:tcW w:type="dxa" w:w="321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CRM-SA-007</w:t>
            </w:r>
          </w:p>
        </w:tc>
        <w:tc>
          <w:tcPr>
            <w:tcW w:type="dxa" w:w="321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Workflow and automation template library (pre-built journeys for common scenarios)</w:t>
            </w:r>
          </w:p>
        </w:tc>
        <w:tc>
          <w:tcPr>
            <w:tcW w:type="dxa" w:w="3214"/>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Should Have</w:t>
            </w:r>
          </w:p>
        </w:tc>
      </w:tr>
      <w:tr>
        <w:trPr>
          <w:tblHeader w:val="false"/>
        </w:trPr>
        <w:tc>
          <w:tcPr>
            <w:tcW w:type="dxa" w:w="321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CRM-SA-008</w:t>
            </w:r>
          </w:p>
        </w:tc>
        <w:tc>
          <w:tcPr>
            <w:tcW w:type="dxa" w:w="321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Custom field management for leads, applications, and students</w:t>
            </w:r>
          </w:p>
        </w:tc>
        <w:tc>
          <w:tcPr>
            <w:tcW w:type="dxa" w:w="3214"/>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Must Have</w:t>
            </w:r>
          </w:p>
        </w:tc>
      </w:tr>
      <w:tr>
        <w:trPr>
          <w:tblHeader w:val="false"/>
        </w:trPr>
        <w:tc>
          <w:tcPr>
            <w:tcW w:type="dxa" w:w="321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CRM-SA-009</w:t>
            </w:r>
          </w:p>
        </w:tc>
        <w:tc>
          <w:tcPr>
            <w:tcW w:type="dxa" w:w="321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Email and notification template management</w:t>
            </w:r>
          </w:p>
        </w:tc>
        <w:tc>
          <w:tcPr>
            <w:tcW w:type="dxa" w:w="3214"/>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Must Have</w:t>
            </w:r>
          </w:p>
        </w:tc>
      </w:tr>
      <w:tr>
        <w:trPr>
          <w:tblHeader w:val="false"/>
        </w:trPr>
        <w:tc>
          <w:tcPr>
            <w:tcW w:type="dxa" w:w="321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CRM-SA-010</w:t>
            </w:r>
          </w:p>
        </w:tc>
        <w:tc>
          <w:tcPr>
            <w:tcW w:type="dxa" w:w="321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Integration credential management (API keys, gateway configurations) with encrypted storage</w:t>
            </w:r>
          </w:p>
        </w:tc>
        <w:tc>
          <w:tcPr>
            <w:tcW w:type="dxa" w:w="3214"/>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Must Have</w:t>
            </w:r>
          </w:p>
        </w:tc>
      </w:tr>
      <w:tr>
        <w:trPr>
          <w:tblHeader w:val="false"/>
        </w:trPr>
        <w:tc>
          <w:tcPr>
            <w:tcW w:type="dxa" w:w="321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CRM-SA-011</w:t>
            </w:r>
          </w:p>
        </w:tc>
        <w:tc>
          <w:tcPr>
            <w:tcW w:type="dxa" w:w="321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System health monitoring dashboard for admins (API status, queue depths, error logs)</w:t>
            </w:r>
          </w:p>
        </w:tc>
        <w:tc>
          <w:tcPr>
            <w:tcW w:type="dxa" w:w="3214"/>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Should Have</w:t>
            </w:r>
          </w:p>
        </w:tc>
      </w:tr>
      <w:tr>
        <w:trPr>
          <w:tblHeader w:val="false"/>
        </w:trPr>
        <w:tc>
          <w:tcPr>
            <w:tcW w:type="dxa" w:w="321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CRM-SA-012</w:t>
            </w:r>
          </w:p>
        </w:tc>
        <w:tc>
          <w:tcPr>
            <w:tcW w:type="dxa" w:w="321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Backup and restore capabilities with configurable frequency</w:t>
            </w:r>
          </w:p>
        </w:tc>
        <w:tc>
          <w:tcPr>
            <w:tcW w:type="dxa" w:w="3214"/>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Must Have</w:t>
            </w:r>
          </w:p>
        </w:tc>
      </w:tr>
    </w:tbl>
    <w:p>
      <w:pPr>
        <w:spacing w:after="160" w:before="80"/>
      </w:pPr>
    </w:p>
    <w:p>
      <w:pPr>
        <w:spacing w:after="40" w:before="40"/>
      </w:pPr>
    </w:p>
    <w:p>
      <w:pPr>
        <w:pBdr>
          <w:bottom w:val="single" w:color="D1D5DB" w:sz="3" w:space="1"/>
        </w:pBdr>
        <w:spacing w:after="80" w:before="80"/>
      </w:pPr>
    </w:p>
    <w:p>
      <w:pPr>
        <w:spacing w:after="40" w:before="40"/>
      </w:pPr>
    </w:p>
    <w:p>
      <w:pPr>
        <w:pStyle w:val="Heading1"/>
        <w:spacing w:after="0" w:before="160"/>
      </w:pPr>
      <w:r>
        <w:rPr>
          <w:rFonts w:ascii="Arial" w:cs="Arial" w:eastAsia="Arial" w:hAnsi="Arial"/>
          <w:b/>
          <w:bCs/>
          <w:i w:val="false"/>
          <w:iCs w:val="false"/>
          <w:color w:val="1B2A4A"/>
          <w:sz w:val="28"/>
          <w:szCs w:val="28"/>
        </w:rPr>
        <w:t xml:space="preserve">9. Non-Functional Requirements</w:t>
      </w:r>
    </w:p>
    <w:p>
      <w:pPr>
        <w:spacing w:after="80" w:before="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B2A4A" w:sz="1"/>
              <w:left w:val="single" w:color="1B2A4A" w:sz="1"/>
              <w:bottom w:val="single" w:color="1B2A4A" w:sz="1"/>
              <w:right w:val="single" w:color="1B2A4A" w:sz="1"/>
            </w:tcBorders>
            <w:shd w:fill="1B2A4A" w:val="clear"/>
            <w:tcMar>
              <w:top w:type="dxa" w:w="120"/>
              <w:left w:type="dxa" w:w="160"/>
              <w:bottom w:type="dxa" w:w="120"/>
              <w:right w:type="dxa" w:w="160"/>
            </w:tcMar>
          </w:tcPr>
          <w:p>
            <w:pPr>
              <w:jc w:val="left"/>
            </w:pPr>
            <w:r>
              <w:rPr>
                <w:rFonts w:ascii="Arial" w:cs="Arial" w:eastAsia="Arial" w:hAnsi="Arial"/>
                <w:b/>
                <w:bCs/>
                <w:i w:val="false"/>
                <w:iCs w:val="false"/>
                <w:color w:val="FFFFFF"/>
                <w:sz w:val="28"/>
                <w:szCs w:val="28"/>
              </w:rPr>
              <w:t xml:space="preserve">9. Non-Functional Requirements</w:t>
            </w:r>
          </w:p>
        </w:tc>
      </w:tr>
    </w:tbl>
    <w:p>
      <w:pPr>
        <w:spacing w:after="80" w:before="80"/>
      </w:pPr>
    </w:p>
    <w:p>
      <w:pPr>
        <w:spacing w:after="80" w:before="80"/>
      </w:pPr>
    </w:p>
    <w:p>
      <w:pPr>
        <w:spacing w:after="40" w:before="40"/>
      </w:pPr>
    </w:p>
    <w:p>
      <w:pPr>
        <w:pStyle w:val="Heading3"/>
        <w:spacing w:after="100" w:before="200"/>
      </w:pPr>
      <w:r>
        <w:rPr>
          <w:rFonts w:ascii="Arial" w:cs="Arial" w:eastAsia="Arial" w:hAnsi="Arial"/>
          <w:b/>
          <w:bCs/>
          <w:i w:val="false"/>
          <w:iCs w:val="false"/>
          <w:color w:val="2563EB"/>
          <w:sz w:val="24"/>
          <w:szCs w:val="24"/>
        </w:rPr>
        <w:t xml:space="preserve">9.1 Performance</w:t>
      </w:r>
    </w:p>
    <w:p>
      <w:pPr>
        <w:spacing w:after="40" w:before="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4"/>
      </w:tblGrid>
      <w:tr>
        <w:trPr>
          <w:tblHeader/>
        </w:trPr>
        <w:tc>
          <w:tcPr>
            <w:tcW w:type="dxa" w:w="3212"/>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top"/>
          </w:tcPr>
          <w:p>
            <w:pPr>
              <w:spacing w:after="0"/>
            </w:pPr>
            <w:r>
              <w:rPr>
                <w:rFonts w:ascii="Arial" w:cs="Arial" w:eastAsia="Arial" w:hAnsi="Arial"/>
                <w:b/>
                <w:bCs/>
                <w:i w:val="false"/>
                <w:iCs w:val="false"/>
                <w:color w:val="FFFFFF"/>
                <w:sz w:val="18"/>
                <w:szCs w:val="18"/>
              </w:rPr>
              <w:t xml:space="preserve">Req ID</w:t>
            </w:r>
          </w:p>
        </w:tc>
        <w:tc>
          <w:tcPr>
            <w:tcW w:type="dxa" w:w="3212"/>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top"/>
          </w:tcPr>
          <w:p>
            <w:pPr>
              <w:spacing w:after="0"/>
            </w:pPr>
            <w:r>
              <w:rPr>
                <w:rFonts w:ascii="Arial" w:cs="Arial" w:eastAsia="Arial" w:hAnsi="Arial"/>
                <w:b/>
                <w:bCs/>
                <w:i w:val="false"/>
                <w:iCs w:val="false"/>
                <w:color w:val="FFFFFF"/>
                <w:sz w:val="18"/>
                <w:szCs w:val="18"/>
              </w:rPr>
              <w:t xml:space="preserve">Requirement</w:t>
            </w:r>
          </w:p>
        </w:tc>
        <w:tc>
          <w:tcPr>
            <w:tcW w:type="dxa" w:w="3214"/>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top"/>
          </w:tcPr>
          <w:p>
            <w:pPr>
              <w:spacing w:after="0"/>
            </w:pPr>
            <w:r>
              <w:rPr>
                <w:rFonts w:ascii="Arial" w:cs="Arial" w:eastAsia="Arial" w:hAnsi="Arial"/>
                <w:b/>
                <w:bCs/>
                <w:i w:val="false"/>
                <w:iCs w:val="false"/>
                <w:color w:val="FFFFFF"/>
                <w:sz w:val="18"/>
                <w:szCs w:val="18"/>
              </w:rPr>
              <w:t xml:space="preserve">Target</w:t>
            </w:r>
          </w:p>
        </w:tc>
      </w:tr>
      <w:tr>
        <w:trPr>
          <w:tblHeader w:val="false"/>
        </w:trPr>
        <w:tc>
          <w:tcPr>
            <w:tcW w:type="dxa" w:w="321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NFR-P-001</w:t>
            </w:r>
          </w:p>
        </w:tc>
        <w:tc>
          <w:tcPr>
            <w:tcW w:type="dxa" w:w="321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Page load time (dashboard, lead list, lead record)</w:t>
            </w:r>
          </w:p>
        </w:tc>
        <w:tc>
          <w:tcPr>
            <w:tcW w:type="dxa" w:w="3214"/>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&lt; 3 seconds (standard connection)</w:t>
            </w:r>
          </w:p>
        </w:tc>
      </w:tr>
      <w:tr>
        <w:trPr>
          <w:tblHeader w:val="false"/>
        </w:trPr>
        <w:tc>
          <w:tcPr>
            <w:tcW w:type="dxa" w:w="321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NFR-P-002</w:t>
            </w:r>
          </w:p>
        </w:tc>
        <w:tc>
          <w:tcPr>
            <w:tcW w:type="dxa" w:w="321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Search results (lead search, report query)</w:t>
            </w:r>
          </w:p>
        </w:tc>
        <w:tc>
          <w:tcPr>
            <w:tcW w:type="dxa" w:w="3214"/>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&lt; 2 seconds</w:t>
            </w:r>
          </w:p>
        </w:tc>
      </w:tr>
      <w:tr>
        <w:trPr>
          <w:tblHeader w:val="false"/>
        </w:trPr>
        <w:tc>
          <w:tcPr>
            <w:tcW w:type="dxa" w:w="321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NFR-P-003</w:t>
            </w:r>
          </w:p>
        </w:tc>
        <w:tc>
          <w:tcPr>
            <w:tcW w:type="dxa" w:w="321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Concurrent user support per institution</w:t>
            </w:r>
          </w:p>
        </w:tc>
        <w:tc>
          <w:tcPr>
            <w:tcW w:type="dxa" w:w="3214"/>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Minimum 500 concurrent users</w:t>
            </w:r>
          </w:p>
        </w:tc>
      </w:tr>
      <w:tr>
        <w:trPr>
          <w:tblHeader w:val="false"/>
        </w:trPr>
        <w:tc>
          <w:tcPr>
            <w:tcW w:type="dxa" w:w="321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NFR-P-004</w:t>
            </w:r>
          </w:p>
        </w:tc>
        <w:tc>
          <w:tcPr>
            <w:tcW w:type="dxa" w:w="321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Bulk operation (email blast to 10,000 leads)</w:t>
            </w:r>
          </w:p>
        </w:tc>
        <w:tc>
          <w:tcPr>
            <w:tcW w:type="dxa" w:w="3214"/>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Initiated within 30 seconds, completed per gateway SLA</w:t>
            </w:r>
          </w:p>
        </w:tc>
      </w:tr>
      <w:tr>
        <w:trPr>
          <w:tblHeader w:val="false"/>
        </w:trPr>
        <w:tc>
          <w:tcPr>
            <w:tcW w:type="dxa" w:w="321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NFR-P-005</w:t>
            </w:r>
          </w:p>
        </w:tc>
        <w:tc>
          <w:tcPr>
            <w:tcW w:type="dxa" w:w="321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API response time for all integration endpoints</w:t>
            </w:r>
          </w:p>
        </w:tc>
        <w:tc>
          <w:tcPr>
            <w:tcW w:type="dxa" w:w="3214"/>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&lt; 500ms (95th percentile)</w:t>
            </w:r>
          </w:p>
        </w:tc>
      </w:tr>
    </w:tbl>
    <w:p>
      <w:pPr>
        <w:spacing w:after="160" w:before="80"/>
      </w:pPr>
    </w:p>
    <w:p>
      <w:pPr>
        <w:spacing w:after="40" w:before="40"/>
      </w:pPr>
    </w:p>
    <w:p>
      <w:pPr>
        <w:pStyle w:val="Heading3"/>
        <w:spacing w:after="100" w:before="200"/>
      </w:pPr>
      <w:r>
        <w:rPr>
          <w:rFonts w:ascii="Arial" w:cs="Arial" w:eastAsia="Arial" w:hAnsi="Arial"/>
          <w:b/>
          <w:bCs/>
          <w:i w:val="false"/>
          <w:iCs w:val="false"/>
          <w:color w:val="2563EB"/>
          <w:sz w:val="24"/>
          <w:szCs w:val="24"/>
        </w:rPr>
        <w:t xml:space="preserve">9.2 Scalability</w:t>
      </w:r>
    </w:p>
    <w:p>
      <w:pPr>
        <w:spacing w:after="40" w:before="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top"/>
          </w:tcPr>
          <w:p>
            <w:pPr>
              <w:spacing w:after="0"/>
            </w:pPr>
            <w:r>
              <w:rPr>
                <w:rFonts w:ascii="Arial" w:cs="Arial" w:eastAsia="Arial" w:hAnsi="Arial"/>
                <w:b/>
                <w:bCs/>
                <w:i w:val="false"/>
                <w:iCs w:val="false"/>
                <w:color w:val="FFFFFF"/>
                <w:sz w:val="18"/>
                <w:szCs w:val="18"/>
              </w:rPr>
              <w:t xml:space="preserve">Req ID</w:t>
            </w:r>
          </w:p>
        </w:tc>
        <w:tc>
          <w:tcPr>
            <w:tcW w:type="dxa" w:w="4819"/>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top"/>
          </w:tcPr>
          <w:p>
            <w:pPr>
              <w:spacing w:after="0"/>
            </w:pPr>
            <w:r>
              <w:rPr>
                <w:rFonts w:ascii="Arial" w:cs="Arial" w:eastAsia="Arial" w:hAnsi="Arial"/>
                <w:b/>
                <w:bCs/>
                <w:i w:val="false"/>
                <w:iCs w:val="false"/>
                <w:color w:val="FFFFFF"/>
                <w:sz w:val="18"/>
                <w:szCs w:val="18"/>
              </w:rPr>
              <w:t xml:space="preserve">Requirement</w:t>
            </w:r>
          </w:p>
        </w:tc>
      </w:tr>
      <w:tr>
        <w:trPr>
          <w:tblHeader w:val="false"/>
        </w:trPr>
        <w:tc>
          <w:tcPr>
            <w:tcW w:type="dxa" w:w="4819"/>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NFR-SC-001</w:t>
            </w:r>
          </w:p>
        </w:tc>
        <w:tc>
          <w:tcPr>
            <w:tcW w:type="dxa" w:w="4819"/>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System architecture shall support horizontal scaling to accommodate growth to 1 million+ lead records per institution</w:t>
            </w:r>
          </w:p>
        </w:tc>
      </w:tr>
      <w:tr>
        <w:trPr>
          <w:tblHeader w:val="false"/>
        </w:trPr>
        <w:tc>
          <w:tcPr>
            <w:tcW w:type="dxa" w:w="4819"/>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NFR-SC-002</w:t>
            </w:r>
          </w:p>
        </w:tc>
        <w:tc>
          <w:tcPr>
            <w:tcW w:type="dxa" w:w="4819"/>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Database design shall support partitioning by institution and academic year</w:t>
            </w:r>
          </w:p>
        </w:tc>
      </w:tr>
      <w:tr>
        <w:trPr>
          <w:tblHeader w:val="false"/>
        </w:trPr>
        <w:tc>
          <w:tcPr>
            <w:tcW w:type="dxa" w:w="4819"/>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NFR-SC-003</w:t>
            </w:r>
          </w:p>
        </w:tc>
        <w:tc>
          <w:tcPr>
            <w:tcW w:type="dxa" w:w="4819"/>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Microservices architecture shall allow independent scaling of communication engine, AI layer and core CRM</w:t>
            </w:r>
          </w:p>
        </w:tc>
      </w:tr>
    </w:tbl>
    <w:p>
      <w:pPr>
        <w:spacing w:after="160" w:before="80"/>
      </w:pPr>
    </w:p>
    <w:p>
      <w:pPr>
        <w:spacing w:after="40" w:before="40"/>
      </w:pPr>
    </w:p>
    <w:p>
      <w:pPr>
        <w:pStyle w:val="Heading3"/>
        <w:spacing w:after="100" w:before="200"/>
      </w:pPr>
      <w:r>
        <w:rPr>
          <w:rFonts w:ascii="Arial" w:cs="Arial" w:eastAsia="Arial" w:hAnsi="Arial"/>
          <w:b/>
          <w:bCs/>
          <w:i w:val="false"/>
          <w:iCs w:val="false"/>
          <w:color w:val="2563EB"/>
          <w:sz w:val="24"/>
          <w:szCs w:val="24"/>
        </w:rPr>
        <w:t xml:space="preserve">9.3 Availability and Reliability</w:t>
      </w:r>
    </w:p>
    <w:p>
      <w:pPr>
        <w:spacing w:after="40" w:before="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top"/>
          </w:tcPr>
          <w:p>
            <w:pPr>
              <w:spacing w:after="0"/>
            </w:pPr>
            <w:r>
              <w:rPr>
                <w:rFonts w:ascii="Arial" w:cs="Arial" w:eastAsia="Arial" w:hAnsi="Arial"/>
                <w:b/>
                <w:bCs/>
                <w:i w:val="false"/>
                <w:iCs w:val="false"/>
                <w:color w:val="FFFFFF"/>
                <w:sz w:val="18"/>
                <w:szCs w:val="18"/>
              </w:rPr>
              <w:t xml:space="preserve">Req ID</w:t>
            </w:r>
          </w:p>
        </w:tc>
        <w:tc>
          <w:tcPr>
            <w:tcW w:type="dxa" w:w="4819"/>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top"/>
          </w:tcPr>
          <w:p>
            <w:pPr>
              <w:spacing w:after="0"/>
            </w:pPr>
            <w:r>
              <w:rPr>
                <w:rFonts w:ascii="Arial" w:cs="Arial" w:eastAsia="Arial" w:hAnsi="Arial"/>
                <w:b/>
                <w:bCs/>
                <w:i w:val="false"/>
                <w:iCs w:val="false"/>
                <w:color w:val="FFFFFF"/>
                <w:sz w:val="18"/>
                <w:szCs w:val="18"/>
              </w:rPr>
              <w:t xml:space="preserve">Requirement</w:t>
            </w:r>
          </w:p>
        </w:tc>
      </w:tr>
      <w:tr>
        <w:trPr>
          <w:tblHeader w:val="false"/>
        </w:trPr>
        <w:tc>
          <w:tcPr>
            <w:tcW w:type="dxa" w:w="4819"/>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NFR-AV-001</w:t>
            </w:r>
          </w:p>
        </w:tc>
        <w:tc>
          <w:tcPr>
            <w:tcW w:type="dxa" w:w="4819"/>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System uptime SLA: 99.5% (excluding planned maintenance)</w:t>
            </w:r>
          </w:p>
        </w:tc>
      </w:tr>
      <w:tr>
        <w:trPr>
          <w:tblHeader w:val="false"/>
        </w:trPr>
        <w:tc>
          <w:tcPr>
            <w:tcW w:type="dxa" w:w="4819"/>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NFR-AV-002</w:t>
            </w:r>
          </w:p>
        </w:tc>
        <w:tc>
          <w:tcPr>
            <w:tcW w:type="dxa" w:w="4819"/>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Planned maintenance windows shall be scheduled during off-peak hours with advance notification</w:t>
            </w:r>
          </w:p>
        </w:tc>
      </w:tr>
      <w:tr>
        <w:trPr>
          <w:tblHeader w:val="false"/>
        </w:trPr>
        <w:tc>
          <w:tcPr>
            <w:tcW w:type="dxa" w:w="4819"/>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NFR-AV-003</w:t>
            </w:r>
          </w:p>
        </w:tc>
        <w:tc>
          <w:tcPr>
            <w:tcW w:type="dxa" w:w="4819"/>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Automated failover for database and application servers</w:t>
            </w:r>
          </w:p>
        </w:tc>
      </w:tr>
      <w:tr>
        <w:trPr>
          <w:tblHeader w:val="false"/>
        </w:trPr>
        <w:tc>
          <w:tcPr>
            <w:tcW w:type="dxa" w:w="4819"/>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NFR-AV-004</w:t>
            </w:r>
          </w:p>
        </w:tc>
        <w:tc>
          <w:tcPr>
            <w:tcW w:type="dxa" w:w="4819"/>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RTO (Recovery Time Objective): &lt; 4 hours; RPO (Recovery Point Objective): &lt; 1 hour</w:t>
            </w:r>
          </w:p>
        </w:tc>
      </w:tr>
    </w:tbl>
    <w:p>
      <w:pPr>
        <w:spacing w:after="160" w:before="80"/>
      </w:pPr>
    </w:p>
    <w:p>
      <w:pPr>
        <w:spacing w:after="40" w:before="40"/>
      </w:pPr>
    </w:p>
    <w:p>
      <w:pPr>
        <w:pStyle w:val="Heading3"/>
        <w:spacing w:after="100" w:before="200"/>
      </w:pPr>
      <w:r>
        <w:rPr>
          <w:rFonts w:ascii="Arial" w:cs="Arial" w:eastAsia="Arial" w:hAnsi="Arial"/>
          <w:b/>
          <w:bCs/>
          <w:i w:val="false"/>
          <w:iCs w:val="false"/>
          <w:color w:val="2563EB"/>
          <w:sz w:val="24"/>
          <w:szCs w:val="24"/>
        </w:rPr>
        <w:t xml:space="preserve">9.4 Security</w:t>
      </w:r>
    </w:p>
    <w:p>
      <w:pPr>
        <w:spacing w:after="40" w:before="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top"/>
          </w:tcPr>
          <w:p>
            <w:pPr>
              <w:spacing w:after="0"/>
            </w:pPr>
            <w:r>
              <w:rPr>
                <w:rFonts w:ascii="Arial" w:cs="Arial" w:eastAsia="Arial" w:hAnsi="Arial"/>
                <w:b/>
                <w:bCs/>
                <w:i w:val="false"/>
                <w:iCs w:val="false"/>
                <w:color w:val="FFFFFF"/>
                <w:sz w:val="18"/>
                <w:szCs w:val="18"/>
              </w:rPr>
              <w:t xml:space="preserve">Req ID</w:t>
            </w:r>
          </w:p>
        </w:tc>
        <w:tc>
          <w:tcPr>
            <w:tcW w:type="dxa" w:w="4819"/>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top"/>
          </w:tcPr>
          <w:p>
            <w:pPr>
              <w:spacing w:after="0"/>
            </w:pPr>
            <w:r>
              <w:rPr>
                <w:rFonts w:ascii="Arial" w:cs="Arial" w:eastAsia="Arial" w:hAnsi="Arial"/>
                <w:b/>
                <w:bCs/>
                <w:i w:val="false"/>
                <w:iCs w:val="false"/>
                <w:color w:val="FFFFFF"/>
                <w:sz w:val="18"/>
                <w:szCs w:val="18"/>
              </w:rPr>
              <w:t xml:space="preserve">Requirement</w:t>
            </w:r>
          </w:p>
        </w:tc>
      </w:tr>
      <w:tr>
        <w:trPr>
          <w:tblHeader w:val="false"/>
        </w:trPr>
        <w:tc>
          <w:tcPr>
            <w:tcW w:type="dxa" w:w="4819"/>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NFR-SE-001</w:t>
            </w:r>
          </w:p>
        </w:tc>
        <w:tc>
          <w:tcPr>
            <w:tcW w:type="dxa" w:w="4819"/>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All data in transit shall be encrypted using TLS 1.2 or higher</w:t>
            </w:r>
          </w:p>
        </w:tc>
      </w:tr>
      <w:tr>
        <w:trPr>
          <w:tblHeader w:val="false"/>
        </w:trPr>
        <w:tc>
          <w:tcPr>
            <w:tcW w:type="dxa" w:w="4819"/>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NFR-SE-002</w:t>
            </w:r>
          </w:p>
        </w:tc>
        <w:tc>
          <w:tcPr>
            <w:tcW w:type="dxa" w:w="4819"/>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All data at rest (documents, PII) shall be encrypted using AES-256</w:t>
            </w:r>
          </w:p>
        </w:tc>
      </w:tr>
      <w:tr>
        <w:trPr>
          <w:tblHeader w:val="false"/>
        </w:trPr>
        <w:tc>
          <w:tcPr>
            <w:tcW w:type="dxa" w:w="4819"/>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NFR-SE-003</w:t>
            </w:r>
          </w:p>
        </w:tc>
        <w:tc>
          <w:tcPr>
            <w:tcW w:type="dxa" w:w="4819"/>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Multi-factor authentication (OTP-based) shall be available for all user roles</w:t>
            </w:r>
          </w:p>
        </w:tc>
      </w:tr>
      <w:tr>
        <w:trPr>
          <w:tblHeader w:val="false"/>
        </w:trPr>
        <w:tc>
          <w:tcPr>
            <w:tcW w:type="dxa" w:w="4819"/>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NFR-SE-004</w:t>
            </w:r>
          </w:p>
        </w:tc>
        <w:tc>
          <w:tcPr>
            <w:tcW w:type="dxa" w:w="4819"/>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Role-based access control (RBAC) with field-level data visibility control</w:t>
            </w:r>
          </w:p>
        </w:tc>
      </w:tr>
      <w:tr>
        <w:trPr>
          <w:tblHeader w:val="false"/>
        </w:trPr>
        <w:tc>
          <w:tcPr>
            <w:tcW w:type="dxa" w:w="4819"/>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NFR-SE-005</w:t>
            </w:r>
          </w:p>
        </w:tc>
        <w:tc>
          <w:tcPr>
            <w:tcW w:type="dxa" w:w="4819"/>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IP whitelisting and session management controls</w:t>
            </w:r>
          </w:p>
        </w:tc>
      </w:tr>
      <w:tr>
        <w:trPr>
          <w:tblHeader w:val="false"/>
        </w:trPr>
        <w:tc>
          <w:tcPr>
            <w:tcW w:type="dxa" w:w="4819"/>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NFR-SE-006</w:t>
            </w:r>
          </w:p>
        </w:tc>
        <w:tc>
          <w:tcPr>
            <w:tcW w:type="dxa" w:w="4819"/>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Penetration testing shall be conducted prior to go-live and annually thereafter</w:t>
            </w:r>
          </w:p>
        </w:tc>
      </w:tr>
      <w:tr>
        <w:trPr>
          <w:tblHeader w:val="false"/>
        </w:trPr>
        <w:tc>
          <w:tcPr>
            <w:tcW w:type="dxa" w:w="4819"/>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NFR-SE-007</w:t>
            </w:r>
          </w:p>
        </w:tc>
        <w:tc>
          <w:tcPr>
            <w:tcW w:type="dxa" w:w="4819"/>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OWASP Top 10 compliance shall be verified in all releases</w:t>
            </w:r>
          </w:p>
        </w:tc>
      </w:tr>
    </w:tbl>
    <w:p>
      <w:pPr>
        <w:spacing w:after="160" w:before="80"/>
      </w:pPr>
    </w:p>
    <w:p>
      <w:pPr>
        <w:spacing w:after="40" w:before="40"/>
      </w:pPr>
    </w:p>
    <w:p>
      <w:pPr>
        <w:pStyle w:val="Heading3"/>
        <w:spacing w:after="100" w:before="200"/>
      </w:pPr>
      <w:r>
        <w:rPr>
          <w:rFonts w:ascii="Arial" w:cs="Arial" w:eastAsia="Arial" w:hAnsi="Arial"/>
          <w:b/>
          <w:bCs/>
          <w:i w:val="false"/>
          <w:iCs w:val="false"/>
          <w:color w:val="2563EB"/>
          <w:sz w:val="24"/>
          <w:szCs w:val="24"/>
        </w:rPr>
        <w:t xml:space="preserve">9.5 Usability</w:t>
      </w:r>
    </w:p>
    <w:p>
      <w:pPr>
        <w:spacing w:after="40" w:before="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top"/>
          </w:tcPr>
          <w:p>
            <w:pPr>
              <w:spacing w:after="0"/>
            </w:pPr>
            <w:r>
              <w:rPr>
                <w:rFonts w:ascii="Arial" w:cs="Arial" w:eastAsia="Arial" w:hAnsi="Arial"/>
                <w:b/>
                <w:bCs/>
                <w:i w:val="false"/>
                <w:iCs w:val="false"/>
                <w:color w:val="FFFFFF"/>
                <w:sz w:val="18"/>
                <w:szCs w:val="18"/>
              </w:rPr>
              <w:t xml:space="preserve">Req ID</w:t>
            </w:r>
          </w:p>
        </w:tc>
        <w:tc>
          <w:tcPr>
            <w:tcW w:type="dxa" w:w="4819"/>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top"/>
          </w:tcPr>
          <w:p>
            <w:pPr>
              <w:spacing w:after="0"/>
            </w:pPr>
            <w:r>
              <w:rPr>
                <w:rFonts w:ascii="Arial" w:cs="Arial" w:eastAsia="Arial" w:hAnsi="Arial"/>
                <w:b/>
                <w:bCs/>
                <w:i w:val="false"/>
                <w:iCs w:val="false"/>
                <w:color w:val="FFFFFF"/>
                <w:sz w:val="18"/>
                <w:szCs w:val="18"/>
              </w:rPr>
              <w:t xml:space="preserve">Requirement</w:t>
            </w:r>
          </w:p>
        </w:tc>
      </w:tr>
      <w:tr>
        <w:trPr>
          <w:tblHeader w:val="false"/>
        </w:trPr>
        <w:tc>
          <w:tcPr>
            <w:tcW w:type="dxa" w:w="4819"/>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NFR-UX-001</w:t>
            </w:r>
          </w:p>
        </w:tc>
        <w:tc>
          <w:tcPr>
            <w:tcW w:type="dxa" w:w="4819"/>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UI shall be intuitive enough for a counsellor with basic computer literacy to use core functions within 2 hours of onboarding</w:t>
            </w:r>
          </w:p>
        </w:tc>
      </w:tr>
      <w:tr>
        <w:trPr>
          <w:tblHeader w:val="false"/>
        </w:trPr>
        <w:tc>
          <w:tcPr>
            <w:tcW w:type="dxa" w:w="4819"/>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NFR-UX-002</w:t>
            </w:r>
          </w:p>
        </w:tc>
        <w:tc>
          <w:tcPr>
            <w:tcW w:type="dxa" w:w="4819"/>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All key workflows shall be completable within 3 clicks/screens</w:t>
            </w:r>
          </w:p>
        </w:tc>
      </w:tr>
      <w:tr>
        <w:trPr>
          <w:tblHeader w:val="false"/>
        </w:trPr>
        <w:tc>
          <w:tcPr>
            <w:tcW w:type="dxa" w:w="4819"/>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NFR-UX-003</w:t>
            </w:r>
          </w:p>
        </w:tc>
        <w:tc>
          <w:tcPr>
            <w:tcW w:type="dxa" w:w="4819"/>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System shall be fully responsive for use on tablets and mobile browsers</w:t>
            </w:r>
          </w:p>
        </w:tc>
      </w:tr>
      <w:tr>
        <w:trPr>
          <w:tblHeader w:val="false"/>
        </w:trPr>
        <w:tc>
          <w:tcPr>
            <w:tcW w:type="dxa" w:w="4819"/>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NFR-UX-004</w:t>
            </w:r>
          </w:p>
        </w:tc>
        <w:tc>
          <w:tcPr>
            <w:tcW w:type="dxa" w:w="4819"/>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Support for Hindi UI localisation as a future option (English as base language for v1.0)</w:t>
            </w:r>
          </w:p>
        </w:tc>
      </w:tr>
    </w:tbl>
    <w:p>
      <w:pPr>
        <w:spacing w:after="160" w:before="80"/>
      </w:pPr>
    </w:p>
    <w:p>
      <w:pPr>
        <w:spacing w:after="40" w:before="40"/>
      </w:pPr>
    </w:p>
    <w:p>
      <w:pPr>
        <w:pStyle w:val="Heading3"/>
        <w:spacing w:after="100" w:before="200"/>
      </w:pPr>
      <w:r>
        <w:rPr>
          <w:rFonts w:ascii="Arial" w:cs="Arial" w:eastAsia="Arial" w:hAnsi="Arial"/>
          <w:b/>
          <w:bCs/>
          <w:i w:val="false"/>
          <w:iCs w:val="false"/>
          <w:color w:val="2563EB"/>
          <w:sz w:val="24"/>
          <w:szCs w:val="24"/>
        </w:rPr>
        <w:t xml:space="preserve">9.6 Maintainability</w:t>
      </w:r>
    </w:p>
    <w:p>
      <w:pPr>
        <w:spacing w:after="40" w:before="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top"/>
          </w:tcPr>
          <w:p>
            <w:pPr>
              <w:spacing w:after="0"/>
            </w:pPr>
            <w:r>
              <w:rPr>
                <w:rFonts w:ascii="Arial" w:cs="Arial" w:eastAsia="Arial" w:hAnsi="Arial"/>
                <w:b/>
                <w:bCs/>
                <w:i w:val="false"/>
                <w:iCs w:val="false"/>
                <w:color w:val="FFFFFF"/>
                <w:sz w:val="18"/>
                <w:szCs w:val="18"/>
              </w:rPr>
              <w:t xml:space="preserve">Req ID</w:t>
            </w:r>
          </w:p>
        </w:tc>
        <w:tc>
          <w:tcPr>
            <w:tcW w:type="dxa" w:w="4819"/>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top"/>
          </w:tcPr>
          <w:p>
            <w:pPr>
              <w:spacing w:after="0"/>
            </w:pPr>
            <w:r>
              <w:rPr>
                <w:rFonts w:ascii="Arial" w:cs="Arial" w:eastAsia="Arial" w:hAnsi="Arial"/>
                <w:b/>
                <w:bCs/>
                <w:i w:val="false"/>
                <w:iCs w:val="false"/>
                <w:color w:val="FFFFFF"/>
                <w:sz w:val="18"/>
                <w:szCs w:val="18"/>
              </w:rPr>
              <w:t xml:space="preserve">Requirement</w:t>
            </w:r>
          </w:p>
        </w:tc>
      </w:tr>
      <w:tr>
        <w:trPr>
          <w:tblHeader w:val="false"/>
        </w:trPr>
        <w:tc>
          <w:tcPr>
            <w:tcW w:type="dxa" w:w="4819"/>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NFR-MT-001</w:t>
            </w:r>
          </w:p>
        </w:tc>
        <w:tc>
          <w:tcPr>
            <w:tcW w:type="dxa" w:w="4819"/>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Codebase shall follow MEETCS coding standards (Laravel / Vue.js) for consistency with A2A ERP</w:t>
            </w:r>
          </w:p>
        </w:tc>
      </w:tr>
      <w:tr>
        <w:trPr>
          <w:tblHeader w:val="false"/>
        </w:trPr>
        <w:tc>
          <w:tcPr>
            <w:tcW w:type="dxa" w:w="4819"/>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NFR-MT-002</w:t>
            </w:r>
          </w:p>
        </w:tc>
        <w:tc>
          <w:tcPr>
            <w:tcW w:type="dxa" w:w="4819"/>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All integration points shall use versioned REST APIs</w:t>
            </w:r>
          </w:p>
        </w:tc>
      </w:tr>
      <w:tr>
        <w:trPr>
          <w:tblHeader w:val="false"/>
        </w:trPr>
        <w:tc>
          <w:tcPr>
            <w:tcW w:type="dxa" w:w="4819"/>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NFR-MT-003</w:t>
            </w:r>
          </w:p>
        </w:tc>
        <w:tc>
          <w:tcPr>
            <w:tcW w:type="dxa" w:w="4819"/>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Comprehensive API documentation shall be maintained</w:t>
            </w:r>
          </w:p>
        </w:tc>
      </w:tr>
      <w:tr>
        <w:trPr>
          <w:tblHeader w:val="false"/>
        </w:trPr>
        <w:tc>
          <w:tcPr>
            <w:tcW w:type="dxa" w:w="4819"/>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NFR-MT-004</w:t>
            </w:r>
          </w:p>
        </w:tc>
        <w:tc>
          <w:tcPr>
            <w:tcW w:type="dxa" w:w="4819"/>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Unit test coverage ≥ 70% for core modules</w:t>
            </w:r>
          </w:p>
        </w:tc>
      </w:tr>
    </w:tbl>
    <w:p>
      <w:pPr>
        <w:spacing w:after="160" w:before="80"/>
      </w:pPr>
    </w:p>
    <w:p>
      <w:pPr>
        <w:spacing w:after="40" w:before="40"/>
      </w:pPr>
    </w:p>
    <w:p>
      <w:pPr>
        <w:pBdr>
          <w:bottom w:val="single" w:color="D1D5DB" w:sz="3" w:space="1"/>
        </w:pBdr>
        <w:spacing w:after="80" w:before="80"/>
      </w:pPr>
    </w:p>
    <w:p>
      <w:pPr>
        <w:spacing w:after="40" w:before="40"/>
      </w:pPr>
    </w:p>
    <w:p>
      <w:pPr>
        <w:pStyle w:val="Heading1"/>
        <w:spacing w:after="0" w:before="160"/>
      </w:pPr>
      <w:r>
        <w:rPr>
          <w:rFonts w:ascii="Arial" w:cs="Arial" w:eastAsia="Arial" w:hAnsi="Arial"/>
          <w:b/>
          <w:bCs/>
          <w:i w:val="false"/>
          <w:iCs w:val="false"/>
          <w:color w:val="1B2A4A"/>
          <w:sz w:val="28"/>
          <w:szCs w:val="28"/>
        </w:rPr>
        <w:t xml:space="preserve">10. Data Requirements</w:t>
      </w:r>
    </w:p>
    <w:p>
      <w:pPr>
        <w:spacing w:after="80" w:before="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B2A4A" w:sz="1"/>
              <w:left w:val="single" w:color="1B2A4A" w:sz="1"/>
              <w:bottom w:val="single" w:color="1B2A4A" w:sz="1"/>
              <w:right w:val="single" w:color="1B2A4A" w:sz="1"/>
            </w:tcBorders>
            <w:shd w:fill="1B2A4A" w:val="clear"/>
            <w:tcMar>
              <w:top w:type="dxa" w:w="120"/>
              <w:left w:type="dxa" w:w="160"/>
              <w:bottom w:type="dxa" w:w="120"/>
              <w:right w:type="dxa" w:w="160"/>
            </w:tcMar>
          </w:tcPr>
          <w:p>
            <w:pPr>
              <w:jc w:val="left"/>
            </w:pPr>
            <w:r>
              <w:rPr>
                <w:rFonts w:ascii="Arial" w:cs="Arial" w:eastAsia="Arial" w:hAnsi="Arial"/>
                <w:b/>
                <w:bCs/>
                <w:i w:val="false"/>
                <w:iCs w:val="false"/>
                <w:color w:val="FFFFFF"/>
                <w:sz w:val="28"/>
                <w:szCs w:val="28"/>
              </w:rPr>
              <w:t xml:space="preserve">10. Data Requirements</w:t>
            </w:r>
          </w:p>
        </w:tc>
      </w:tr>
    </w:tbl>
    <w:p>
      <w:pPr>
        <w:spacing w:after="80" w:before="80"/>
      </w:pPr>
    </w:p>
    <w:p>
      <w:pPr>
        <w:spacing w:after="80" w:before="80"/>
      </w:pPr>
    </w:p>
    <w:p>
      <w:pPr>
        <w:spacing w:after="40" w:before="40"/>
      </w:pPr>
    </w:p>
    <w:p>
      <w:pPr>
        <w:pStyle w:val="Heading3"/>
        <w:spacing w:after="100" w:before="200"/>
      </w:pPr>
      <w:r>
        <w:rPr>
          <w:rFonts w:ascii="Arial" w:cs="Arial" w:eastAsia="Arial" w:hAnsi="Arial"/>
          <w:b/>
          <w:bCs/>
          <w:i w:val="false"/>
          <w:iCs w:val="false"/>
          <w:color w:val="2563EB"/>
          <w:sz w:val="24"/>
          <w:szCs w:val="24"/>
        </w:rPr>
        <w:t xml:space="preserve">10.1 Core Data Entities</w:t>
      </w:r>
    </w:p>
    <w:p>
      <w:pPr>
        <w:spacing w:after="40" w:before="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top"/>
          </w:tcPr>
          <w:p>
            <w:pPr>
              <w:spacing w:after="0"/>
            </w:pPr>
            <w:r>
              <w:rPr>
                <w:rFonts w:ascii="Arial" w:cs="Arial" w:eastAsia="Arial" w:hAnsi="Arial"/>
                <w:b/>
                <w:bCs/>
                <w:i w:val="false"/>
                <w:iCs w:val="false"/>
                <w:color w:val="FFFFFF"/>
                <w:sz w:val="18"/>
                <w:szCs w:val="18"/>
              </w:rPr>
              <w:t xml:space="preserve">Entity</w:t>
            </w:r>
          </w:p>
        </w:tc>
        <w:tc>
          <w:tcPr>
            <w:tcW w:type="dxa" w:w="4819"/>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top"/>
          </w:tcPr>
          <w:p>
            <w:pPr>
              <w:spacing w:after="0"/>
            </w:pPr>
            <w:r>
              <w:rPr>
                <w:rFonts w:ascii="Arial" w:cs="Arial" w:eastAsia="Arial" w:hAnsi="Arial"/>
                <w:b/>
                <w:bCs/>
                <w:i w:val="false"/>
                <w:iCs w:val="false"/>
                <w:color w:val="FFFFFF"/>
                <w:sz w:val="18"/>
                <w:szCs w:val="18"/>
              </w:rPr>
              <w:t xml:space="preserve">Key Attributes</w:t>
            </w:r>
          </w:p>
        </w:tc>
      </w:tr>
      <w:tr>
        <w:trPr>
          <w:tblHeader w:val="false"/>
        </w:trPr>
        <w:tc>
          <w:tcPr>
            <w:tcW w:type="dxa" w:w="4819"/>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Lead / Enquiry</w:t>
            </w:r>
          </w:p>
        </w:tc>
        <w:tc>
          <w:tcPr>
            <w:tcW w:type="dxa" w:w="4819"/>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ID, name, mobile, email, source, score, status, assigned counsellor, programme(s) of interest, academic background, tags, custom fields, creation timestamp, last activity timestamp</w:t>
            </w:r>
          </w:p>
        </w:tc>
      </w:tr>
      <w:tr>
        <w:trPr>
          <w:tblHeader w:val="false"/>
        </w:trPr>
        <w:tc>
          <w:tcPr>
            <w:tcW w:type="dxa" w:w="4819"/>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Application</w:t>
            </w:r>
          </w:p>
        </w:tc>
        <w:tc>
          <w:tcPr>
            <w:tcW w:type="dxa" w:w="4819"/>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ID, lead ID, programme, batch, form data, submission date, status, application fee paid, offer letter reference</w:t>
            </w:r>
          </w:p>
        </w:tc>
      </w:tr>
      <w:tr>
        <w:trPr>
          <w:tblHeader w:val="false"/>
        </w:trPr>
        <w:tc>
          <w:tcPr>
            <w:tcW w:type="dxa" w:w="4819"/>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Communication Log</w:t>
            </w:r>
          </w:p>
        </w:tc>
        <w:tc>
          <w:tcPr>
            <w:tcW w:type="dxa" w:w="4819"/>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ID, lead ID, channel, direction (in/out), content/reference, timestamp, delivery status, counsellor</w:t>
            </w:r>
          </w:p>
        </w:tc>
      </w:tr>
      <w:tr>
        <w:trPr>
          <w:tblHeader w:val="false"/>
        </w:trPr>
        <w:tc>
          <w:tcPr>
            <w:tcW w:type="dxa" w:w="4819"/>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Task</w:t>
            </w:r>
          </w:p>
        </w:tc>
        <w:tc>
          <w:tcPr>
            <w:tcW w:type="dxa" w:w="4819"/>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ID, lead ID, type, due date, assigned to, status, disposition, notes</w:t>
            </w:r>
          </w:p>
        </w:tc>
      </w:tr>
      <w:tr>
        <w:trPr>
          <w:tblHeader w:val="false"/>
        </w:trPr>
        <w:tc>
          <w:tcPr>
            <w:tcW w:type="dxa" w:w="4819"/>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Document</w:t>
            </w:r>
          </w:p>
        </w:tc>
        <w:tc>
          <w:tcPr>
            <w:tcW w:type="dxa" w:w="4819"/>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ID, lead/application ID, document type, upload timestamp, verification status, storage path</w:t>
            </w:r>
          </w:p>
        </w:tc>
      </w:tr>
      <w:tr>
        <w:trPr>
          <w:tblHeader w:val="false"/>
        </w:trPr>
        <w:tc>
          <w:tcPr>
            <w:tcW w:type="dxa" w:w="4819"/>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Payment</w:t>
            </w:r>
          </w:p>
        </w:tc>
        <w:tc>
          <w:tcPr>
            <w:tcW w:type="dxa" w:w="4819"/>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ID, lead/application ID, amount, gateway, transaction ID, status, timestamp, type (application fee / booking amount)</w:t>
            </w:r>
          </w:p>
        </w:tc>
      </w:tr>
      <w:tr>
        <w:trPr>
          <w:tblHeader w:val="false"/>
        </w:trPr>
        <w:tc>
          <w:tcPr>
            <w:tcW w:type="dxa" w:w="4819"/>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Campaign</w:t>
            </w:r>
          </w:p>
        </w:tc>
        <w:tc>
          <w:tcPr>
            <w:tcW w:type="dxa" w:w="4819"/>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ID, name, channel, target segment, content, schedule, performance metrics</w:t>
            </w:r>
          </w:p>
        </w:tc>
      </w:tr>
      <w:tr>
        <w:trPr>
          <w:tblHeader w:val="false"/>
        </w:trPr>
        <w:tc>
          <w:tcPr>
            <w:tcW w:type="dxa" w:w="4819"/>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Counsellor / User</w:t>
            </w:r>
          </w:p>
        </w:tc>
        <w:tc>
          <w:tcPr>
            <w:tcW w:type="dxa" w:w="4819"/>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ID, name, role, institution, campus, active leads, performance metrics</w:t>
            </w:r>
          </w:p>
        </w:tc>
      </w:tr>
      <w:tr>
        <w:trPr>
          <w:tblHeader w:val="false"/>
        </w:trPr>
        <w:tc>
          <w:tcPr>
            <w:tcW w:type="dxa" w:w="4819"/>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Agent / Partner</w:t>
            </w:r>
          </w:p>
        </w:tc>
        <w:tc>
          <w:tcPr>
            <w:tcW w:type="dxa" w:w="4819"/>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ID, name, contact, referral code, commission structure, performance history</w:t>
            </w:r>
          </w:p>
        </w:tc>
      </w:tr>
    </w:tbl>
    <w:p>
      <w:pPr>
        <w:spacing w:after="160" w:before="80"/>
      </w:pPr>
    </w:p>
    <w:p>
      <w:pPr>
        <w:spacing w:after="40" w:before="40"/>
      </w:pPr>
    </w:p>
    <w:p>
      <w:pPr>
        <w:pStyle w:val="Heading3"/>
        <w:spacing w:after="100" w:before="200"/>
      </w:pPr>
      <w:r>
        <w:rPr>
          <w:rFonts w:ascii="Arial" w:cs="Arial" w:eastAsia="Arial" w:hAnsi="Arial"/>
          <w:b/>
          <w:bCs/>
          <w:i w:val="false"/>
          <w:iCs w:val="false"/>
          <w:color w:val="2563EB"/>
          <w:sz w:val="24"/>
          <w:szCs w:val="24"/>
        </w:rPr>
        <w:t xml:space="preserve">10.2 Data Retention</w:t>
      </w:r>
    </w:p>
    <w:p>
      <w:pPr>
        <w:spacing w:after="40" w:before="40"/>
      </w:pPr>
    </w:p>
    <w:p>
      <w:pPr>
        <w:pStyle w:val="ListParagraph"/>
        <w:numPr>
          <w:ilvl w:val="0"/>
          <w:numId w:val="2"/>
        </w:numPr>
        <w:spacing w:after="40" w:before="40"/>
      </w:pPr>
      <w:r>
        <w:rPr>
          <w:rFonts w:ascii="Arial" w:cs="Arial" w:eastAsia="Arial" w:hAnsi="Arial"/>
          <w:b w:val="false"/>
          <w:bCs w:val="false"/>
          <w:i w:val="false"/>
          <w:iCs w:val="false"/>
          <w:color w:val="111827"/>
          <w:sz w:val="20"/>
          <w:szCs w:val="20"/>
        </w:rPr>
        <w:t xml:space="preserve">Lead records shall be retained for a minimum of 7 years from last activity, in accordance with educational institution regulatory requirements.</w:t>
      </w:r>
    </w:p>
    <w:p>
      <w:pPr>
        <w:pStyle w:val="ListParagraph"/>
        <w:numPr>
          <w:ilvl w:val="0"/>
          <w:numId w:val="2"/>
        </w:numPr>
        <w:spacing w:after="40" w:before="40"/>
      </w:pPr>
      <w:r>
        <w:rPr>
          <w:rFonts w:ascii="Arial" w:cs="Arial" w:eastAsia="Arial" w:hAnsi="Arial"/>
          <w:b w:val="false"/>
          <w:bCs w:val="false"/>
          <w:i w:val="false"/>
          <w:iCs w:val="false"/>
          <w:color w:val="111827"/>
          <w:sz w:val="20"/>
          <w:szCs w:val="20"/>
        </w:rPr>
        <w:t xml:space="preserve">Deleted/withdrawn applicant data shall be anonymised (not hard-deleted) to preserve aggregate analytics.</w:t>
      </w:r>
    </w:p>
    <w:p>
      <w:pPr>
        <w:pStyle w:val="ListParagraph"/>
        <w:numPr>
          <w:ilvl w:val="0"/>
          <w:numId w:val="2"/>
        </w:numPr>
        <w:spacing w:after="40" w:before="40"/>
      </w:pPr>
      <w:r>
        <w:rPr>
          <w:rFonts w:ascii="Arial" w:cs="Arial" w:eastAsia="Arial" w:hAnsi="Arial"/>
          <w:b w:val="false"/>
          <w:bCs w:val="false"/>
          <w:i w:val="false"/>
          <w:iCs w:val="false"/>
          <w:color w:val="111827"/>
          <w:sz w:val="20"/>
          <w:szCs w:val="20"/>
        </w:rPr>
        <w:t xml:space="preserve">DPDP Act right-to-erasure requests shall anonymise PII while retaining anonymised aggregate data.</w:t>
      </w:r>
    </w:p>
    <w:p>
      <w:pPr>
        <w:spacing w:after="40" w:before="40"/>
      </w:pPr>
    </w:p>
    <w:p>
      <w:pPr>
        <w:pStyle w:val="Heading3"/>
        <w:spacing w:after="100" w:before="200"/>
      </w:pPr>
      <w:r>
        <w:rPr>
          <w:rFonts w:ascii="Arial" w:cs="Arial" w:eastAsia="Arial" w:hAnsi="Arial"/>
          <w:b/>
          <w:bCs/>
          <w:i w:val="false"/>
          <w:iCs w:val="false"/>
          <w:color w:val="2563EB"/>
          <w:sz w:val="24"/>
          <w:szCs w:val="24"/>
        </w:rPr>
        <w:t xml:space="preserve">10.3 Data Migration</w:t>
      </w:r>
    </w:p>
    <w:p>
      <w:pPr>
        <w:spacing w:after="40" w:before="40"/>
      </w:pPr>
    </w:p>
    <w:p>
      <w:pPr>
        <w:pStyle w:val="ListParagraph"/>
        <w:numPr>
          <w:ilvl w:val="0"/>
          <w:numId w:val="2"/>
        </w:numPr>
        <w:spacing w:after="40" w:before="40"/>
      </w:pPr>
      <w:r>
        <w:rPr>
          <w:rFonts w:ascii="Arial" w:cs="Arial" w:eastAsia="Arial" w:hAnsi="Arial"/>
          <w:b w:val="false"/>
          <w:bCs w:val="false"/>
          <w:i w:val="false"/>
          <w:iCs w:val="false"/>
          <w:color w:val="111827"/>
          <w:sz w:val="20"/>
          <w:szCs w:val="20"/>
        </w:rPr>
        <w:t xml:space="preserve">Import tooling shall support migration from CSV/Excel exports of common systems (Meritto, LeadSquared, ExtraAedge, Mastersoft, custom Excel-based systems).</w:t>
      </w:r>
    </w:p>
    <w:p>
      <w:pPr>
        <w:pStyle w:val="ListParagraph"/>
        <w:numPr>
          <w:ilvl w:val="0"/>
          <w:numId w:val="2"/>
        </w:numPr>
        <w:spacing w:after="40" w:before="40"/>
      </w:pPr>
      <w:r>
        <w:rPr>
          <w:rFonts w:ascii="Arial" w:cs="Arial" w:eastAsia="Arial" w:hAnsi="Arial"/>
          <w:b w:val="false"/>
          <w:bCs w:val="false"/>
          <w:i w:val="false"/>
          <w:iCs w:val="false"/>
          <w:color w:val="111827"/>
          <w:sz w:val="20"/>
          <w:szCs w:val="20"/>
        </w:rPr>
        <w:t xml:space="preserve">A data mapping wizard shall facilitate field-to-field mapping during migration.</w:t>
      </w:r>
    </w:p>
    <w:p>
      <w:pPr>
        <w:pStyle w:val="ListParagraph"/>
        <w:numPr>
          <w:ilvl w:val="0"/>
          <w:numId w:val="2"/>
        </w:numPr>
        <w:spacing w:after="40" w:before="40"/>
      </w:pPr>
      <w:r>
        <w:rPr>
          <w:rFonts w:ascii="Arial" w:cs="Arial" w:eastAsia="Arial" w:hAnsi="Arial"/>
          <w:b w:val="false"/>
          <w:bCs w:val="false"/>
          <w:i w:val="false"/>
          <w:iCs w:val="false"/>
          <w:color w:val="111827"/>
          <w:sz w:val="20"/>
          <w:szCs w:val="20"/>
        </w:rPr>
        <w:t xml:space="preserve">A migration validation report shall be generated post-import with error counts and sample records.</w:t>
      </w:r>
    </w:p>
    <w:p>
      <w:pPr>
        <w:spacing w:after="40" w:before="40"/>
      </w:pPr>
    </w:p>
    <w:p>
      <w:pPr>
        <w:pBdr>
          <w:bottom w:val="single" w:color="D1D5DB" w:sz="3" w:space="1"/>
        </w:pBdr>
        <w:spacing w:after="80" w:before="80"/>
      </w:pPr>
    </w:p>
    <w:p>
      <w:pPr>
        <w:spacing w:after="40" w:before="40"/>
      </w:pPr>
    </w:p>
    <w:p>
      <w:pPr>
        <w:pStyle w:val="Heading1"/>
        <w:spacing w:after="0" w:before="160"/>
      </w:pPr>
      <w:r>
        <w:rPr>
          <w:rFonts w:ascii="Arial" w:cs="Arial" w:eastAsia="Arial" w:hAnsi="Arial"/>
          <w:b/>
          <w:bCs/>
          <w:i w:val="false"/>
          <w:iCs w:val="false"/>
          <w:color w:val="1B2A4A"/>
          <w:sz w:val="28"/>
          <w:szCs w:val="28"/>
        </w:rPr>
        <w:t xml:space="preserve">11. Compliance and Regulatory Requirements</w:t>
      </w:r>
    </w:p>
    <w:p>
      <w:pPr>
        <w:spacing w:after="80" w:before="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B2A4A" w:sz="1"/>
              <w:left w:val="single" w:color="1B2A4A" w:sz="1"/>
              <w:bottom w:val="single" w:color="1B2A4A" w:sz="1"/>
              <w:right w:val="single" w:color="1B2A4A" w:sz="1"/>
            </w:tcBorders>
            <w:shd w:fill="1B2A4A" w:val="clear"/>
            <w:tcMar>
              <w:top w:type="dxa" w:w="120"/>
              <w:left w:type="dxa" w:w="160"/>
              <w:bottom w:type="dxa" w:w="120"/>
              <w:right w:type="dxa" w:w="160"/>
            </w:tcMar>
          </w:tcPr>
          <w:p>
            <w:pPr>
              <w:jc w:val="left"/>
            </w:pPr>
            <w:r>
              <w:rPr>
                <w:rFonts w:ascii="Arial" w:cs="Arial" w:eastAsia="Arial" w:hAnsi="Arial"/>
                <w:b/>
                <w:bCs/>
                <w:i w:val="false"/>
                <w:iCs w:val="false"/>
                <w:color w:val="FFFFFF"/>
                <w:sz w:val="28"/>
                <w:szCs w:val="28"/>
              </w:rPr>
              <w:t xml:space="preserve">11. Compliance and Regulatory Requirements</w:t>
            </w:r>
          </w:p>
        </w:tc>
      </w:tr>
    </w:tbl>
    <w:p>
      <w:pPr>
        <w:spacing w:after="80" w:before="80"/>
      </w:pPr>
    </w:p>
    <w:p>
      <w:pPr>
        <w:spacing w:after="80" w:before="80"/>
      </w:pPr>
    </w:p>
    <w:p>
      <w:pPr>
        <w:spacing w:after="40" w:before="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4"/>
      </w:tblGrid>
      <w:tr>
        <w:trPr>
          <w:tblHeader/>
        </w:trPr>
        <w:tc>
          <w:tcPr>
            <w:tcW w:type="dxa" w:w="3212"/>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top"/>
          </w:tcPr>
          <w:p>
            <w:pPr>
              <w:spacing w:after="0"/>
            </w:pPr>
            <w:r>
              <w:rPr>
                <w:rFonts w:ascii="Arial" w:cs="Arial" w:eastAsia="Arial" w:hAnsi="Arial"/>
                <w:b/>
                <w:bCs/>
                <w:i w:val="false"/>
                <w:iCs w:val="false"/>
                <w:color w:val="FFFFFF"/>
                <w:sz w:val="18"/>
                <w:szCs w:val="18"/>
              </w:rPr>
              <w:t xml:space="preserve">Req ID</w:t>
            </w:r>
          </w:p>
        </w:tc>
        <w:tc>
          <w:tcPr>
            <w:tcW w:type="dxa" w:w="3212"/>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top"/>
          </w:tcPr>
          <w:p>
            <w:pPr>
              <w:spacing w:after="0"/>
            </w:pPr>
            <w:r>
              <w:rPr>
                <w:rFonts w:ascii="Arial" w:cs="Arial" w:eastAsia="Arial" w:hAnsi="Arial"/>
                <w:b/>
                <w:bCs/>
                <w:i w:val="false"/>
                <w:iCs w:val="false"/>
                <w:color w:val="FFFFFF"/>
                <w:sz w:val="18"/>
                <w:szCs w:val="18"/>
              </w:rPr>
              <w:t xml:space="preserve">Requirement</w:t>
            </w:r>
          </w:p>
        </w:tc>
        <w:tc>
          <w:tcPr>
            <w:tcW w:type="dxa" w:w="3214"/>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top"/>
          </w:tcPr>
          <w:p>
            <w:pPr>
              <w:spacing w:after="0"/>
            </w:pPr>
            <w:r>
              <w:rPr>
                <w:rFonts w:ascii="Arial" w:cs="Arial" w:eastAsia="Arial" w:hAnsi="Arial"/>
                <w:b/>
                <w:bCs/>
                <w:i w:val="false"/>
                <w:iCs w:val="false"/>
                <w:color w:val="FFFFFF"/>
                <w:sz w:val="18"/>
                <w:szCs w:val="18"/>
              </w:rPr>
              <w:t xml:space="preserve">Regulation</w:t>
            </w:r>
          </w:p>
        </w:tc>
      </w:tr>
      <w:tr>
        <w:trPr>
          <w:tblHeader w:val="false"/>
        </w:trPr>
        <w:tc>
          <w:tcPr>
            <w:tcW w:type="dxa" w:w="321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CRM-CR-001</w:t>
            </w:r>
          </w:p>
        </w:tc>
        <w:tc>
          <w:tcPr>
            <w:tcW w:type="dxa" w:w="321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Explicit consent shall be captured at the point of lead creation for use of personal data for marketing communication</w:t>
            </w:r>
          </w:p>
        </w:tc>
        <w:tc>
          <w:tcPr>
            <w:tcW w:type="dxa" w:w="3214"/>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DPDP Act 2023</w:t>
            </w:r>
          </w:p>
        </w:tc>
      </w:tr>
      <w:tr>
        <w:trPr>
          <w:tblHeader w:val="false"/>
        </w:trPr>
        <w:tc>
          <w:tcPr>
            <w:tcW w:type="dxa" w:w="321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CRM-CR-002</w:t>
            </w:r>
          </w:p>
        </w:tc>
        <w:tc>
          <w:tcPr>
            <w:tcW w:type="dxa" w:w="321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Consent records shall be stored with timestamp, IP address, and form version</w:t>
            </w:r>
          </w:p>
        </w:tc>
        <w:tc>
          <w:tcPr>
            <w:tcW w:type="dxa" w:w="3214"/>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DPDP Act 2023</w:t>
            </w:r>
          </w:p>
        </w:tc>
      </w:tr>
      <w:tr>
        <w:trPr>
          <w:tblHeader w:val="false"/>
        </w:trPr>
        <w:tc>
          <w:tcPr>
            <w:tcW w:type="dxa" w:w="321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CRM-CR-003</w:t>
            </w:r>
          </w:p>
        </w:tc>
        <w:tc>
          <w:tcPr>
            <w:tcW w:type="dxa" w:w="321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Opt-out/unsubscribe requests shall be honoured within 24 hours and logged</w:t>
            </w:r>
          </w:p>
        </w:tc>
        <w:tc>
          <w:tcPr>
            <w:tcW w:type="dxa" w:w="3214"/>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DPDP Act 2023</w:t>
            </w:r>
          </w:p>
        </w:tc>
      </w:tr>
      <w:tr>
        <w:trPr>
          <w:tblHeader w:val="false"/>
        </w:trPr>
        <w:tc>
          <w:tcPr>
            <w:tcW w:type="dxa" w:w="321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CRM-CR-004</w:t>
            </w:r>
          </w:p>
        </w:tc>
        <w:tc>
          <w:tcPr>
            <w:tcW w:type="dxa" w:w="321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Right-to-access: applicants shall be able to request a copy of their stored data from the student portal</w:t>
            </w:r>
          </w:p>
        </w:tc>
        <w:tc>
          <w:tcPr>
            <w:tcW w:type="dxa" w:w="3214"/>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DPDP Act 2023</w:t>
            </w:r>
          </w:p>
        </w:tc>
      </w:tr>
      <w:tr>
        <w:trPr>
          <w:tblHeader w:val="false"/>
        </w:trPr>
        <w:tc>
          <w:tcPr>
            <w:tcW w:type="dxa" w:w="321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CRM-CR-005</w:t>
            </w:r>
          </w:p>
        </w:tc>
        <w:tc>
          <w:tcPr>
            <w:tcW w:type="dxa" w:w="321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Right-to-erasure: verified erasure requests shall anonymise PII within 30 days</w:t>
            </w:r>
          </w:p>
        </w:tc>
        <w:tc>
          <w:tcPr>
            <w:tcW w:type="dxa" w:w="3214"/>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DPDP Act 2023</w:t>
            </w:r>
          </w:p>
        </w:tc>
      </w:tr>
      <w:tr>
        <w:trPr>
          <w:tblHeader w:val="false"/>
        </w:trPr>
        <w:tc>
          <w:tcPr>
            <w:tcW w:type="dxa" w:w="321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CRM-CR-006</w:t>
            </w:r>
          </w:p>
        </w:tc>
        <w:tc>
          <w:tcPr>
            <w:tcW w:type="dxa" w:w="321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All personal data of Indian residents shall be stored on servers physically located in India</w:t>
            </w:r>
          </w:p>
        </w:tc>
        <w:tc>
          <w:tcPr>
            <w:tcW w:type="dxa" w:w="3214"/>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DPDP Act 2023</w:t>
            </w:r>
          </w:p>
        </w:tc>
      </w:tr>
      <w:tr>
        <w:trPr>
          <w:tblHeader w:val="false"/>
        </w:trPr>
        <w:tc>
          <w:tcPr>
            <w:tcW w:type="dxa" w:w="321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CRM-CR-007</w:t>
            </w:r>
          </w:p>
        </w:tc>
        <w:tc>
          <w:tcPr>
            <w:tcW w:type="dxa" w:w="321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Call recordings shall require explicit consent notification to the caller</w:t>
            </w:r>
          </w:p>
        </w:tc>
        <w:tc>
          <w:tcPr>
            <w:tcW w:type="dxa" w:w="3214"/>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TRAI Regulations</w:t>
            </w:r>
          </w:p>
        </w:tc>
      </w:tr>
      <w:tr>
        <w:trPr>
          <w:tblHeader w:val="false"/>
        </w:trPr>
        <w:tc>
          <w:tcPr>
            <w:tcW w:type="dxa" w:w="321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CRM-CR-008</w:t>
            </w:r>
          </w:p>
        </w:tc>
        <w:tc>
          <w:tcPr>
            <w:tcW w:type="dxa" w:w="321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SMS communications shall use DLT-registered templates and sender IDs</w:t>
            </w:r>
          </w:p>
        </w:tc>
        <w:tc>
          <w:tcPr>
            <w:tcW w:type="dxa" w:w="3214"/>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TRAI / DoT</w:t>
            </w:r>
          </w:p>
        </w:tc>
      </w:tr>
      <w:tr>
        <w:trPr>
          <w:tblHeader w:val="false"/>
        </w:trPr>
        <w:tc>
          <w:tcPr>
            <w:tcW w:type="dxa" w:w="321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CRM-CR-009</w:t>
            </w:r>
          </w:p>
        </w:tc>
        <w:tc>
          <w:tcPr>
            <w:tcW w:type="dxa" w:w="321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Data Processing Agreements shall be available for institutions as Data Fiduciaries</w:t>
            </w:r>
          </w:p>
        </w:tc>
        <w:tc>
          <w:tcPr>
            <w:tcW w:type="dxa" w:w="3214"/>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DPDP Act 2023</w:t>
            </w:r>
          </w:p>
        </w:tc>
      </w:tr>
      <w:tr>
        <w:trPr>
          <w:tblHeader w:val="false"/>
        </w:trPr>
        <w:tc>
          <w:tcPr>
            <w:tcW w:type="dxa" w:w="321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CRM-CR-010</w:t>
            </w:r>
          </w:p>
        </w:tc>
        <w:tc>
          <w:tcPr>
            <w:tcW w:type="dxa" w:w="321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Breach notification workflow shall alert institution admin and provide incident documentation within 72 hours of a detected breach</w:t>
            </w:r>
          </w:p>
        </w:tc>
        <w:tc>
          <w:tcPr>
            <w:tcW w:type="dxa" w:w="3214"/>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DPDP Act 2023</w:t>
            </w:r>
          </w:p>
        </w:tc>
      </w:tr>
    </w:tbl>
    <w:p>
      <w:pPr>
        <w:spacing w:after="160" w:before="80"/>
      </w:pPr>
    </w:p>
    <w:p>
      <w:pPr>
        <w:spacing w:after="40" w:before="40"/>
      </w:pPr>
    </w:p>
    <w:p>
      <w:pPr>
        <w:pBdr>
          <w:bottom w:val="single" w:color="D1D5DB" w:sz="3" w:space="1"/>
        </w:pBdr>
        <w:spacing w:after="80" w:before="80"/>
      </w:pPr>
    </w:p>
    <w:p>
      <w:pPr>
        <w:spacing w:after="40" w:before="40"/>
      </w:pPr>
    </w:p>
    <w:p>
      <w:pPr>
        <w:pStyle w:val="Heading1"/>
        <w:spacing w:after="0" w:before="160"/>
      </w:pPr>
      <w:r>
        <w:rPr>
          <w:rFonts w:ascii="Arial" w:cs="Arial" w:eastAsia="Arial" w:hAnsi="Arial"/>
          <w:b/>
          <w:bCs/>
          <w:i w:val="false"/>
          <w:iCs w:val="false"/>
          <w:color w:val="1B2A4A"/>
          <w:sz w:val="28"/>
          <w:szCs w:val="28"/>
        </w:rPr>
        <w:t xml:space="preserve">12. User Roles and Permissions</w:t>
      </w:r>
    </w:p>
    <w:p>
      <w:pPr>
        <w:spacing w:after="80" w:before="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B2A4A" w:sz="1"/>
              <w:left w:val="single" w:color="1B2A4A" w:sz="1"/>
              <w:bottom w:val="single" w:color="1B2A4A" w:sz="1"/>
              <w:right w:val="single" w:color="1B2A4A" w:sz="1"/>
            </w:tcBorders>
            <w:shd w:fill="1B2A4A" w:val="clear"/>
            <w:tcMar>
              <w:top w:type="dxa" w:w="120"/>
              <w:left w:type="dxa" w:w="160"/>
              <w:bottom w:type="dxa" w:w="120"/>
              <w:right w:type="dxa" w:w="160"/>
            </w:tcMar>
          </w:tcPr>
          <w:p>
            <w:pPr>
              <w:jc w:val="left"/>
            </w:pPr>
            <w:r>
              <w:rPr>
                <w:rFonts w:ascii="Arial" w:cs="Arial" w:eastAsia="Arial" w:hAnsi="Arial"/>
                <w:b/>
                <w:bCs/>
                <w:i w:val="false"/>
                <w:iCs w:val="false"/>
                <w:color w:val="FFFFFF"/>
                <w:sz w:val="28"/>
                <w:szCs w:val="28"/>
              </w:rPr>
              <w:t xml:space="preserve">12. User Roles and Permissions</w:t>
            </w:r>
          </w:p>
        </w:tc>
      </w:tr>
    </w:tbl>
    <w:p>
      <w:pPr>
        <w:spacing w:after="80" w:before="80"/>
      </w:pPr>
    </w:p>
    <w:p>
      <w:pPr>
        <w:spacing w:after="80" w:before="80"/>
      </w:pPr>
    </w:p>
    <w:p>
      <w:pPr>
        <w:spacing w:after="40" w:before="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4"/>
      </w:tblGrid>
      <w:tr>
        <w:trPr>
          <w:tblHeader/>
        </w:trPr>
        <w:tc>
          <w:tcPr>
            <w:tcW w:type="dxa" w:w="3212"/>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top"/>
          </w:tcPr>
          <w:p>
            <w:pPr>
              <w:spacing w:after="0"/>
            </w:pPr>
            <w:r>
              <w:rPr>
                <w:rFonts w:ascii="Arial" w:cs="Arial" w:eastAsia="Arial" w:hAnsi="Arial"/>
                <w:b/>
                <w:bCs/>
                <w:i w:val="false"/>
                <w:iCs w:val="false"/>
                <w:color w:val="FFFFFF"/>
                <w:sz w:val="18"/>
                <w:szCs w:val="18"/>
              </w:rPr>
              <w:t xml:space="preserve">Role</w:t>
            </w:r>
          </w:p>
        </w:tc>
        <w:tc>
          <w:tcPr>
            <w:tcW w:type="dxa" w:w="3212"/>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top"/>
          </w:tcPr>
          <w:p>
            <w:pPr>
              <w:spacing w:after="0"/>
            </w:pPr>
            <w:r>
              <w:rPr>
                <w:rFonts w:ascii="Arial" w:cs="Arial" w:eastAsia="Arial" w:hAnsi="Arial"/>
                <w:b/>
                <w:bCs/>
                <w:i w:val="false"/>
                <w:iCs w:val="false"/>
                <w:color w:val="FFFFFF"/>
                <w:sz w:val="18"/>
                <w:szCs w:val="18"/>
              </w:rPr>
              <w:t xml:space="preserve">Scope</w:t>
            </w:r>
          </w:p>
        </w:tc>
        <w:tc>
          <w:tcPr>
            <w:tcW w:type="dxa" w:w="3214"/>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top"/>
          </w:tcPr>
          <w:p>
            <w:pPr>
              <w:spacing w:after="0"/>
            </w:pPr>
            <w:r>
              <w:rPr>
                <w:rFonts w:ascii="Arial" w:cs="Arial" w:eastAsia="Arial" w:hAnsi="Arial"/>
                <w:b/>
                <w:bCs/>
                <w:i w:val="false"/>
                <w:iCs w:val="false"/>
                <w:color w:val="FFFFFF"/>
                <w:sz w:val="18"/>
                <w:szCs w:val="18"/>
              </w:rPr>
              <w:t xml:space="preserve">Key Permissions</w:t>
            </w:r>
          </w:p>
        </w:tc>
      </w:tr>
      <w:tr>
        <w:trPr>
          <w:tblHeader w:val="false"/>
        </w:trPr>
        <w:tc>
          <w:tcPr>
            <w:tcW w:type="dxa" w:w="321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Super Admin (MEETCS)</w:t>
            </w:r>
          </w:p>
        </w:tc>
        <w:tc>
          <w:tcPr>
            <w:tcW w:type="dxa" w:w="321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All institutions</w:t>
            </w:r>
          </w:p>
        </w:tc>
        <w:tc>
          <w:tcPr>
            <w:tcW w:type="dxa" w:w="3214"/>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Full system access, platform configuration, support tools</w:t>
            </w:r>
          </w:p>
        </w:tc>
      </w:tr>
      <w:tr>
        <w:trPr>
          <w:tblHeader w:val="false"/>
        </w:trPr>
        <w:tc>
          <w:tcPr>
            <w:tcW w:type="dxa" w:w="321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Institution Admin</w:t>
            </w:r>
          </w:p>
        </w:tc>
        <w:tc>
          <w:tcPr>
            <w:tcW w:type="dxa" w:w="321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Single institution</w:t>
            </w:r>
          </w:p>
        </w:tc>
        <w:tc>
          <w:tcPr>
            <w:tcW w:type="dxa" w:w="3214"/>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User management, system configuration, all data access, all reports</w:t>
            </w:r>
          </w:p>
        </w:tc>
      </w:tr>
      <w:tr>
        <w:trPr>
          <w:tblHeader w:val="false"/>
        </w:trPr>
        <w:tc>
          <w:tcPr>
            <w:tcW w:type="dxa" w:w="321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Admissions Director / Head</w:t>
            </w:r>
          </w:p>
        </w:tc>
        <w:tc>
          <w:tcPr>
            <w:tcW w:type="dxa" w:w="321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Institution or Campus</w:t>
            </w:r>
          </w:p>
        </w:tc>
        <w:tc>
          <w:tcPr>
            <w:tcW w:type="dxa" w:w="3214"/>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All CRM data for their scope, management dashboards, user oversight</w:t>
            </w:r>
          </w:p>
        </w:tc>
      </w:tr>
      <w:tr>
        <w:trPr>
          <w:tblHeader w:val="false"/>
        </w:trPr>
        <w:tc>
          <w:tcPr>
            <w:tcW w:type="dxa" w:w="321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Admissions Manager</w:t>
            </w:r>
          </w:p>
        </w:tc>
        <w:tc>
          <w:tcPr>
            <w:tcW w:type="dxa" w:w="321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Team</w:t>
            </w:r>
          </w:p>
        </w:tc>
        <w:tc>
          <w:tcPr>
            <w:tcW w:type="dxa" w:w="3214"/>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Team lead management, reassignment, team dashboards, approval workflows</w:t>
            </w:r>
          </w:p>
        </w:tc>
      </w:tr>
      <w:tr>
        <w:trPr>
          <w:tblHeader w:val="false"/>
        </w:trPr>
        <w:tc>
          <w:tcPr>
            <w:tcW w:type="dxa" w:w="321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Counsellor (Senior)</w:t>
            </w:r>
          </w:p>
        </w:tc>
        <w:tc>
          <w:tcPr>
            <w:tcW w:type="dxa" w:w="321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Assigned leads</w:t>
            </w:r>
          </w:p>
        </w:tc>
        <w:tc>
          <w:tcPr>
            <w:tcW w:type="dxa" w:w="3214"/>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Own lead management, communication, task management, limited reports</w:t>
            </w:r>
          </w:p>
        </w:tc>
      </w:tr>
      <w:tr>
        <w:trPr>
          <w:tblHeader w:val="false"/>
        </w:trPr>
        <w:tc>
          <w:tcPr>
            <w:tcW w:type="dxa" w:w="321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Counsellor (Junior)</w:t>
            </w:r>
          </w:p>
        </w:tc>
        <w:tc>
          <w:tcPr>
            <w:tcW w:type="dxa" w:w="321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Assigned leads</w:t>
            </w:r>
          </w:p>
        </w:tc>
        <w:tc>
          <w:tcPr>
            <w:tcW w:type="dxa" w:w="3214"/>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Own lead management, guided workflows, no fee approvals</w:t>
            </w:r>
          </w:p>
        </w:tc>
      </w:tr>
      <w:tr>
        <w:trPr>
          <w:tblHeader w:val="false"/>
        </w:trPr>
        <w:tc>
          <w:tcPr>
            <w:tcW w:type="dxa" w:w="321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Marketing Manager</w:t>
            </w:r>
          </w:p>
        </w:tc>
        <w:tc>
          <w:tcPr>
            <w:tcW w:type="dxa" w:w="321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Institution</w:t>
            </w:r>
          </w:p>
        </w:tc>
        <w:tc>
          <w:tcPr>
            <w:tcW w:type="dxa" w:w="3214"/>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Campaign management, lead source management, marketing analytics</w:t>
            </w:r>
          </w:p>
        </w:tc>
      </w:tr>
      <w:tr>
        <w:trPr>
          <w:tblHeader w:val="false"/>
        </w:trPr>
        <w:tc>
          <w:tcPr>
            <w:tcW w:type="dxa" w:w="321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Finance Officer</w:t>
            </w:r>
          </w:p>
        </w:tc>
        <w:tc>
          <w:tcPr>
            <w:tcW w:type="dxa" w:w="321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Institution</w:t>
            </w:r>
          </w:p>
        </w:tc>
        <w:tc>
          <w:tcPr>
            <w:tcW w:type="dxa" w:w="3214"/>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Fee management, payment reports, scholarship approvals</w:t>
            </w:r>
          </w:p>
        </w:tc>
      </w:tr>
      <w:tr>
        <w:trPr>
          <w:tblHeader w:val="false"/>
        </w:trPr>
        <w:tc>
          <w:tcPr>
            <w:tcW w:type="dxa" w:w="321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Document Verifier</w:t>
            </w:r>
          </w:p>
        </w:tc>
        <w:tc>
          <w:tcPr>
            <w:tcW w:type="dxa" w:w="321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Institution</w:t>
            </w:r>
          </w:p>
        </w:tc>
        <w:tc>
          <w:tcPr>
            <w:tcW w:type="dxa" w:w="3214"/>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Document review and verification only</w:t>
            </w:r>
          </w:p>
        </w:tc>
      </w:tr>
      <w:tr>
        <w:trPr>
          <w:tblHeader w:val="false"/>
        </w:trPr>
        <w:tc>
          <w:tcPr>
            <w:tcW w:type="dxa" w:w="321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Agent / Partner</w:t>
            </w:r>
          </w:p>
        </w:tc>
        <w:tc>
          <w:tcPr>
            <w:tcW w:type="dxa" w:w="321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Own leads</w:t>
            </w:r>
          </w:p>
        </w:tc>
        <w:tc>
          <w:tcPr>
            <w:tcW w:type="dxa" w:w="3214"/>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Lead submission, lead status view (own leads), commission view</w:t>
            </w:r>
          </w:p>
        </w:tc>
      </w:tr>
      <w:tr>
        <w:trPr>
          <w:tblHeader w:val="false"/>
        </w:trPr>
        <w:tc>
          <w:tcPr>
            <w:tcW w:type="dxa" w:w="321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Applicant (Student)</w:t>
            </w:r>
          </w:p>
        </w:tc>
        <w:tc>
          <w:tcPr>
            <w:tcW w:type="dxa" w:w="321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Own record</w:t>
            </w:r>
          </w:p>
        </w:tc>
        <w:tc>
          <w:tcPr>
            <w:tcW w:type="dxa" w:w="3214"/>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Student portal — own application, documents, payments, communication</w:t>
            </w:r>
          </w:p>
        </w:tc>
      </w:tr>
    </w:tbl>
    <w:p>
      <w:pPr>
        <w:spacing w:after="160" w:before="80"/>
      </w:pPr>
    </w:p>
    <w:p>
      <w:pPr>
        <w:spacing w:after="40" w:before="40"/>
      </w:pPr>
    </w:p>
    <w:p>
      <w:pPr>
        <w:pBdr>
          <w:bottom w:val="single" w:color="D1D5DB" w:sz="3" w:space="1"/>
        </w:pBdr>
        <w:spacing w:after="80" w:before="80"/>
      </w:pPr>
    </w:p>
    <w:p>
      <w:pPr>
        <w:spacing w:after="40" w:before="40"/>
      </w:pPr>
    </w:p>
    <w:p>
      <w:pPr>
        <w:pStyle w:val="Heading1"/>
        <w:spacing w:after="0" w:before="160"/>
      </w:pPr>
      <w:r>
        <w:rPr>
          <w:rFonts w:ascii="Arial" w:cs="Arial" w:eastAsia="Arial" w:hAnsi="Arial"/>
          <w:b/>
          <w:bCs/>
          <w:i w:val="false"/>
          <w:iCs w:val="false"/>
          <w:color w:val="1B2A4A"/>
          <w:sz w:val="28"/>
          <w:szCs w:val="28"/>
        </w:rPr>
        <w:t xml:space="preserve">13. Feature Priority Matrix</w:t>
      </w:r>
    </w:p>
    <w:p>
      <w:pPr>
        <w:spacing w:after="80" w:before="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B2A4A" w:sz="1"/>
              <w:left w:val="single" w:color="1B2A4A" w:sz="1"/>
              <w:bottom w:val="single" w:color="1B2A4A" w:sz="1"/>
              <w:right w:val="single" w:color="1B2A4A" w:sz="1"/>
            </w:tcBorders>
            <w:shd w:fill="1B2A4A" w:val="clear"/>
            <w:tcMar>
              <w:top w:type="dxa" w:w="120"/>
              <w:left w:type="dxa" w:w="160"/>
              <w:bottom w:type="dxa" w:w="120"/>
              <w:right w:type="dxa" w:w="160"/>
            </w:tcMar>
          </w:tcPr>
          <w:p>
            <w:pPr>
              <w:jc w:val="left"/>
            </w:pPr>
            <w:r>
              <w:rPr>
                <w:rFonts w:ascii="Arial" w:cs="Arial" w:eastAsia="Arial" w:hAnsi="Arial"/>
                <w:b/>
                <w:bCs/>
                <w:i w:val="false"/>
                <w:iCs w:val="false"/>
                <w:color w:val="FFFFFF"/>
                <w:sz w:val="28"/>
                <w:szCs w:val="28"/>
              </w:rPr>
              <w:t xml:space="preserve">13. Feature Priority Matrix</w:t>
            </w:r>
          </w:p>
        </w:tc>
      </w:tr>
    </w:tbl>
    <w:p>
      <w:pPr>
        <w:spacing w:after="80" w:before="80"/>
      </w:pPr>
    </w:p>
    <w:p>
      <w:pPr>
        <w:spacing w:after="80" w:before="80"/>
      </w:pPr>
    </w:p>
    <w:p>
      <w:pPr>
        <w:spacing w:after="40" w:before="40"/>
      </w:pPr>
    </w:p>
    <w:p>
      <w:pPr>
        <w:spacing w:after="60" w:before="60"/>
        <w:jc w:val="both"/>
      </w:pPr>
      <w:r>
        <w:rPr>
          <w:rFonts w:ascii="Arial" w:cs="Arial" w:eastAsia="Arial" w:hAnsi="Arial"/>
          <w:b w:val="false"/>
          <w:bCs w:val="false"/>
          <w:i w:val="false"/>
          <w:iCs w:val="false"/>
          <w:color w:val="111827"/>
          <w:sz w:val="20"/>
          <w:szCs w:val="20"/>
        </w:rPr>
        <w:t xml:space="preserve">Features are prioritised using MoSCoW methodology.</w:t>
      </w:r>
    </w:p>
    <w:p>
      <w:pPr>
        <w:spacing w:after="40" w:before="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4"/>
      </w:tblGrid>
      <w:tr>
        <w:trPr>
          <w:tblHeader/>
        </w:trPr>
        <w:tc>
          <w:tcPr>
            <w:tcW w:type="dxa" w:w="3212"/>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top"/>
          </w:tcPr>
          <w:p>
            <w:pPr>
              <w:spacing w:after="0"/>
            </w:pPr>
            <w:r>
              <w:rPr>
                <w:rFonts w:ascii="Arial" w:cs="Arial" w:eastAsia="Arial" w:hAnsi="Arial"/>
                <w:b/>
                <w:bCs/>
                <w:i w:val="false"/>
                <w:iCs w:val="false"/>
                <w:color w:val="FFFFFF"/>
                <w:sz w:val="18"/>
                <w:szCs w:val="18"/>
              </w:rPr>
              <w:t xml:space="preserve">Priority</w:t>
            </w:r>
          </w:p>
        </w:tc>
        <w:tc>
          <w:tcPr>
            <w:tcW w:type="dxa" w:w="3212"/>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top"/>
          </w:tcPr>
          <w:p>
            <w:pPr>
              <w:spacing w:after="0"/>
            </w:pPr>
            <w:r>
              <w:rPr>
                <w:rFonts w:ascii="Arial" w:cs="Arial" w:eastAsia="Arial" w:hAnsi="Arial"/>
                <w:b/>
                <w:bCs/>
                <w:i w:val="false"/>
                <w:iCs w:val="false"/>
                <w:color w:val="FFFFFF"/>
                <w:sz w:val="18"/>
                <w:szCs w:val="18"/>
              </w:rPr>
              <w:t xml:space="preserve">Definition</w:t>
            </w:r>
          </w:p>
        </w:tc>
        <w:tc>
          <w:tcPr>
            <w:tcW w:type="dxa" w:w="3214"/>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top"/>
          </w:tcPr>
          <w:p>
            <w:pPr>
              <w:spacing w:after="0"/>
            </w:pPr>
            <w:r>
              <w:rPr>
                <w:rFonts w:ascii="Arial" w:cs="Arial" w:eastAsia="Arial" w:hAnsi="Arial"/>
                <w:b/>
                <w:bCs/>
                <w:i w:val="false"/>
                <w:iCs w:val="false"/>
                <w:color w:val="FFFFFF"/>
                <w:sz w:val="18"/>
                <w:szCs w:val="18"/>
              </w:rPr>
              <w:t xml:space="preserve">Delivery Target</w:t>
            </w:r>
          </w:p>
        </w:tc>
      </w:tr>
      <w:tr>
        <w:trPr>
          <w:tblHeader w:val="false"/>
        </w:trPr>
        <w:tc>
          <w:tcPr>
            <w:tcW w:type="dxa" w:w="321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bCs/>
                <w:i w:val="false"/>
                <w:iCs w:val="false"/>
                <w:color w:val="111827"/>
                <w:sz w:val="18"/>
                <w:szCs w:val="18"/>
              </w:rPr>
              <w:t xml:space="preserve">Must Have</w:t>
            </w:r>
          </w:p>
        </w:tc>
        <w:tc>
          <w:tcPr>
            <w:tcW w:type="dxa" w:w="321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Non-negotiable for MVP go-live; core value proposition</w:t>
            </w:r>
          </w:p>
        </w:tc>
        <w:tc>
          <w:tcPr>
            <w:tcW w:type="dxa" w:w="3214"/>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Phase 1 (Months 1–4)</w:t>
            </w:r>
          </w:p>
        </w:tc>
      </w:tr>
      <w:tr>
        <w:trPr>
          <w:tblHeader w:val="false"/>
        </w:trPr>
        <w:tc>
          <w:tcPr>
            <w:tcW w:type="dxa" w:w="321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bCs/>
                <w:i w:val="false"/>
                <w:iCs w:val="false"/>
                <w:color w:val="111827"/>
                <w:sz w:val="18"/>
                <w:szCs w:val="18"/>
              </w:rPr>
              <w:t xml:space="preserve">Should Have</w:t>
            </w:r>
          </w:p>
        </w:tc>
        <w:tc>
          <w:tcPr>
            <w:tcW w:type="dxa" w:w="321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High value; important but deliverable in Phase 2</w:t>
            </w:r>
          </w:p>
        </w:tc>
        <w:tc>
          <w:tcPr>
            <w:tcW w:type="dxa" w:w="3214"/>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Phase 2 (Months 5–8)</w:t>
            </w:r>
          </w:p>
        </w:tc>
      </w:tr>
      <w:tr>
        <w:trPr>
          <w:tblHeader w:val="false"/>
        </w:trPr>
        <w:tc>
          <w:tcPr>
            <w:tcW w:type="dxa" w:w="321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bCs/>
                <w:i w:val="false"/>
                <w:iCs w:val="false"/>
                <w:color w:val="111827"/>
                <w:sz w:val="18"/>
                <w:szCs w:val="18"/>
              </w:rPr>
              <w:t xml:space="preserve">Could Have</w:t>
            </w:r>
          </w:p>
        </w:tc>
        <w:tc>
          <w:tcPr>
            <w:tcW w:type="dxa" w:w="321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Desirable; included if capacity allows</w:t>
            </w:r>
          </w:p>
        </w:tc>
        <w:tc>
          <w:tcPr>
            <w:tcW w:type="dxa" w:w="3214"/>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Phase 3 (Months 9–12)</w:t>
            </w:r>
          </w:p>
        </w:tc>
      </w:tr>
      <w:tr>
        <w:trPr>
          <w:tblHeader w:val="false"/>
        </w:trPr>
        <w:tc>
          <w:tcPr>
            <w:tcW w:type="dxa" w:w="321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bCs/>
                <w:i w:val="false"/>
                <w:iCs w:val="false"/>
                <w:color w:val="111827"/>
                <w:sz w:val="18"/>
                <w:szCs w:val="18"/>
              </w:rPr>
              <w:t xml:space="preserve">Won't Have (this release)</w:t>
            </w:r>
          </w:p>
        </w:tc>
        <w:tc>
          <w:tcPr>
            <w:tcW w:type="dxa" w:w="321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Explicitly deferred to future roadmap</w:t>
            </w:r>
          </w:p>
        </w:tc>
        <w:tc>
          <w:tcPr>
            <w:tcW w:type="dxa" w:w="3214"/>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Post v1.0</w:t>
            </w:r>
          </w:p>
        </w:tc>
      </w:tr>
    </w:tbl>
    <w:p>
      <w:pPr>
        <w:spacing w:after="160" w:before="80"/>
      </w:pPr>
    </w:p>
    <w:p>
      <w:pPr>
        <w:spacing w:after="40" w:before="40"/>
      </w:pPr>
    </w:p>
    <w:p>
      <w:pPr>
        <w:pStyle w:val="Heading3"/>
        <w:spacing w:after="100" w:before="200"/>
      </w:pPr>
      <w:r>
        <w:rPr>
          <w:rFonts w:ascii="Arial" w:cs="Arial" w:eastAsia="Arial" w:hAnsi="Arial"/>
          <w:b/>
          <w:bCs/>
          <w:i w:val="false"/>
          <w:iCs w:val="false"/>
          <w:color w:val="2563EB"/>
          <w:sz w:val="24"/>
          <w:szCs w:val="24"/>
        </w:rPr>
        <w:t xml:space="preserve">Summary Count by Priority</w:t>
      </w:r>
    </w:p>
    <w:p>
      <w:pPr>
        <w:spacing w:after="40" w:before="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tblHeader/>
        </w:trPr>
        <w:tc>
          <w:tcPr>
            <w:tcW w:type="dxa" w:w="2409"/>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top"/>
          </w:tcPr>
          <w:p>
            <w:pPr>
              <w:spacing w:after="0"/>
            </w:pPr>
            <w:r>
              <w:rPr>
                <w:rFonts w:ascii="Arial" w:cs="Arial" w:eastAsia="Arial" w:hAnsi="Arial"/>
                <w:b/>
                <w:bCs/>
                <w:i w:val="false"/>
                <w:iCs w:val="false"/>
                <w:color w:val="FFFFFF"/>
                <w:sz w:val="18"/>
                <w:szCs w:val="18"/>
              </w:rPr>
              <w:t xml:space="preserve">Module</w:t>
            </w:r>
          </w:p>
        </w:tc>
        <w:tc>
          <w:tcPr>
            <w:tcW w:type="dxa" w:w="2409"/>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top"/>
          </w:tcPr>
          <w:p>
            <w:pPr>
              <w:spacing w:after="0"/>
            </w:pPr>
            <w:r>
              <w:rPr>
                <w:rFonts w:ascii="Arial" w:cs="Arial" w:eastAsia="Arial" w:hAnsi="Arial"/>
                <w:b/>
                <w:bCs/>
                <w:i w:val="false"/>
                <w:iCs w:val="false"/>
                <w:color w:val="FFFFFF"/>
                <w:sz w:val="18"/>
                <w:szCs w:val="18"/>
              </w:rPr>
              <w:t xml:space="preserve">Must Have</w:t>
            </w:r>
          </w:p>
        </w:tc>
        <w:tc>
          <w:tcPr>
            <w:tcW w:type="dxa" w:w="2409"/>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top"/>
          </w:tcPr>
          <w:p>
            <w:pPr>
              <w:spacing w:after="0"/>
            </w:pPr>
            <w:r>
              <w:rPr>
                <w:rFonts w:ascii="Arial" w:cs="Arial" w:eastAsia="Arial" w:hAnsi="Arial"/>
                <w:b/>
                <w:bCs/>
                <w:i w:val="false"/>
                <w:iCs w:val="false"/>
                <w:color w:val="FFFFFF"/>
                <w:sz w:val="18"/>
                <w:szCs w:val="18"/>
              </w:rPr>
              <w:t xml:space="preserve">Should Have</w:t>
            </w:r>
          </w:p>
        </w:tc>
        <w:tc>
          <w:tcPr>
            <w:tcW w:type="dxa" w:w="2411"/>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top"/>
          </w:tcPr>
          <w:p>
            <w:pPr>
              <w:spacing w:after="0"/>
            </w:pPr>
            <w:r>
              <w:rPr>
                <w:rFonts w:ascii="Arial" w:cs="Arial" w:eastAsia="Arial" w:hAnsi="Arial"/>
                <w:b/>
                <w:bCs/>
                <w:i w:val="false"/>
                <w:iCs w:val="false"/>
                <w:color w:val="FFFFFF"/>
                <w:sz w:val="18"/>
                <w:szCs w:val="18"/>
              </w:rPr>
              <w:t xml:space="preserve">Could Have</w:t>
            </w:r>
          </w:p>
        </w:tc>
      </w:tr>
      <w:tr>
        <w:trPr>
          <w:tblHeader w:val="false"/>
        </w:trPr>
        <w:tc>
          <w:tcPr>
            <w:tcW w:type="dxa" w:w="2409"/>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Lead Capture</w:t>
            </w:r>
          </w:p>
        </w:tc>
        <w:tc>
          <w:tcPr>
            <w:tcW w:type="dxa" w:w="2409"/>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13</w:t>
            </w:r>
          </w:p>
        </w:tc>
        <w:tc>
          <w:tcPr>
            <w:tcW w:type="dxa" w:w="2409"/>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4</w:t>
            </w:r>
          </w:p>
        </w:tc>
        <w:tc>
          <w:tcPr>
            <w:tcW w:type="dxa" w:w="241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0</w:t>
            </w:r>
          </w:p>
        </w:tc>
      </w:tr>
      <w:tr>
        <w:trPr>
          <w:tblHeader w:val="false"/>
        </w:trPr>
        <w:tc>
          <w:tcPr>
            <w:tcW w:type="dxa" w:w="2409"/>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Lead Scoring</w:t>
            </w:r>
          </w:p>
        </w:tc>
        <w:tc>
          <w:tcPr>
            <w:tcW w:type="dxa" w:w="2409"/>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7</w:t>
            </w:r>
          </w:p>
        </w:tc>
        <w:tc>
          <w:tcPr>
            <w:tcW w:type="dxa" w:w="2409"/>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3</w:t>
            </w:r>
          </w:p>
        </w:tc>
        <w:tc>
          <w:tcPr>
            <w:tcW w:type="dxa" w:w="241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0</w:t>
            </w:r>
          </w:p>
        </w:tc>
      </w:tr>
      <w:tr>
        <w:trPr>
          <w:tblHeader w:val="false"/>
        </w:trPr>
        <w:tc>
          <w:tcPr>
            <w:tcW w:type="dxa" w:w="2409"/>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Enquiry &amp; Counselling</w:t>
            </w:r>
          </w:p>
        </w:tc>
        <w:tc>
          <w:tcPr>
            <w:tcW w:type="dxa" w:w="2409"/>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14</w:t>
            </w:r>
          </w:p>
        </w:tc>
        <w:tc>
          <w:tcPr>
            <w:tcW w:type="dxa" w:w="2409"/>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5</w:t>
            </w:r>
          </w:p>
        </w:tc>
        <w:tc>
          <w:tcPr>
            <w:tcW w:type="dxa" w:w="241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0</w:t>
            </w:r>
          </w:p>
        </w:tc>
      </w:tr>
      <w:tr>
        <w:trPr>
          <w:tblHeader w:val="false"/>
        </w:trPr>
        <w:tc>
          <w:tcPr>
            <w:tcW w:type="dxa" w:w="2409"/>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Application &amp; Pipeline</w:t>
            </w:r>
          </w:p>
        </w:tc>
        <w:tc>
          <w:tcPr>
            <w:tcW w:type="dxa" w:w="2409"/>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14</w:t>
            </w:r>
          </w:p>
        </w:tc>
        <w:tc>
          <w:tcPr>
            <w:tcW w:type="dxa" w:w="2409"/>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1</w:t>
            </w:r>
          </w:p>
        </w:tc>
        <w:tc>
          <w:tcPr>
            <w:tcW w:type="dxa" w:w="241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0</w:t>
            </w:r>
          </w:p>
        </w:tc>
      </w:tr>
      <w:tr>
        <w:trPr>
          <w:tblHeader w:val="false"/>
        </w:trPr>
        <w:tc>
          <w:tcPr>
            <w:tcW w:type="dxa" w:w="2409"/>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Communication Engine</w:t>
            </w:r>
          </w:p>
        </w:tc>
        <w:tc>
          <w:tcPr>
            <w:tcW w:type="dxa" w:w="2409"/>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19</w:t>
            </w:r>
          </w:p>
        </w:tc>
        <w:tc>
          <w:tcPr>
            <w:tcW w:type="dxa" w:w="2409"/>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4</w:t>
            </w:r>
          </w:p>
        </w:tc>
        <w:tc>
          <w:tcPr>
            <w:tcW w:type="dxa" w:w="241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0</w:t>
            </w:r>
          </w:p>
        </w:tc>
      </w:tr>
      <w:tr>
        <w:trPr>
          <w:tblHeader w:val="false"/>
        </w:trPr>
        <w:tc>
          <w:tcPr>
            <w:tcW w:type="dxa" w:w="2409"/>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Marketing Automation</w:t>
            </w:r>
          </w:p>
        </w:tc>
        <w:tc>
          <w:tcPr>
            <w:tcW w:type="dxa" w:w="2409"/>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7</w:t>
            </w:r>
          </w:p>
        </w:tc>
        <w:tc>
          <w:tcPr>
            <w:tcW w:type="dxa" w:w="2409"/>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3</w:t>
            </w:r>
          </w:p>
        </w:tc>
        <w:tc>
          <w:tcPr>
            <w:tcW w:type="dxa" w:w="241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0</w:t>
            </w:r>
          </w:p>
        </w:tc>
      </w:tr>
      <w:tr>
        <w:trPr>
          <w:tblHeader w:val="false"/>
        </w:trPr>
        <w:tc>
          <w:tcPr>
            <w:tcW w:type="dxa" w:w="2409"/>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Fee &amp; Payments</w:t>
            </w:r>
          </w:p>
        </w:tc>
        <w:tc>
          <w:tcPr>
            <w:tcW w:type="dxa" w:w="2409"/>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9</w:t>
            </w:r>
          </w:p>
        </w:tc>
        <w:tc>
          <w:tcPr>
            <w:tcW w:type="dxa" w:w="2409"/>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3</w:t>
            </w:r>
          </w:p>
        </w:tc>
        <w:tc>
          <w:tcPr>
            <w:tcW w:type="dxa" w:w="241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0</w:t>
            </w:r>
          </w:p>
        </w:tc>
      </w:tr>
      <w:tr>
        <w:trPr>
          <w:tblHeader w:val="false"/>
        </w:trPr>
        <w:tc>
          <w:tcPr>
            <w:tcW w:type="dxa" w:w="2409"/>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Document Management</w:t>
            </w:r>
          </w:p>
        </w:tc>
        <w:tc>
          <w:tcPr>
            <w:tcW w:type="dxa" w:w="2409"/>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8</w:t>
            </w:r>
          </w:p>
        </w:tc>
        <w:tc>
          <w:tcPr>
            <w:tcW w:type="dxa" w:w="2409"/>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2</w:t>
            </w:r>
          </w:p>
        </w:tc>
        <w:tc>
          <w:tcPr>
            <w:tcW w:type="dxa" w:w="241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0</w:t>
            </w:r>
          </w:p>
        </w:tc>
      </w:tr>
      <w:tr>
        <w:trPr>
          <w:tblHeader w:val="false"/>
        </w:trPr>
        <w:tc>
          <w:tcPr>
            <w:tcW w:type="dxa" w:w="2409"/>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Tasks &amp; Follow-ups</w:t>
            </w:r>
          </w:p>
        </w:tc>
        <w:tc>
          <w:tcPr>
            <w:tcW w:type="dxa" w:w="2409"/>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9</w:t>
            </w:r>
          </w:p>
        </w:tc>
        <w:tc>
          <w:tcPr>
            <w:tcW w:type="dxa" w:w="2409"/>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0</w:t>
            </w:r>
          </w:p>
        </w:tc>
        <w:tc>
          <w:tcPr>
            <w:tcW w:type="dxa" w:w="241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0</w:t>
            </w:r>
          </w:p>
        </w:tc>
      </w:tr>
      <w:tr>
        <w:trPr>
          <w:tblHeader w:val="false"/>
        </w:trPr>
        <w:tc>
          <w:tcPr>
            <w:tcW w:type="dxa" w:w="2409"/>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Telecalling</w:t>
            </w:r>
          </w:p>
        </w:tc>
        <w:tc>
          <w:tcPr>
            <w:tcW w:type="dxa" w:w="2409"/>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5</w:t>
            </w:r>
          </w:p>
        </w:tc>
        <w:tc>
          <w:tcPr>
            <w:tcW w:type="dxa" w:w="2409"/>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4</w:t>
            </w:r>
          </w:p>
        </w:tc>
        <w:tc>
          <w:tcPr>
            <w:tcW w:type="dxa" w:w="241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0</w:t>
            </w:r>
          </w:p>
        </w:tc>
      </w:tr>
      <w:tr>
        <w:trPr>
          <w:tblHeader w:val="false"/>
        </w:trPr>
        <w:tc>
          <w:tcPr>
            <w:tcW w:type="dxa" w:w="2409"/>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Student Portal</w:t>
            </w:r>
          </w:p>
        </w:tc>
        <w:tc>
          <w:tcPr>
            <w:tcW w:type="dxa" w:w="2409"/>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6</w:t>
            </w:r>
          </w:p>
        </w:tc>
        <w:tc>
          <w:tcPr>
            <w:tcW w:type="dxa" w:w="2409"/>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1</w:t>
            </w:r>
          </w:p>
        </w:tc>
        <w:tc>
          <w:tcPr>
            <w:tcW w:type="dxa" w:w="241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0</w:t>
            </w:r>
          </w:p>
        </w:tc>
      </w:tr>
      <w:tr>
        <w:trPr>
          <w:tblHeader w:val="false"/>
        </w:trPr>
        <w:tc>
          <w:tcPr>
            <w:tcW w:type="dxa" w:w="2409"/>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Agent Management</w:t>
            </w:r>
          </w:p>
        </w:tc>
        <w:tc>
          <w:tcPr>
            <w:tcW w:type="dxa" w:w="2409"/>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5</w:t>
            </w:r>
          </w:p>
        </w:tc>
        <w:tc>
          <w:tcPr>
            <w:tcW w:type="dxa" w:w="2409"/>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2</w:t>
            </w:r>
          </w:p>
        </w:tc>
        <w:tc>
          <w:tcPr>
            <w:tcW w:type="dxa" w:w="241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0</w:t>
            </w:r>
          </w:p>
        </w:tc>
      </w:tr>
      <w:tr>
        <w:trPr>
          <w:tblHeader w:val="false"/>
        </w:trPr>
        <w:tc>
          <w:tcPr>
            <w:tcW w:type="dxa" w:w="2409"/>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Alumni Bridge</w:t>
            </w:r>
          </w:p>
        </w:tc>
        <w:tc>
          <w:tcPr>
            <w:tcW w:type="dxa" w:w="2409"/>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1</w:t>
            </w:r>
          </w:p>
        </w:tc>
        <w:tc>
          <w:tcPr>
            <w:tcW w:type="dxa" w:w="2409"/>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2</w:t>
            </w:r>
          </w:p>
        </w:tc>
        <w:tc>
          <w:tcPr>
            <w:tcW w:type="dxa" w:w="241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1</w:t>
            </w:r>
          </w:p>
        </w:tc>
      </w:tr>
      <w:tr>
        <w:trPr>
          <w:tblHeader w:val="false"/>
        </w:trPr>
        <w:tc>
          <w:tcPr>
            <w:tcW w:type="dxa" w:w="2409"/>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Analytics &amp; Reporting</w:t>
            </w:r>
          </w:p>
        </w:tc>
        <w:tc>
          <w:tcPr>
            <w:tcW w:type="dxa" w:w="2409"/>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15</w:t>
            </w:r>
          </w:p>
        </w:tc>
        <w:tc>
          <w:tcPr>
            <w:tcW w:type="dxa" w:w="2409"/>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5</w:t>
            </w:r>
          </w:p>
        </w:tc>
        <w:tc>
          <w:tcPr>
            <w:tcW w:type="dxa" w:w="241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1</w:t>
            </w:r>
          </w:p>
        </w:tc>
      </w:tr>
      <w:tr>
        <w:trPr>
          <w:tblHeader w:val="false"/>
        </w:trPr>
        <w:tc>
          <w:tcPr>
            <w:tcW w:type="dxa" w:w="2409"/>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AI / Agentic Layer</w:t>
            </w:r>
          </w:p>
        </w:tc>
        <w:tc>
          <w:tcPr>
            <w:tcW w:type="dxa" w:w="2409"/>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5</w:t>
            </w:r>
          </w:p>
        </w:tc>
        <w:tc>
          <w:tcPr>
            <w:tcW w:type="dxa" w:w="2409"/>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6</w:t>
            </w:r>
          </w:p>
        </w:tc>
        <w:tc>
          <w:tcPr>
            <w:tcW w:type="dxa" w:w="241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1</w:t>
            </w:r>
          </w:p>
        </w:tc>
      </w:tr>
      <w:tr>
        <w:trPr>
          <w:tblHeader w:val="false"/>
        </w:trPr>
        <w:tc>
          <w:tcPr>
            <w:tcW w:type="dxa" w:w="2409"/>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Mobile Application</w:t>
            </w:r>
          </w:p>
        </w:tc>
        <w:tc>
          <w:tcPr>
            <w:tcW w:type="dxa" w:w="2409"/>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6</w:t>
            </w:r>
          </w:p>
        </w:tc>
        <w:tc>
          <w:tcPr>
            <w:tcW w:type="dxa" w:w="2409"/>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2</w:t>
            </w:r>
          </w:p>
        </w:tc>
        <w:tc>
          <w:tcPr>
            <w:tcW w:type="dxa" w:w="241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0</w:t>
            </w:r>
          </w:p>
        </w:tc>
      </w:tr>
      <w:tr>
        <w:trPr>
          <w:tblHeader w:val="false"/>
        </w:trPr>
        <w:tc>
          <w:tcPr>
            <w:tcW w:type="dxa" w:w="2409"/>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ERP Integration</w:t>
            </w:r>
          </w:p>
        </w:tc>
        <w:tc>
          <w:tcPr>
            <w:tcW w:type="dxa" w:w="2409"/>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7</w:t>
            </w:r>
          </w:p>
        </w:tc>
        <w:tc>
          <w:tcPr>
            <w:tcW w:type="dxa" w:w="2409"/>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2</w:t>
            </w:r>
          </w:p>
        </w:tc>
        <w:tc>
          <w:tcPr>
            <w:tcW w:type="dxa" w:w="241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1</w:t>
            </w:r>
          </w:p>
        </w:tc>
      </w:tr>
      <w:tr>
        <w:trPr>
          <w:tblHeader w:val="false"/>
        </w:trPr>
        <w:tc>
          <w:tcPr>
            <w:tcW w:type="dxa" w:w="2409"/>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Third-Party Integrations</w:t>
            </w:r>
          </w:p>
        </w:tc>
        <w:tc>
          <w:tcPr>
            <w:tcW w:type="dxa" w:w="2409"/>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10</w:t>
            </w:r>
          </w:p>
        </w:tc>
        <w:tc>
          <w:tcPr>
            <w:tcW w:type="dxa" w:w="2409"/>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3</w:t>
            </w:r>
          </w:p>
        </w:tc>
        <w:tc>
          <w:tcPr>
            <w:tcW w:type="dxa" w:w="241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1</w:t>
            </w:r>
          </w:p>
        </w:tc>
      </w:tr>
      <w:tr>
        <w:trPr>
          <w:tblHeader w:val="false"/>
        </w:trPr>
        <w:tc>
          <w:tcPr>
            <w:tcW w:type="dxa" w:w="2409"/>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System Administration</w:t>
            </w:r>
          </w:p>
        </w:tc>
        <w:tc>
          <w:tcPr>
            <w:tcW w:type="dxa" w:w="2409"/>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9</w:t>
            </w:r>
          </w:p>
        </w:tc>
        <w:tc>
          <w:tcPr>
            <w:tcW w:type="dxa" w:w="2409"/>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3</w:t>
            </w:r>
          </w:p>
        </w:tc>
        <w:tc>
          <w:tcPr>
            <w:tcW w:type="dxa" w:w="241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0</w:t>
            </w:r>
          </w:p>
        </w:tc>
      </w:tr>
      <w:tr>
        <w:trPr>
          <w:tblHeader w:val="false"/>
        </w:trPr>
        <w:tc>
          <w:tcPr>
            <w:tcW w:type="dxa" w:w="2409"/>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bCs/>
                <w:i w:val="false"/>
                <w:iCs w:val="false"/>
                <w:color w:val="111827"/>
                <w:sz w:val="18"/>
                <w:szCs w:val="18"/>
              </w:rPr>
              <w:t xml:space="preserve">TOTAL</w:t>
            </w:r>
          </w:p>
        </w:tc>
        <w:tc>
          <w:tcPr>
            <w:tcW w:type="dxa" w:w="2409"/>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bCs/>
                <w:i w:val="false"/>
                <w:iCs w:val="false"/>
                <w:color w:val="111827"/>
                <w:sz w:val="18"/>
                <w:szCs w:val="18"/>
              </w:rPr>
              <w:t xml:space="preserve">179</w:t>
            </w:r>
          </w:p>
        </w:tc>
        <w:tc>
          <w:tcPr>
            <w:tcW w:type="dxa" w:w="2409"/>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bCs/>
                <w:i w:val="false"/>
                <w:iCs w:val="false"/>
                <w:color w:val="111827"/>
                <w:sz w:val="18"/>
                <w:szCs w:val="18"/>
              </w:rPr>
              <w:t xml:space="preserve">55</w:t>
            </w:r>
          </w:p>
        </w:tc>
        <w:tc>
          <w:tcPr>
            <w:tcW w:type="dxa" w:w="241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bCs/>
                <w:i w:val="false"/>
                <w:iCs w:val="false"/>
                <w:color w:val="111827"/>
                <w:sz w:val="18"/>
                <w:szCs w:val="18"/>
              </w:rPr>
              <w:t xml:space="preserve">5</w:t>
            </w:r>
          </w:p>
        </w:tc>
      </w:tr>
    </w:tbl>
    <w:p>
      <w:pPr>
        <w:spacing w:after="160" w:before="80"/>
      </w:pPr>
    </w:p>
    <w:p>
      <w:pPr>
        <w:spacing w:after="40" w:before="40"/>
      </w:pPr>
    </w:p>
    <w:p>
      <w:pPr>
        <w:pBdr>
          <w:bottom w:val="single" w:color="D1D5DB" w:sz="3" w:space="1"/>
        </w:pBdr>
        <w:spacing w:after="80" w:before="80"/>
      </w:pPr>
    </w:p>
    <w:p>
      <w:pPr>
        <w:spacing w:after="40" w:before="40"/>
      </w:pPr>
    </w:p>
    <w:p>
      <w:pPr>
        <w:pStyle w:val="Heading1"/>
        <w:spacing w:after="0" w:before="160"/>
      </w:pPr>
      <w:r>
        <w:rPr>
          <w:rFonts w:ascii="Arial" w:cs="Arial" w:eastAsia="Arial" w:hAnsi="Arial"/>
          <w:b/>
          <w:bCs/>
          <w:i w:val="false"/>
          <w:iCs w:val="false"/>
          <w:color w:val="1B2A4A"/>
          <w:sz w:val="28"/>
          <w:szCs w:val="28"/>
        </w:rPr>
        <w:t xml:space="preserve">14. Glossary</w:t>
      </w:r>
    </w:p>
    <w:p>
      <w:pPr>
        <w:spacing w:after="80" w:before="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B2A4A" w:sz="1"/>
              <w:left w:val="single" w:color="1B2A4A" w:sz="1"/>
              <w:bottom w:val="single" w:color="1B2A4A" w:sz="1"/>
              <w:right w:val="single" w:color="1B2A4A" w:sz="1"/>
            </w:tcBorders>
            <w:shd w:fill="1B2A4A" w:val="clear"/>
            <w:tcMar>
              <w:top w:type="dxa" w:w="120"/>
              <w:left w:type="dxa" w:w="160"/>
              <w:bottom w:type="dxa" w:w="120"/>
              <w:right w:type="dxa" w:w="160"/>
            </w:tcMar>
          </w:tcPr>
          <w:p>
            <w:pPr>
              <w:jc w:val="left"/>
            </w:pPr>
            <w:r>
              <w:rPr>
                <w:rFonts w:ascii="Arial" w:cs="Arial" w:eastAsia="Arial" w:hAnsi="Arial"/>
                <w:b/>
                <w:bCs/>
                <w:i w:val="false"/>
                <w:iCs w:val="false"/>
                <w:color w:val="FFFFFF"/>
                <w:sz w:val="28"/>
                <w:szCs w:val="28"/>
              </w:rPr>
              <w:t xml:space="preserve">14. Glossary</w:t>
            </w:r>
          </w:p>
        </w:tc>
      </w:tr>
    </w:tbl>
    <w:p>
      <w:pPr>
        <w:spacing w:after="80" w:before="80"/>
      </w:pPr>
    </w:p>
    <w:p>
      <w:pPr>
        <w:spacing w:after="80" w:before="80"/>
      </w:pPr>
    </w:p>
    <w:p>
      <w:pPr>
        <w:spacing w:after="40" w:before="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top"/>
          </w:tcPr>
          <w:p>
            <w:pPr>
              <w:spacing w:after="0"/>
            </w:pPr>
            <w:r>
              <w:rPr>
                <w:rFonts w:ascii="Arial" w:cs="Arial" w:eastAsia="Arial" w:hAnsi="Arial"/>
                <w:b/>
                <w:bCs/>
                <w:i w:val="false"/>
                <w:iCs w:val="false"/>
                <w:color w:val="FFFFFF"/>
                <w:sz w:val="18"/>
                <w:szCs w:val="18"/>
              </w:rPr>
              <w:t xml:space="preserve">Term</w:t>
            </w:r>
          </w:p>
        </w:tc>
        <w:tc>
          <w:tcPr>
            <w:tcW w:type="dxa" w:w="4819"/>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top"/>
          </w:tcPr>
          <w:p>
            <w:pPr>
              <w:spacing w:after="0"/>
            </w:pPr>
            <w:r>
              <w:rPr>
                <w:rFonts w:ascii="Arial" w:cs="Arial" w:eastAsia="Arial" w:hAnsi="Arial"/>
                <w:b/>
                <w:bCs/>
                <w:i w:val="false"/>
                <w:iCs w:val="false"/>
                <w:color w:val="FFFFFF"/>
                <w:sz w:val="18"/>
                <w:szCs w:val="18"/>
              </w:rPr>
              <w:t xml:space="preserve">Definition</w:t>
            </w:r>
          </w:p>
        </w:tc>
      </w:tr>
      <w:tr>
        <w:trPr>
          <w:tblHeader w:val="false"/>
        </w:trPr>
        <w:tc>
          <w:tcPr>
            <w:tcW w:type="dxa" w:w="4819"/>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A2A ERP</w:t>
            </w:r>
          </w:p>
        </w:tc>
        <w:tc>
          <w:tcPr>
            <w:tcW w:type="dxa" w:w="4819"/>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Admissions-2-Alumni Educational ERP — MEETCS Pvt. Ltd.'s flagship product</w:t>
            </w:r>
          </w:p>
        </w:tc>
      </w:tr>
      <w:tr>
        <w:trPr>
          <w:tblHeader w:val="false"/>
        </w:trPr>
        <w:tc>
          <w:tcPr>
            <w:tcW w:type="dxa" w:w="4819"/>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A2A-CRM</w:t>
            </w:r>
          </w:p>
        </w:tc>
        <w:tc>
          <w:tcPr>
            <w:tcW w:type="dxa" w:w="4819"/>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The Educational CRM module being specified in this document</w:t>
            </w:r>
          </w:p>
        </w:tc>
      </w:tr>
      <w:tr>
        <w:trPr>
          <w:tblHeader w:val="false"/>
        </w:trPr>
        <w:tc>
          <w:tcPr>
            <w:tcW w:type="dxa" w:w="4819"/>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BSP</w:t>
            </w:r>
          </w:p>
        </w:tc>
        <w:tc>
          <w:tcPr>
            <w:tcW w:type="dxa" w:w="4819"/>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Business Solution Provider — authorised WhatsApp API partner</w:t>
            </w:r>
          </w:p>
        </w:tc>
      </w:tr>
      <w:tr>
        <w:trPr>
          <w:tblHeader w:val="false"/>
        </w:trPr>
        <w:tc>
          <w:tcPr>
            <w:tcW w:type="dxa" w:w="4819"/>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DLT</w:t>
            </w:r>
          </w:p>
        </w:tc>
        <w:tc>
          <w:tcPr>
            <w:tcW w:type="dxa" w:w="4819"/>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Distributed Ledger Technology — TRAI's SMS regulatory platform</w:t>
            </w:r>
          </w:p>
        </w:tc>
      </w:tr>
      <w:tr>
        <w:trPr>
          <w:tblHeader w:val="false"/>
        </w:trPr>
        <w:tc>
          <w:tcPr>
            <w:tcW w:type="dxa" w:w="4819"/>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DPDP Act</w:t>
            </w:r>
          </w:p>
        </w:tc>
        <w:tc>
          <w:tcPr>
            <w:tcW w:type="dxa" w:w="4819"/>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Digital Personal Data Protection Act, 2023 (India)</w:t>
            </w:r>
          </w:p>
        </w:tc>
      </w:tr>
      <w:tr>
        <w:trPr>
          <w:tblHeader w:val="false"/>
        </w:trPr>
        <w:tc>
          <w:tcPr>
            <w:tcW w:type="dxa" w:w="4819"/>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ERP</w:t>
            </w:r>
          </w:p>
        </w:tc>
        <w:tc>
          <w:tcPr>
            <w:tcW w:type="dxa" w:w="4819"/>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Enterprise Resource Planning</w:t>
            </w:r>
          </w:p>
        </w:tc>
      </w:tr>
      <w:tr>
        <w:trPr>
          <w:tblHeader w:val="false"/>
        </w:trPr>
        <w:tc>
          <w:tcPr>
            <w:tcW w:type="dxa" w:w="4819"/>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IVR</w:t>
            </w:r>
          </w:p>
        </w:tc>
        <w:tc>
          <w:tcPr>
            <w:tcW w:type="dxa" w:w="4819"/>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Interactive Voice Response</w:t>
            </w:r>
          </w:p>
        </w:tc>
      </w:tr>
      <w:tr>
        <w:trPr>
          <w:tblHeader w:val="false"/>
        </w:trPr>
        <w:tc>
          <w:tcPr>
            <w:tcW w:type="dxa" w:w="4819"/>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KPI</w:t>
            </w:r>
          </w:p>
        </w:tc>
        <w:tc>
          <w:tcPr>
            <w:tcW w:type="dxa" w:w="4819"/>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Key Performance Indicator</w:t>
            </w:r>
          </w:p>
        </w:tc>
      </w:tr>
      <w:tr>
        <w:trPr>
          <w:tblHeader w:val="false"/>
        </w:trPr>
        <w:tc>
          <w:tcPr>
            <w:tcW w:type="dxa" w:w="4819"/>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Lead</w:t>
            </w:r>
          </w:p>
        </w:tc>
        <w:tc>
          <w:tcPr>
            <w:tcW w:type="dxa" w:w="4819"/>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A prospective student who has expressed interest in a programme</w:t>
            </w:r>
          </w:p>
        </w:tc>
      </w:tr>
      <w:tr>
        <w:trPr>
          <w:tblHeader w:val="false"/>
        </w:trPr>
        <w:tc>
          <w:tcPr>
            <w:tcW w:type="dxa" w:w="4819"/>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MoSCoW</w:t>
            </w:r>
          </w:p>
        </w:tc>
        <w:tc>
          <w:tcPr>
            <w:tcW w:type="dxa" w:w="4819"/>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Prioritisation framework: Must Have / Should Have / Could Have / Won't Have</w:t>
            </w:r>
          </w:p>
        </w:tc>
      </w:tr>
      <w:tr>
        <w:trPr>
          <w:tblHeader w:val="false"/>
        </w:trPr>
        <w:tc>
          <w:tcPr>
            <w:tcW w:type="dxa" w:w="4819"/>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NPS</w:t>
            </w:r>
          </w:p>
        </w:tc>
        <w:tc>
          <w:tcPr>
            <w:tcW w:type="dxa" w:w="4819"/>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Net Promoter Score</w:t>
            </w:r>
          </w:p>
        </w:tc>
      </w:tr>
      <w:tr>
        <w:trPr>
          <w:tblHeader w:val="false"/>
        </w:trPr>
        <w:tc>
          <w:tcPr>
            <w:tcW w:type="dxa" w:w="4819"/>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OTP</w:t>
            </w:r>
          </w:p>
        </w:tc>
        <w:tc>
          <w:tcPr>
            <w:tcW w:type="dxa" w:w="4819"/>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One-Time Password</w:t>
            </w:r>
          </w:p>
        </w:tc>
      </w:tr>
      <w:tr>
        <w:trPr>
          <w:tblHeader w:val="false"/>
        </w:trPr>
        <w:tc>
          <w:tcPr>
            <w:tcW w:type="dxa" w:w="4819"/>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PII</w:t>
            </w:r>
          </w:p>
        </w:tc>
        <w:tc>
          <w:tcPr>
            <w:tcW w:type="dxa" w:w="4819"/>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Personally Identifiable Information</w:t>
            </w:r>
          </w:p>
        </w:tc>
      </w:tr>
      <w:tr>
        <w:trPr>
          <w:tblHeader w:val="false"/>
        </w:trPr>
        <w:tc>
          <w:tcPr>
            <w:tcW w:type="dxa" w:w="4819"/>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RBAC</w:t>
            </w:r>
          </w:p>
        </w:tc>
        <w:tc>
          <w:tcPr>
            <w:tcW w:type="dxa" w:w="4819"/>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Role-Based Access Control</w:t>
            </w:r>
          </w:p>
        </w:tc>
      </w:tr>
      <w:tr>
        <w:trPr>
          <w:tblHeader w:val="false"/>
        </w:trPr>
        <w:tc>
          <w:tcPr>
            <w:tcW w:type="dxa" w:w="4819"/>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RPO</w:t>
            </w:r>
          </w:p>
        </w:tc>
        <w:tc>
          <w:tcPr>
            <w:tcW w:type="dxa" w:w="4819"/>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Recovery Point Objective</w:t>
            </w:r>
          </w:p>
        </w:tc>
      </w:tr>
      <w:tr>
        <w:trPr>
          <w:tblHeader w:val="false"/>
        </w:trPr>
        <w:tc>
          <w:tcPr>
            <w:tcW w:type="dxa" w:w="4819"/>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RTO</w:t>
            </w:r>
          </w:p>
        </w:tc>
        <w:tc>
          <w:tcPr>
            <w:tcW w:type="dxa" w:w="4819"/>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Recovery Time Objective</w:t>
            </w:r>
          </w:p>
        </w:tc>
      </w:tr>
      <w:tr>
        <w:trPr>
          <w:tblHeader w:val="false"/>
        </w:trPr>
        <w:tc>
          <w:tcPr>
            <w:tcW w:type="dxa" w:w="4819"/>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UTM</w:t>
            </w:r>
          </w:p>
        </w:tc>
        <w:tc>
          <w:tcPr>
            <w:tcW w:type="dxa" w:w="4819"/>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Urchin Tracking Module — URL parameter standard for campaign tracking</w:t>
            </w:r>
          </w:p>
        </w:tc>
      </w:tr>
      <w:tr>
        <w:trPr>
          <w:tblHeader w:val="false"/>
        </w:trPr>
        <w:tc>
          <w:tcPr>
            <w:tcW w:type="dxa" w:w="4819"/>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WhatsApp BSP</w:t>
            </w:r>
          </w:p>
        </w:tc>
        <w:tc>
          <w:tcPr>
            <w:tcW w:type="dxa" w:w="4819"/>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WhatsApp Business Solution Provider</w:t>
            </w:r>
          </w:p>
        </w:tc>
      </w:tr>
    </w:tbl>
    <w:p>
      <w:pPr>
        <w:spacing w:after="160" w:before="80"/>
      </w:pPr>
    </w:p>
    <w:p>
      <w:pPr>
        <w:spacing w:after="40" w:before="40"/>
      </w:pPr>
    </w:p>
    <w:p>
      <w:pPr>
        <w:pBdr>
          <w:bottom w:val="single" w:color="D1D5DB" w:sz="3" w:space="1"/>
        </w:pBdr>
        <w:spacing w:after="80" w:before="80"/>
      </w:pPr>
    </w:p>
    <w:p>
      <w:pPr>
        <w:spacing w:after="40" w:before="40"/>
      </w:pPr>
    </w:p>
    <w:p>
      <w:pPr>
        <w:pStyle w:val="Heading1"/>
        <w:spacing w:after="0" w:before="160"/>
      </w:pPr>
      <w:r>
        <w:rPr>
          <w:rFonts w:ascii="Arial" w:cs="Arial" w:eastAsia="Arial" w:hAnsi="Arial"/>
          <w:b/>
          <w:bCs/>
          <w:i w:val="false"/>
          <w:iCs w:val="false"/>
          <w:color w:val="1B2A4A"/>
          <w:sz w:val="28"/>
          <w:szCs w:val="28"/>
        </w:rPr>
        <w:t xml:space="preserve">15. Appendices</w:t>
      </w:r>
    </w:p>
    <w:p>
      <w:pPr>
        <w:spacing w:after="80" w:before="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B2A4A" w:sz="1"/>
              <w:left w:val="single" w:color="1B2A4A" w:sz="1"/>
              <w:bottom w:val="single" w:color="1B2A4A" w:sz="1"/>
              <w:right w:val="single" w:color="1B2A4A" w:sz="1"/>
            </w:tcBorders>
            <w:shd w:fill="1B2A4A" w:val="clear"/>
            <w:tcMar>
              <w:top w:type="dxa" w:w="120"/>
              <w:left w:type="dxa" w:w="160"/>
              <w:bottom w:type="dxa" w:w="120"/>
              <w:right w:type="dxa" w:w="160"/>
            </w:tcMar>
          </w:tcPr>
          <w:p>
            <w:pPr>
              <w:jc w:val="left"/>
            </w:pPr>
            <w:r>
              <w:rPr>
                <w:rFonts w:ascii="Arial" w:cs="Arial" w:eastAsia="Arial" w:hAnsi="Arial"/>
                <w:b/>
                <w:bCs/>
                <w:i w:val="false"/>
                <w:iCs w:val="false"/>
                <w:color w:val="FFFFFF"/>
                <w:sz w:val="28"/>
                <w:szCs w:val="28"/>
              </w:rPr>
              <w:t xml:space="preserve">15. Appendices</w:t>
            </w:r>
          </w:p>
        </w:tc>
      </w:tr>
    </w:tbl>
    <w:p>
      <w:pPr>
        <w:spacing w:after="80" w:before="80"/>
      </w:pPr>
    </w:p>
    <w:p>
      <w:pPr>
        <w:spacing w:after="80" w:before="80"/>
      </w:pPr>
    </w:p>
    <w:p>
      <w:pPr>
        <w:spacing w:after="40" w:before="40"/>
      </w:pPr>
    </w:p>
    <w:p>
      <w:pPr>
        <w:pStyle w:val="Heading3"/>
        <w:spacing w:after="100" w:before="200"/>
      </w:pPr>
      <w:r>
        <w:rPr>
          <w:rFonts w:ascii="Arial" w:cs="Arial" w:eastAsia="Arial" w:hAnsi="Arial"/>
          <w:b/>
          <w:bCs/>
          <w:i w:val="false"/>
          <w:iCs w:val="false"/>
          <w:color w:val="2563EB"/>
          <w:sz w:val="24"/>
          <w:szCs w:val="24"/>
        </w:rPr>
        <w:t xml:space="preserve">Appendix A — Suggested Phased Delivery Roadmap</w:t>
      </w:r>
    </w:p>
    <w:p>
      <w:pPr>
        <w:spacing w:after="40" w:before="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4"/>
      </w:tblGrid>
      <w:tr>
        <w:trPr>
          <w:tblHeader/>
        </w:trPr>
        <w:tc>
          <w:tcPr>
            <w:tcW w:type="dxa" w:w="3212"/>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top"/>
          </w:tcPr>
          <w:p>
            <w:pPr>
              <w:spacing w:after="0"/>
            </w:pPr>
            <w:r>
              <w:rPr>
                <w:rFonts w:ascii="Arial" w:cs="Arial" w:eastAsia="Arial" w:hAnsi="Arial"/>
                <w:b/>
                <w:bCs/>
                <w:i w:val="false"/>
                <w:iCs w:val="false"/>
                <w:color w:val="FFFFFF"/>
                <w:sz w:val="18"/>
                <w:szCs w:val="18"/>
              </w:rPr>
              <w:t xml:space="preserve">Phase</w:t>
            </w:r>
          </w:p>
        </w:tc>
        <w:tc>
          <w:tcPr>
            <w:tcW w:type="dxa" w:w="3212"/>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top"/>
          </w:tcPr>
          <w:p>
            <w:pPr>
              <w:spacing w:after="0"/>
            </w:pPr>
            <w:r>
              <w:rPr>
                <w:rFonts w:ascii="Arial" w:cs="Arial" w:eastAsia="Arial" w:hAnsi="Arial"/>
                <w:b/>
                <w:bCs/>
                <w:i w:val="false"/>
                <w:iCs w:val="false"/>
                <w:color w:val="FFFFFF"/>
                <w:sz w:val="18"/>
                <w:szCs w:val="18"/>
              </w:rPr>
              <w:t xml:space="preserve">Duration</w:t>
            </w:r>
          </w:p>
        </w:tc>
        <w:tc>
          <w:tcPr>
            <w:tcW w:type="dxa" w:w="3214"/>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top"/>
          </w:tcPr>
          <w:p>
            <w:pPr>
              <w:spacing w:after="0"/>
            </w:pPr>
            <w:r>
              <w:rPr>
                <w:rFonts w:ascii="Arial" w:cs="Arial" w:eastAsia="Arial" w:hAnsi="Arial"/>
                <w:b/>
                <w:bCs/>
                <w:i w:val="false"/>
                <w:iCs w:val="false"/>
                <w:color w:val="FFFFFF"/>
                <w:sz w:val="18"/>
                <w:szCs w:val="18"/>
              </w:rPr>
              <w:t xml:space="preserve">Key Deliverables</w:t>
            </w:r>
          </w:p>
        </w:tc>
      </w:tr>
      <w:tr>
        <w:trPr>
          <w:tblHeader w:val="false"/>
        </w:trPr>
        <w:tc>
          <w:tcPr>
            <w:tcW w:type="dxa" w:w="321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Phase 1 — Foundation</w:t>
            </w:r>
          </w:p>
        </w:tc>
        <w:tc>
          <w:tcPr>
            <w:tcW w:type="dxa" w:w="321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Months 1–4</w:t>
            </w:r>
          </w:p>
        </w:tc>
        <w:tc>
          <w:tcPr>
            <w:tcW w:type="dxa" w:w="3214"/>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Lead capture, lead management, counsellor workflows, basic communication (Email/SMS/WhatsApp), application forms, basic analytics, ERP integration (Programme Master, Fee, Student conversion), student portal, admin configuration</w:t>
            </w:r>
          </w:p>
        </w:tc>
      </w:tr>
      <w:tr>
        <w:trPr>
          <w:tblHeader w:val="false"/>
        </w:trPr>
        <w:tc>
          <w:tcPr>
            <w:tcW w:type="dxa" w:w="321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Phase 2 — Engagement</w:t>
            </w:r>
          </w:p>
        </w:tc>
        <w:tc>
          <w:tcPr>
            <w:tcW w:type="dxa" w:w="321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Months 5–8</w:t>
            </w:r>
          </w:p>
        </w:tc>
        <w:tc>
          <w:tcPr>
            <w:tcW w:type="dxa" w:w="3214"/>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Marketing automation, AI lead scoring, next best action, telecalling module, document management with API Setu, agent portal, advanced analytics and dashboards, mobile app</w:t>
            </w:r>
          </w:p>
        </w:tc>
      </w:tr>
      <w:tr>
        <w:trPr>
          <w:tblHeader w:val="false"/>
        </w:trPr>
        <w:tc>
          <w:tcPr>
            <w:tcW w:type="dxa" w:w="321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Phase 3 — Intelligence</w:t>
            </w:r>
          </w:p>
        </w:tc>
        <w:tc>
          <w:tcPr>
            <w:tcW w:type="dxa" w:w="321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Months 9–12</w:t>
            </w:r>
          </w:p>
        </w:tc>
        <w:tc>
          <w:tcPr>
            <w:tcW w:type="dxa" w:w="3214"/>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0"/>
            </w:pPr>
            <w:r>
              <w:rPr>
                <w:rFonts w:ascii="Arial" w:cs="Arial" w:eastAsia="Arial" w:hAnsi="Arial"/>
                <w:b w:val="false"/>
                <w:bCs w:val="false"/>
                <w:i w:val="false"/>
                <w:iCs w:val="false"/>
                <w:color w:val="111827"/>
                <w:sz w:val="18"/>
                <w:szCs w:val="18"/>
              </w:rPr>
              <w:t xml:space="preserve">Agentic AI chatbot, predictive enrolment forecasting, gamification for counsellors, alumni bridge, Power BI / Tableau API, call transcription, advanced automation templates</w:t>
            </w:r>
          </w:p>
        </w:tc>
      </w:tr>
    </w:tbl>
    <w:p>
      <w:pPr>
        <w:spacing w:after="160" w:before="80"/>
      </w:pPr>
    </w:p>
    <w:p>
      <w:pPr>
        <w:spacing w:after="40" w:before="40"/>
      </w:pPr>
    </w:p>
    <w:p>
      <w:pPr>
        <w:pStyle w:val="Heading3"/>
        <w:spacing w:after="100" w:before="200"/>
      </w:pPr>
      <w:r>
        <w:rPr>
          <w:rFonts w:ascii="Arial" w:cs="Arial" w:eastAsia="Arial" w:hAnsi="Arial"/>
          <w:b/>
          <w:bCs/>
          <w:i w:val="false"/>
          <w:iCs w:val="false"/>
          <w:color w:val="2563EB"/>
          <w:sz w:val="24"/>
          <w:szCs w:val="24"/>
        </w:rPr>
        <w:t xml:space="preserve">Appendix B — Integration Architecture Overview</w:t>
      </w:r>
    </w:p>
    <w:p>
      <w:pPr>
        <w:spacing w:after="40" w:before="40"/>
      </w:pPr>
    </w:p>
    <w:p>
      <w:pPr>
        <w:shd w:fill="F3F4F6" w:val="clear"/>
        <w:spacing w:after="80" w:before="80"/>
        <w:ind w:left="360"/>
      </w:pPr>
      <w:r>
        <w:rPr>
          <w:rFonts w:ascii="Courier New" w:cs="Courier New" w:eastAsia="Courier New" w:hAnsi="Courier New"/>
          <w:color w:val="111827"/>
          <w:sz w:val="18"/>
          <w:szCs w:val="18"/>
        </w:rPr>
        <w:t xml:space="preserve">┌─────────────────────────────────────────────────────────────┐
│                        A2A-CRM                              │
│                                                             │
│  Lead Capture  →  Scoring  →  Counselling  →  Application  │
│       ↓               ↓            ↓               ↓       │
│  Communication    AI Layer     Fee Engine     Doc Manager   │
│       ↓               ↓            ↓               ↓       │
│  ──────────────── Analytics &amp; Reporting ─────────────────  │
│                                                             │
│  ════════════ A2A ERP Integration Layer ════════════════   │
│        ↓              ↓            ↓            ↓          │
│  A2A Student    A2A Fee Module  CamPLUS LMS  A2A Alumni    │
│    Master                        / Moodle     Module       │
└─────────────────────────────────────────────────────────────┘
         ↕                ↕               ↕
  External CRMs     Payment GWs     Social/Ad Platforms
  (Migration In)    (Razorpay etc)  (Meta, Google)
         ↕                ↕               ↕
  Telephony/IVR     API Setu/DL     WhatsApp BSP
  (Exotel etc)      (DigiLocker)    (Interakt etc)</w:t>
      </w:r>
    </w:p>
    <w:p>
      <w:pPr>
        <w:spacing w:after="40" w:before="40"/>
      </w:pPr>
    </w:p>
    <w:p>
      <w:pPr>
        <w:pStyle w:val="Heading3"/>
        <w:spacing w:after="100" w:before="200"/>
      </w:pPr>
      <w:r>
        <w:rPr>
          <w:rFonts w:ascii="Arial" w:cs="Arial" w:eastAsia="Arial" w:hAnsi="Arial"/>
          <w:b/>
          <w:bCs/>
          <w:i w:val="false"/>
          <w:iCs w:val="false"/>
          <w:color w:val="2563EB"/>
          <w:sz w:val="24"/>
          <w:szCs w:val="24"/>
        </w:rPr>
        <w:t xml:space="preserve">Appendix C — References</w:t>
      </w:r>
    </w:p>
    <w:p>
      <w:pPr>
        <w:spacing w:after="40" w:before="40"/>
      </w:pPr>
    </w:p>
    <w:p>
      <w:pPr>
        <w:pStyle w:val="ListParagraph"/>
        <w:numPr>
          <w:ilvl w:val="0"/>
          <w:numId w:val="2"/>
        </w:numPr>
        <w:spacing w:after="40" w:before="40"/>
      </w:pPr>
      <w:r>
        <w:rPr>
          <w:rFonts w:ascii="Arial" w:cs="Arial" w:eastAsia="Arial" w:hAnsi="Arial"/>
          <w:b w:val="false"/>
          <w:bCs w:val="false"/>
          <w:i w:val="false"/>
          <w:iCs w:val="false"/>
          <w:color w:val="111827"/>
          <w:sz w:val="20"/>
          <w:szCs w:val="20"/>
        </w:rPr>
        <w:t xml:space="preserve">Meritto (NoPaperForms) Product Documentation — meritto.com</w:t>
      </w:r>
    </w:p>
    <w:p>
      <w:pPr>
        <w:pStyle w:val="ListParagraph"/>
        <w:numPr>
          <w:ilvl w:val="0"/>
          <w:numId w:val="2"/>
        </w:numPr>
        <w:spacing w:after="40" w:before="40"/>
      </w:pPr>
      <w:r>
        <w:rPr>
          <w:rFonts w:ascii="Arial" w:cs="Arial" w:eastAsia="Arial" w:hAnsi="Arial"/>
          <w:b w:val="false"/>
          <w:bCs w:val="false"/>
          <w:i w:val="false"/>
          <w:iCs w:val="false"/>
          <w:color w:val="111827"/>
          <w:sz w:val="20"/>
          <w:szCs w:val="20"/>
        </w:rPr>
        <w:t xml:space="preserve">LeadSquared Education CRM Documentation — leadsquared.com/education</w:t>
      </w:r>
    </w:p>
    <w:p>
      <w:pPr>
        <w:pStyle w:val="ListParagraph"/>
        <w:numPr>
          <w:ilvl w:val="0"/>
          <w:numId w:val="2"/>
        </w:numPr>
        <w:spacing w:after="40" w:before="40"/>
      </w:pPr>
      <w:r>
        <w:rPr>
          <w:rFonts w:ascii="Arial" w:cs="Arial" w:eastAsia="Arial" w:hAnsi="Arial"/>
          <w:b w:val="false"/>
          <w:bCs w:val="false"/>
          <w:i w:val="false"/>
          <w:iCs w:val="false"/>
          <w:color w:val="111827"/>
          <w:sz w:val="20"/>
          <w:szCs w:val="20"/>
        </w:rPr>
        <w:t xml:space="preserve">ExtraAedge Platform Overview — extraaedge.com</w:t>
      </w:r>
    </w:p>
    <w:p>
      <w:pPr>
        <w:pStyle w:val="ListParagraph"/>
        <w:numPr>
          <w:ilvl w:val="0"/>
          <w:numId w:val="2"/>
        </w:numPr>
        <w:spacing w:after="40" w:before="40"/>
      </w:pPr>
      <w:r>
        <w:rPr>
          <w:rFonts w:ascii="Arial" w:cs="Arial" w:eastAsia="Arial" w:hAnsi="Arial"/>
          <w:b w:val="false"/>
          <w:bCs w:val="false"/>
          <w:i w:val="false"/>
          <w:iCs w:val="false"/>
          <w:color w:val="111827"/>
          <w:sz w:val="20"/>
          <w:szCs w:val="20"/>
        </w:rPr>
        <w:t xml:space="preserve">Digital Personal Data Protection Act, 2023 — India</w:t>
      </w:r>
    </w:p>
    <w:p>
      <w:pPr>
        <w:pStyle w:val="ListParagraph"/>
        <w:numPr>
          <w:ilvl w:val="0"/>
          <w:numId w:val="2"/>
        </w:numPr>
        <w:spacing w:after="40" w:before="40"/>
      </w:pPr>
      <w:r>
        <w:rPr>
          <w:rFonts w:ascii="Arial" w:cs="Arial" w:eastAsia="Arial" w:hAnsi="Arial"/>
          <w:b w:val="false"/>
          <w:bCs w:val="false"/>
          <w:i w:val="false"/>
          <w:iCs w:val="false"/>
          <w:color w:val="111827"/>
          <w:sz w:val="20"/>
          <w:szCs w:val="20"/>
        </w:rPr>
        <w:t xml:space="preserve">TRAI Commercial Communications Regulations</w:t>
      </w:r>
    </w:p>
    <w:p>
      <w:pPr>
        <w:pStyle w:val="ListParagraph"/>
        <w:numPr>
          <w:ilvl w:val="0"/>
          <w:numId w:val="2"/>
        </w:numPr>
        <w:spacing w:after="40" w:before="40"/>
      </w:pPr>
      <w:r>
        <w:rPr>
          <w:rFonts w:ascii="Arial" w:cs="Arial" w:eastAsia="Arial" w:hAnsi="Arial"/>
          <w:b w:val="false"/>
          <w:bCs w:val="false"/>
          <w:i w:val="false"/>
          <w:iCs w:val="false"/>
          <w:color w:val="111827"/>
          <w:sz w:val="20"/>
          <w:szCs w:val="20"/>
        </w:rPr>
        <w:t xml:space="preserve">API Setu Documentation — apisetu.gov.in</w:t>
      </w:r>
    </w:p>
    <w:p>
      <w:pPr>
        <w:pStyle w:val="ListParagraph"/>
        <w:numPr>
          <w:ilvl w:val="0"/>
          <w:numId w:val="2"/>
        </w:numPr>
        <w:spacing w:after="40" w:before="40"/>
      </w:pPr>
      <w:r>
        <w:rPr>
          <w:rFonts w:ascii="Arial" w:cs="Arial" w:eastAsia="Arial" w:hAnsi="Arial"/>
          <w:b w:val="false"/>
          <w:bCs w:val="false"/>
          <w:i w:val="false"/>
          <w:iCs w:val="false"/>
          <w:color w:val="111827"/>
          <w:sz w:val="20"/>
          <w:szCs w:val="20"/>
        </w:rPr>
        <w:t xml:space="preserve">MEETCS Internal: DPDP Act Compliance Work — Goa Institute of Management (2025)</w:t>
      </w:r>
    </w:p>
    <w:p>
      <w:pPr>
        <w:pStyle w:val="ListParagraph"/>
        <w:numPr>
          <w:ilvl w:val="0"/>
          <w:numId w:val="2"/>
        </w:numPr>
        <w:spacing w:after="40" w:before="40"/>
      </w:pPr>
      <w:r>
        <w:rPr>
          <w:rFonts w:ascii="Arial" w:cs="Arial" w:eastAsia="Arial" w:hAnsi="Arial"/>
          <w:b w:val="false"/>
          <w:bCs w:val="false"/>
          <w:i w:val="false"/>
          <w:iCs w:val="false"/>
          <w:color w:val="111827"/>
          <w:sz w:val="20"/>
          <w:szCs w:val="20"/>
        </w:rPr>
        <w:t xml:space="preserve">MEETCS Internal: A2A Agentic AI CRM Module SRS (2025)</w:t>
      </w:r>
    </w:p>
    <w:p>
      <w:pPr>
        <w:pStyle w:val="ListParagraph"/>
        <w:numPr>
          <w:ilvl w:val="0"/>
          <w:numId w:val="2"/>
        </w:numPr>
        <w:spacing w:after="40" w:before="40"/>
      </w:pPr>
      <w:r>
        <w:rPr>
          <w:rFonts w:ascii="Arial" w:cs="Arial" w:eastAsia="Arial" w:hAnsi="Arial"/>
          <w:b w:val="false"/>
          <w:bCs w:val="false"/>
          <w:i w:val="false"/>
          <w:iCs w:val="false"/>
          <w:color w:val="111827"/>
          <w:sz w:val="20"/>
          <w:szCs w:val="20"/>
        </w:rPr>
        <w:t xml:space="preserve">MEETCS Internal: A2A ERP Data Model v3.x</w:t>
      </w:r>
    </w:p>
    <w:p>
      <w:pPr>
        <w:spacing w:after="40" w:before="40"/>
      </w:pPr>
    </w:p>
    <w:p>
      <w:pPr>
        <w:pBdr>
          <w:bottom w:val="single" w:color="D1D5DB" w:sz="3" w:space="1"/>
        </w:pBdr>
        <w:spacing w:after="80" w:before="80"/>
      </w:pPr>
    </w:p>
    <w:p>
      <w:pPr>
        <w:spacing w:after="40" w:before="40"/>
      </w:pPr>
    </w:p>
    <w:p>
      <w:pPr>
        <w:spacing w:after="60" w:before="60"/>
        <w:jc w:val="both"/>
      </w:pPr>
      <w:r>
        <w:rPr>
          <w:rFonts w:ascii="Arial" w:cs="Arial" w:eastAsia="Arial" w:hAnsi="Arial"/>
          <w:b w:val="false"/>
          <w:bCs w:val="false"/>
          <w:i/>
          <w:iCs/>
          <w:color w:val="111827"/>
          <w:sz w:val="20"/>
          <w:szCs w:val="20"/>
        </w:rPr>
        <w:t xml:space="preserve">End of Document</w:t>
      </w:r>
    </w:p>
    <w:p>
      <w:pPr>
        <w:spacing w:after="40" w:before="40"/>
      </w:pPr>
    </w:p>
    <w:p>
      <w:pPr>
        <w:spacing w:after="60" w:before="60"/>
        <w:jc w:val="both"/>
      </w:pPr>
      <w:r>
        <w:rPr>
          <w:rFonts w:ascii="Arial" w:cs="Arial" w:eastAsia="Arial" w:hAnsi="Arial"/>
          <w:b/>
          <w:bCs/>
          <w:i w:val="false"/>
          <w:iCs w:val="false"/>
          <w:color w:val="111827"/>
          <w:sz w:val="20"/>
          <w:szCs w:val="20"/>
        </w:rPr>
        <w:t xml:space="preserve">Document Classification:</w:t>
      </w:r>
      <w:r>
        <w:rPr>
          <w:rFonts w:ascii="Arial" w:cs="Arial" w:eastAsia="Arial" w:hAnsi="Arial"/>
          <w:b w:val="false"/>
          <w:bCs w:val="false"/>
          <w:i w:val="false"/>
          <w:iCs w:val="false"/>
          <w:color w:val="111827"/>
          <w:sz w:val="20"/>
          <w:szCs w:val="20"/>
        </w:rPr>
        <w:t xml:space="preserve"> Internal / Confidential — MEETCS Pvt. Ltd.</w:t>
      </w:r>
    </w:p>
    <w:p>
      <w:pPr>
        <w:spacing w:after="60" w:before="60"/>
        <w:jc w:val="both"/>
      </w:pPr>
      <w:r>
        <w:rPr>
          <w:rFonts w:ascii="Arial" w:cs="Arial" w:eastAsia="Arial" w:hAnsi="Arial"/>
          <w:b/>
          <w:bCs/>
          <w:i w:val="false"/>
          <w:iCs w:val="false"/>
          <w:color w:val="111827"/>
          <w:sz w:val="20"/>
          <w:szCs w:val="20"/>
        </w:rPr>
        <w:t xml:space="preserve">Next Review Date:</w:t>
      </w:r>
      <w:r>
        <w:rPr>
          <w:rFonts w:ascii="Arial" w:cs="Arial" w:eastAsia="Arial" w:hAnsi="Arial"/>
          <w:b w:val="false"/>
          <w:bCs w:val="false"/>
          <w:i w:val="false"/>
          <w:iCs w:val="false"/>
          <w:color w:val="111827"/>
          <w:sz w:val="20"/>
          <w:szCs w:val="20"/>
        </w:rPr>
        <w:t xml:space="preserve"> 30 days from issue date</w:t>
      </w:r>
    </w:p>
    <w:p>
      <w:pPr>
        <w:spacing w:after="60" w:before="60"/>
        <w:jc w:val="both"/>
      </w:pPr>
      <w:r>
        <w:rPr>
          <w:rFonts w:ascii="Arial" w:cs="Arial" w:eastAsia="Arial" w:hAnsi="Arial"/>
          <w:b/>
          <w:bCs/>
          <w:i w:val="false"/>
          <w:iCs w:val="false"/>
          <w:color w:val="111827"/>
          <w:sz w:val="20"/>
          <w:szCs w:val="20"/>
        </w:rPr>
        <w:t xml:space="preserve">Approval Required From:</w:t>
      </w:r>
      <w:r>
        <w:rPr>
          <w:rFonts w:ascii="Arial" w:cs="Arial" w:eastAsia="Arial" w:hAnsi="Arial"/>
          <w:b w:val="false"/>
          <w:bCs w:val="false"/>
          <w:i w:val="false"/>
          <w:iCs w:val="false"/>
          <w:color w:val="111827"/>
          <w:sz w:val="20"/>
          <w:szCs w:val="20"/>
        </w:rPr>
        <w:t xml:space="preserve"> Dr. Mahendra Gupta (Co-Founder &amp; MD), A2A Product Lead, Development Lead</w:t>
      </w:r>
    </w:p>
    <w:p>
      <w:pPr>
        <w:spacing w:after="40" w:before="40"/>
      </w:pP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3" w:space="1"/>
      </w:pBdr>
      <w:tabs>
        <w:tab w:val="right" w:pos="9026"/>
      </w:tabs>
      <w:spacing w:before="80"/>
    </w:pPr>
    <w:r>
      <w:rPr>
        <w:rFonts w:ascii="Arial" w:cs="Arial" w:eastAsia="Arial" w:hAnsi="Arial"/>
        <w:color w:val="6B7280"/>
        <w:sz w:val="16"/>
        <w:szCs w:val="16"/>
      </w:rPr>
      <w:t xml:space="preserve">Internal / Confidential</w:t>
    </w:r>
    <w:r>
      <w:rPr>
        <w:rFonts w:ascii="Arial" w:cs="Arial" w:eastAsia="Arial" w:hAnsi="Arial"/>
      </w:rPr>
      <w:t xml:space="preserve">	</w:t>
    </w:r>
    <w:r>
      <w:rPr>
        <w:rFonts w:ascii="Arial" w:cs="Arial" w:eastAsia="Arial" w:hAnsi="Arial"/>
        <w:color w:val="6B7280"/>
        <w:sz w:val="16"/>
        <w:szCs w:val="16"/>
      </w:rPr>
      <w:t xml:space="preserve">Page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1D5DB" w:sz="3" w:space="1"/>
      </w:pBdr>
      <w:tabs>
        <w:tab w:val="right" w:pos="9026"/>
      </w:tabs>
      <w:spacing w:after="80"/>
    </w:pPr>
    <w:r>
      <w:rPr>
        <w:rFonts w:ascii="Arial" w:cs="Arial" w:eastAsia="Arial" w:hAnsi="Arial"/>
        <w:color w:val="6B7280"/>
        <w:sz w:val="16"/>
        <w:szCs w:val="16"/>
      </w:rPr>
      <w:t xml:space="preserve">MEETCS Pvt. Ltd.  |  A2A Educational CRM  |  BRD</w:t>
    </w:r>
    <w:r>
      <w:rPr>
        <w:rFonts w:ascii="Arial" w:cs="Arial" w:eastAsia="Arial" w:hAnsi="Arial"/>
      </w:rPr>
      <w:t xml:space="preserve">	</w:t>
    </w:r>
    <w:r>
      <w:rPr>
        <w:rFonts w:ascii="Arial" w:cs="Arial" w:eastAsia="Arial" w:hAnsi="Arial"/>
        <w:color w:val="6B7280"/>
        <w:sz w:val="16"/>
        <w:szCs w:val="16"/>
      </w:rPr>
      <w:t xml:space="preserve">MEETCS-BRD-CRM-001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827"/>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FFFFFF"/>
      <w:sz w:val="28"/>
      <w:szCs w:val="28"/>
    </w:rPr>
  </w:style>
  <w:style w:type="paragraph" w:styleId="Heading2">
    <w:name w:val="Heading 2"/>
    <w:basedOn w:val="Normal"/>
    <w:next w:val="Normal"/>
    <w:qFormat/>
    <w:pPr>
      <w:spacing w:after="100" w:before="200"/>
      <w:outlineLvl w:val="1"/>
    </w:pPr>
    <w:rPr>
      <w:rFonts w:ascii="Arial" w:cs="Arial" w:eastAsia="Arial" w:hAnsi="Arial"/>
      <w:b/>
      <w:bCs/>
      <w:color w:val="1B2A4A"/>
      <w:sz w:val="26"/>
      <w:szCs w:val="26"/>
    </w:rPr>
  </w:style>
  <w:style w:type="paragraph" w:styleId="Heading3">
    <w:name w:val="Heading 3"/>
    <w:basedOn w:val="Normal"/>
    <w:next w:val="Normal"/>
    <w:qFormat/>
    <w:pPr>
      <w:spacing w:after="80" w:before="180"/>
      <w:outlineLvl w:val="2"/>
    </w:pPr>
    <w:rPr>
      <w:rFonts w:ascii="Arial" w:cs="Arial" w:eastAsia="Arial" w:hAnsi="Arial"/>
      <w:b/>
      <w:bCs/>
      <w:color w:val="2563EB"/>
      <w:sz w:val="24"/>
      <w:szCs w:val="24"/>
    </w:rPr>
  </w:style>
  <w:style w:type="paragraph" w:styleId="Heading4">
    <w:name w:val="Heading 4"/>
    <w:basedOn w:val="Normal"/>
    <w:next w:val="Normal"/>
    <w:qFormat/>
    <w:pPr>
      <w:spacing w:after="60" w:before="160"/>
      <w:outlineLvl w:val="3"/>
    </w:pPr>
    <w:rPr>
      <w:rFonts w:ascii="Arial" w:cs="Arial" w:eastAsia="Arial" w:hAnsi="Arial"/>
      <w:b/>
      <w:bCs/>
      <w:color w:val="1B2A4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2026-04-07T07:21:59.730Z</dcterms:created>
  <dcterms:modified xsi:type="dcterms:W3CDTF">2026-04-07T07:21:59.730Z</dcterms:modified>
</cp:coreProperties>
</file>

<file path=docProps/custom.xml><?xml version="1.0" encoding="utf-8"?>
<Properties xmlns="http://schemas.openxmlformats.org/officeDocument/2006/custom-properties" xmlns:vt="http://schemas.openxmlformats.org/officeDocument/2006/docPropsVTypes"/>
</file>