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cpio_appellate_notices</w:t>
      </w:r>
    </w:p>
    <w:p>
      <w:pPr>
        <w:jc w:val="center"/>
      </w:pPr>
      <w:r>
        <w:rPr>
          <w:b/>
          <w:color w:val="003366"/>
          <w:sz w:val="28"/>
        </w:rPr>
        <w:t>ELECTION COMMISSION OF INDIA</w:t>
        <w:br/>
      </w:r>
      <w:r>
        <w:rPr>
          <w:color w:val="555555"/>
          <w:sz w:val="20"/>
        </w:rPr>
        <w:t>RIGHT TO INFORMATION CELL &amp; APPELLATE CELL, NIRVACHAN SADAN</w:t>
        <w:br/>
      </w:r>
      <w:r>
        <w:rPr>
          <w:b/>
          <w:sz w:val="19"/>
        </w:rPr>
        <w:t>ASHOKA ROAD, NEW DELHI - 110001</w:t>
        <w:br/>
      </w:r>
    </w:p>
    <w:p>
      <w:r>
        <w:rPr>
          <w:b/>
        </w:rPr>
        <w:t>File Ref. No.: ECI/RTI/APP-CELL/2012/NOT-887</w:t>
      </w:r>
      <w:r>
        <w:tab/>
        <w:tab/>
        <w:tab/>
        <w:tab/>
        <w:tab/>
        <w:t>Dated: 24th November 2012</w:t>
      </w:r>
    </w:p>
    <w:p>
      <w:pPr>
        <w:spacing w:after="240"/>
      </w:pPr>
      <w:r>
        <w:rPr>
          <w:color w:val="999999"/>
        </w:rPr>
        <w:t>――――――――――――――――――――――――――――――――――――――――――――――――――――――――――</w:t>
      </w:r>
    </w:p>
    <w:p>
      <w:r>
        <w:rPr>
          <w:b/>
          <w:color w:val="003366"/>
          <w:sz w:val="26"/>
        </w:rPr>
        <w:t>OFFICE MEMORANDUM &amp; STATUTORY APPELLATE COMPENDIUM</w:t>
        <w:br/>
      </w:r>
      <w:r>
        <w:rPr>
          <w:i/>
          <w:sz w:val="21"/>
        </w:rPr>
        <w:t>SUBJECT: Review of CPIO Rejection Orders, Section 6(3) Transfer Memorandums, First Appellate Hearing Outcomes, and Submissions Prepared for Central Information Commission Full Bench Hearings Regarding Political Party Transparency.</w:t>
      </w:r>
    </w:p>
    <w:p>
      <w:pPr>
        <w:spacing w:before="280" w:after="120"/>
      </w:pPr>
      <w:r>
        <w:rPr>
          <w:b/>
          <w:color w:val="003366"/>
          <w:sz w:val="24"/>
        </w:rPr>
        <w:t>1. OVERVIEW OF RTI APPLICATIONS IN ELECTION COMMISSION (2011–2012)</w:t>
      </w:r>
    </w:p>
    <w:p>
      <w:r>
        <w:t>1.1 During the operational period spanning April 2011 to October 2012, the RTI Cell at Nirvachan Sadan received 2,145 applications seeking information across various subjects including electoral roll revisions, EVM testing logs, Model Code of Conduct violations, and financial disclosures of political parties. Of these, approximately 18% (386 applications) specifically pertained to political party accounting, contribution returns under Section 29C, IT exemption returns under Section 13A, and party constitution details.</w:t>
      </w:r>
    </w:p>
    <w:p>
      <w:r>
        <w:t>1.2 A significant jurisdictional issue continuously raised by applicants relates to whether Central Public Information Officers (CPIOs) of the Election Commission can be compelled to obtain and supply internal financial documents, inner-party election records, and donor details directly from registered political party headquarters.</w:t>
      </w:r>
    </w:p>
    <w:p>
      <w:pPr>
        <w:spacing w:before="280" w:after="120"/>
      </w:pPr>
      <w:r>
        <w:rPr>
          <w:b/>
          <w:color w:val="003366"/>
          <w:sz w:val="24"/>
        </w:rPr>
        <w:t>2. OFFICE STAND ON SECTION 2(h) ('PUBLIC AUTHORITY') JURISDICTION</w:t>
      </w:r>
    </w:p>
    <w:p>
      <w:r>
        <w:t>2.1 The standard statutory position consistently taken by the CPIO, Election Commission of India, in response to queries seeking internal records of political parties is grounded in the current statutory framework:</w:t>
      </w:r>
    </w:p>
    <w:p>
      <w:r>
        <w:t>a) Registered political parties are voluntary associations of individual citizens registered under Section 29A of the Representation of the People Act, 1951.</w:t>
        <w:br/>
        <w:t>b) Political parties are not established or constituted by or under the Constitution, or by any law made by Parliament or State Legislature, nor by notification issued or order made by the appropriate Government as specified under Section 2(h)(a)-(d) of the Right to Information Act, 2005.</w:t>
        <w:br/>
        <w:t>c) Consequently, CPIO, ECI cannot act as an information repository for internal party records beyond those documents which political parties are required by law to file periodically before the Commission (e.g., Form 24A contribution reports, election expenditure statements, and party constitutions).</w:t>
      </w:r>
    </w:p>
    <w:p>
      <w:r>
        <w:t>2.2 Where information sought is not available in official Commission custody, applications have been transferred under Section 6(3) of the RTI Act to relevant public authorities (such as Ministry of Law &amp; Justice, Land &amp; Development Office, or Income Tax Department) or returned to the applicant with due clarification.</w:t>
      </w:r>
    </w:p>
    <w:p>
      <w:pPr>
        <w:spacing w:before="280" w:after="120"/>
      </w:pPr>
      <w:r>
        <w:rPr>
          <w:b/>
          <w:color w:val="003366"/>
          <w:sz w:val="24"/>
        </w:rPr>
        <w:t>3. CPIO DISPOSAL LOG &amp; FIRST APPELLATE AUTHORITY PROCEEDINGS</w:t>
      </w:r>
    </w:p>
    <w:p>
      <w:r>
        <w:t>3.1 Summary Table of Major RTI Disposals and Appeals Concerning Political Party Funding and Asset Declarations: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03366"/>
          </w:tcPr>
          <w:p>
            <w:pPr>
              <w:jc w:val="center"/>
            </w:pPr>
            <w:r>
              <w:rPr>
                <w:b/>
                <w:color w:val="FFFFFF"/>
                <w:sz w:val="18"/>
              </w:rPr>
              <w:t>RTI Ref. No. &amp; Date</w:t>
            </w:r>
          </w:p>
        </w:tc>
        <w:tc>
          <w:tcPr>
            <w:tcW w:type="dxa" w:w="1560"/>
            <w:shd w:fill="003366"/>
          </w:tcPr>
          <w:p>
            <w:pPr>
              <w:jc w:val="center"/>
            </w:pPr>
            <w:r>
              <w:rPr>
                <w:b/>
                <w:color w:val="FFFFFF"/>
                <w:sz w:val="18"/>
              </w:rPr>
              <w:t>Applicant Name</w:t>
            </w:r>
          </w:p>
        </w:tc>
        <w:tc>
          <w:tcPr>
            <w:tcW w:type="dxa" w:w="1560"/>
            <w:shd w:fill="003366"/>
          </w:tcPr>
          <w:p>
            <w:pPr>
              <w:jc w:val="center"/>
            </w:pPr>
            <w:r>
              <w:rPr>
                <w:b/>
                <w:color w:val="FFFFFF"/>
                <w:sz w:val="18"/>
              </w:rPr>
              <w:t>Information Sought</w:t>
            </w:r>
          </w:p>
        </w:tc>
        <w:tc>
          <w:tcPr>
            <w:tcW w:type="dxa" w:w="1560"/>
            <w:shd w:fill="003366"/>
          </w:tcPr>
          <w:p>
            <w:pPr>
              <w:jc w:val="center"/>
            </w:pPr>
            <w:r>
              <w:rPr>
                <w:b/>
                <w:color w:val="FFFFFF"/>
                <w:sz w:val="18"/>
              </w:rPr>
              <w:t>CPIO Order / Action</w:t>
            </w:r>
          </w:p>
        </w:tc>
        <w:tc>
          <w:tcPr>
            <w:tcW w:type="dxa" w:w="1560"/>
            <w:shd w:fill="003366"/>
          </w:tcPr>
          <w:p>
            <w:pPr>
              <w:jc w:val="center"/>
            </w:pPr>
            <w:r>
              <w:rPr>
                <w:b/>
                <w:color w:val="FFFFFF"/>
                <w:sz w:val="18"/>
              </w:rPr>
              <w:t>Exemption / Grounds Cited</w:t>
            </w:r>
          </w:p>
        </w:tc>
        <w:tc>
          <w:tcPr>
            <w:tcW w:type="dxa" w:w="1560"/>
            <w:shd w:fill="003366"/>
          </w:tcPr>
          <w:p>
            <w:pPr>
              <w:jc w:val="center"/>
            </w:pPr>
            <w:r>
              <w:rPr>
                <w:b/>
                <w:color w:val="FFFFFF"/>
                <w:sz w:val="18"/>
              </w:rPr>
              <w:t>First Appellate Outcome</w:t>
            </w:r>
          </w:p>
        </w:tc>
      </w:tr>
      <w:tr>
        <w:tc>
          <w:tcPr>
            <w:tcW w:type="dxa" w:w="1560"/>
            <w:shd w:fill="F9FBFD"/>
          </w:tcPr>
          <w:p>
            <w:pPr>
              <w:jc w:val="left"/>
            </w:pPr>
            <w:r>
              <w:rPr>
                <w:sz w:val="17"/>
              </w:rPr>
              <w:t>ECI/RTI/2011/1042</w:t>
              <w:br/>
              <w:t>(12-May-2011)</w:t>
            </w:r>
          </w:p>
        </w:tc>
        <w:tc>
          <w:tcPr>
            <w:tcW w:type="dxa" w:w="1560"/>
            <w:shd w:fill="F9FBFD"/>
          </w:tcPr>
          <w:p>
            <w:pPr>
              <w:jc w:val="left"/>
            </w:pPr>
            <w:r>
              <w:rPr>
                <w:sz w:val="17"/>
              </w:rPr>
              <w:t>Subhash Chandra Agrawal</w:t>
            </w:r>
          </w:p>
        </w:tc>
        <w:tc>
          <w:tcPr>
            <w:tcW w:type="dxa" w:w="1560"/>
            <w:shd w:fill="F9FBFD"/>
          </w:tcPr>
          <w:p>
            <w:pPr>
              <w:jc w:val="left"/>
            </w:pPr>
            <w:r>
              <w:rPr>
                <w:sz w:val="17"/>
              </w:rPr>
              <w:t>Audited balance sheets, income tax returns, and land allotment details of INC, BJP, BSP</w:t>
            </w:r>
          </w:p>
        </w:tc>
        <w:tc>
          <w:tcPr>
            <w:tcW w:type="dxa" w:w="1560"/>
            <w:shd w:fill="F9FBFD"/>
          </w:tcPr>
          <w:p>
            <w:pPr>
              <w:jc w:val="left"/>
            </w:pPr>
            <w:r>
              <w:rPr>
                <w:sz w:val="17"/>
              </w:rPr>
              <w:t>Refused in part / Transferred under 6(3)</w:t>
            </w:r>
          </w:p>
        </w:tc>
        <w:tc>
          <w:tcPr>
            <w:tcW w:type="dxa" w:w="1560"/>
            <w:shd w:fill="F9FBFD"/>
          </w:tcPr>
          <w:p>
            <w:pPr>
              <w:jc w:val="left"/>
            </w:pPr>
            <w:r>
              <w:rPr>
                <w:sz w:val="17"/>
              </w:rPr>
              <w:t>Sec 2(h) (Not Public Authority); Sec 8(1)(j) for personal tax returns</w:t>
            </w:r>
          </w:p>
        </w:tc>
        <w:tc>
          <w:tcPr>
            <w:tcW w:type="dxa" w:w="1560"/>
            <w:shd w:fill="F9FBFD"/>
          </w:tcPr>
          <w:p>
            <w:pPr>
              <w:jc w:val="left"/>
            </w:pPr>
            <w:r>
              <w:rPr>
                <w:sz w:val="17"/>
              </w:rPr>
              <w:t>FAA Order 142/2011: Upheld CPIO stance; Form 24A already public.</w:t>
            </w:r>
          </w:p>
        </w:tc>
      </w:tr>
      <w:tr>
        <w:tc>
          <w:tcPr>
            <w:tcW w:type="dxa" w:w="1560"/>
            <w:shd w:fill="FFFFFF"/>
          </w:tcPr>
          <w:p>
            <w:pPr>
              <w:jc w:val="left"/>
            </w:pPr>
            <w:r>
              <w:rPr>
                <w:sz w:val="17"/>
              </w:rPr>
              <w:t>ECI/RTI/2011/1486</w:t>
              <w:br/>
              <w:t>(18-Jul-2011)</w:t>
            </w:r>
          </w:p>
        </w:tc>
        <w:tc>
          <w:tcPr>
            <w:tcW w:type="dxa" w:w="1560"/>
            <w:shd w:fill="FFFFFF"/>
          </w:tcPr>
          <w:p>
            <w:pPr>
              <w:jc w:val="left"/>
            </w:pPr>
            <w:r>
              <w:rPr>
                <w:sz w:val="17"/>
              </w:rPr>
              <w:t>Anil Bairwal (ADR)</w:t>
            </w:r>
          </w:p>
        </w:tc>
        <w:tc>
          <w:tcPr>
            <w:tcW w:type="dxa" w:w="1560"/>
            <w:shd w:fill="FFFFFF"/>
          </w:tcPr>
          <w:p>
            <w:pPr>
              <w:jc w:val="left"/>
            </w:pPr>
            <w:r>
              <w:rPr>
                <w:sz w:val="17"/>
              </w:rPr>
              <w:t>Copies of assessment orders and IT exemption certificates under Sec 13A for recognized parties</w:t>
            </w:r>
          </w:p>
        </w:tc>
        <w:tc>
          <w:tcPr>
            <w:tcW w:type="dxa" w:w="1560"/>
            <w:shd w:fill="FFFFFF"/>
          </w:tcPr>
          <w:p>
            <w:pPr>
              <w:jc w:val="left"/>
            </w:pPr>
            <w:r>
              <w:rPr>
                <w:sz w:val="17"/>
              </w:rPr>
              <w:t>Transferred under Sec 6(3) to CBDT / Min of Finance</w:t>
            </w:r>
          </w:p>
        </w:tc>
        <w:tc>
          <w:tcPr>
            <w:tcW w:type="dxa" w:w="1560"/>
            <w:shd w:fill="FFFFFF"/>
          </w:tcPr>
          <w:p>
            <w:pPr>
              <w:jc w:val="left"/>
            </w:pPr>
            <w:r>
              <w:rPr>
                <w:sz w:val="17"/>
              </w:rPr>
              <w:t>Information not held in ECI custody (Sec 2(j))</w:t>
            </w:r>
          </w:p>
        </w:tc>
        <w:tc>
          <w:tcPr>
            <w:tcW w:type="dxa" w:w="1560"/>
            <w:shd w:fill="FFFFFF"/>
          </w:tcPr>
          <w:p>
            <w:pPr>
              <w:jc w:val="left"/>
            </w:pPr>
            <w:r>
              <w:rPr>
                <w:sz w:val="17"/>
              </w:rPr>
              <w:t>FAA Order 165/2011: Confirmed transfer to CBDT CPIO.</w:t>
            </w:r>
          </w:p>
        </w:tc>
      </w:tr>
      <w:tr>
        <w:tc>
          <w:tcPr>
            <w:tcW w:type="dxa" w:w="1560"/>
            <w:shd w:fill="F9FBFD"/>
          </w:tcPr>
          <w:p>
            <w:pPr>
              <w:jc w:val="left"/>
            </w:pPr>
            <w:r>
              <w:rPr>
                <w:sz w:val="17"/>
              </w:rPr>
              <w:t>ECI/RTI/2012/0312</w:t>
              <w:br/>
              <w:t>(04-Feb-2012)</w:t>
            </w:r>
          </w:p>
        </w:tc>
        <w:tc>
          <w:tcPr>
            <w:tcW w:type="dxa" w:w="1560"/>
            <w:shd w:fill="F9FBFD"/>
          </w:tcPr>
          <w:p>
            <w:pPr>
              <w:jc w:val="left"/>
            </w:pPr>
            <w:r>
              <w:rPr>
                <w:sz w:val="17"/>
              </w:rPr>
              <w:t>Venkatesh Nayak</w:t>
            </w:r>
          </w:p>
        </w:tc>
        <w:tc>
          <w:tcPr>
            <w:tcW w:type="dxa" w:w="1560"/>
            <w:shd w:fill="F9FBFD"/>
          </w:tcPr>
          <w:p>
            <w:pPr>
              <w:jc w:val="left"/>
            </w:pPr>
            <w:r>
              <w:rPr>
                <w:sz w:val="17"/>
              </w:rPr>
              <w:t>Correspondence between ECI and Law Ministry on mandatory disclosure of corporate donations</w:t>
            </w:r>
          </w:p>
        </w:tc>
        <w:tc>
          <w:tcPr>
            <w:tcW w:type="dxa" w:w="1560"/>
            <w:shd w:fill="F9FBFD"/>
          </w:tcPr>
          <w:p>
            <w:pPr>
              <w:jc w:val="left"/>
            </w:pPr>
            <w:r>
              <w:rPr>
                <w:sz w:val="17"/>
              </w:rPr>
              <w:t>Information provided in part (Public circulars attached)</w:t>
            </w:r>
          </w:p>
        </w:tc>
        <w:tc>
          <w:tcPr>
            <w:tcW w:type="dxa" w:w="1560"/>
            <w:shd w:fill="F9FBFD"/>
          </w:tcPr>
          <w:p>
            <w:pPr>
              <w:jc w:val="left"/>
            </w:pPr>
            <w:r>
              <w:rPr>
                <w:sz w:val="17"/>
              </w:rPr>
              <w:t>Sec 8(1)(e) (Fiduciary opinion draft withheld)</w:t>
            </w:r>
          </w:p>
        </w:tc>
        <w:tc>
          <w:tcPr>
            <w:tcW w:type="dxa" w:w="1560"/>
            <w:shd w:fill="F9FBFD"/>
          </w:tcPr>
          <w:p>
            <w:pPr>
              <w:jc w:val="left"/>
            </w:pPr>
            <w:r>
              <w:rPr>
                <w:sz w:val="17"/>
              </w:rPr>
              <w:t>FAA Order 042/2012: Disclosed final notes; withheld draft.</w:t>
            </w:r>
          </w:p>
        </w:tc>
      </w:tr>
      <w:tr>
        <w:tc>
          <w:tcPr>
            <w:tcW w:type="dxa" w:w="1560"/>
            <w:shd w:fill="FFFFFF"/>
          </w:tcPr>
          <w:p>
            <w:pPr>
              <w:jc w:val="left"/>
            </w:pPr>
            <w:r>
              <w:rPr>
                <w:sz w:val="17"/>
              </w:rPr>
              <w:t>ECI/RTI/2012/0789</w:t>
              <w:br/>
              <w:t>(19-Jun-2012)</w:t>
            </w:r>
          </w:p>
        </w:tc>
        <w:tc>
          <w:tcPr>
            <w:tcW w:type="dxa" w:w="1560"/>
            <w:shd w:fill="FFFFFF"/>
          </w:tcPr>
          <w:p>
            <w:pPr>
              <w:jc w:val="left"/>
            </w:pPr>
            <w:r>
              <w:rPr>
                <w:sz w:val="17"/>
              </w:rPr>
              <w:t>Subhash Chandra Agrawal</w:t>
            </w:r>
          </w:p>
        </w:tc>
        <w:tc>
          <w:tcPr>
            <w:tcW w:type="dxa" w:w="1560"/>
            <w:shd w:fill="FFFFFF"/>
          </w:tcPr>
          <w:p>
            <w:pPr>
              <w:jc w:val="left"/>
            </w:pPr>
            <w:r>
              <w:rPr>
                <w:sz w:val="17"/>
              </w:rPr>
              <w:t>Details of free airtime subsidy allocated to parties on Doordarshan/AIR in 2009</w:t>
            </w:r>
          </w:p>
        </w:tc>
        <w:tc>
          <w:tcPr>
            <w:tcW w:type="dxa" w:w="1560"/>
            <w:shd w:fill="FFFFFF"/>
          </w:tcPr>
          <w:p>
            <w:pPr>
              <w:jc w:val="left"/>
            </w:pPr>
            <w:r>
              <w:rPr>
                <w:sz w:val="17"/>
              </w:rPr>
              <w:t>Information Granted (24 pages supplied)</w:t>
            </w:r>
          </w:p>
        </w:tc>
        <w:tc>
          <w:tcPr>
            <w:tcW w:type="dxa" w:w="1560"/>
            <w:shd w:fill="FFFFFF"/>
          </w:tcPr>
          <w:p>
            <w:pPr>
              <w:jc w:val="left"/>
            </w:pPr>
            <w:r>
              <w:rPr>
                <w:sz w:val="17"/>
              </w:rPr>
              <w:t>N/A (Public record)</w:t>
            </w:r>
          </w:p>
        </w:tc>
        <w:tc>
          <w:tcPr>
            <w:tcW w:type="dxa" w:w="1560"/>
            <w:shd w:fill="FFFFFF"/>
          </w:tcPr>
          <w:p>
            <w:pPr>
              <w:jc w:val="left"/>
            </w:pPr>
            <w:r>
              <w:rPr>
                <w:sz w:val="17"/>
              </w:rPr>
              <w:t>Appeal Disposed: Satisfied.</w:t>
            </w:r>
          </w:p>
        </w:tc>
      </w:tr>
      <w:tr>
        <w:tc>
          <w:tcPr>
            <w:tcW w:type="dxa" w:w="1560"/>
            <w:shd w:fill="F9FBFD"/>
          </w:tcPr>
          <w:p>
            <w:pPr>
              <w:jc w:val="left"/>
            </w:pPr>
            <w:r>
              <w:rPr>
                <w:sz w:val="17"/>
              </w:rPr>
              <w:t>ECI/RTI/2012/1105</w:t>
              <w:br/>
              <w:t>(14-Sep-2012)</w:t>
            </w:r>
          </w:p>
        </w:tc>
        <w:tc>
          <w:tcPr>
            <w:tcW w:type="dxa" w:w="1560"/>
            <w:shd w:fill="F9FBFD"/>
          </w:tcPr>
          <w:p>
            <w:pPr>
              <w:jc w:val="left"/>
            </w:pPr>
            <w:r>
              <w:rPr>
                <w:sz w:val="17"/>
              </w:rPr>
              <w:t>Lokesh Batra</w:t>
            </w:r>
          </w:p>
        </w:tc>
        <w:tc>
          <w:tcPr>
            <w:tcW w:type="dxa" w:w="1560"/>
            <w:shd w:fill="F9FBFD"/>
          </w:tcPr>
          <w:p>
            <w:pPr>
              <w:jc w:val="left"/>
            </w:pPr>
            <w:r>
              <w:rPr>
                <w:sz w:val="17"/>
              </w:rPr>
              <w:t>List of recognized parties failing to submit Form 24A on time for FY 2010-11</w:t>
            </w:r>
          </w:p>
        </w:tc>
        <w:tc>
          <w:tcPr>
            <w:tcW w:type="dxa" w:w="1560"/>
            <w:shd w:fill="F9FBFD"/>
          </w:tcPr>
          <w:p>
            <w:pPr>
              <w:jc w:val="left"/>
            </w:pPr>
            <w:r>
              <w:rPr>
                <w:sz w:val="17"/>
              </w:rPr>
              <w:t>Information Granted</w:t>
            </w:r>
          </w:p>
        </w:tc>
        <w:tc>
          <w:tcPr>
            <w:tcW w:type="dxa" w:w="1560"/>
            <w:shd w:fill="F9FBFD"/>
          </w:tcPr>
          <w:p>
            <w:pPr>
              <w:jc w:val="left"/>
            </w:pPr>
            <w:r>
              <w:rPr>
                <w:sz w:val="17"/>
              </w:rPr>
              <w:t>N/A (Public record)</w:t>
            </w:r>
          </w:p>
        </w:tc>
        <w:tc>
          <w:tcPr>
            <w:tcW w:type="dxa" w:w="1560"/>
            <w:shd w:fill="F9FBFD"/>
          </w:tcPr>
          <w:p>
            <w:pPr>
              <w:jc w:val="left"/>
            </w:pPr>
            <w:r>
              <w:rPr>
                <w:sz w:val="17"/>
              </w:rPr>
              <w:t>Appeal Disposed: Data provided.</w:t>
            </w:r>
          </w:p>
        </w:tc>
      </w:tr>
    </w:tbl>
    <w:p>
      <w:pPr>
        <w:spacing w:before="280" w:after="120"/>
      </w:pPr>
      <w:r>
        <w:rPr>
          <w:b/>
          <w:color w:val="003366"/>
          <w:sz w:val="24"/>
        </w:rPr>
        <w:t>4. ANALYSIS OF FIRST APPELLATE AUTHORITY (FAA) ORDERS</w:t>
      </w:r>
    </w:p>
    <w:p>
      <w:r>
        <w:t>4.1 FAA Order No. FAA/ECI/2011/142 (In the matter of Subhash Chandra Agrawal):</w:t>
        <w:br/>
        <w:t>The appellant contended that since political parties perform public functions, participate in national elections, and enjoy government concessions (land, tax immunity, broadcasting time), ECI CPIO must collect and supply their complete audited financial statements and list of donors below ₹ 20,000. The Appellate Authority observed: 'The CPIO cannot create information or collect documents from third parties where no statutory obligation exists under the Representation of the People Act, 1951 for such parties to maintain and submit those specific registers to the Commission. The public documents submitted under Section 29C (Form 24A) are available for inspection under Rule 85B.'</w:t>
      </w:r>
    </w:p>
    <w:p>
      <w:r>
        <w:t>4.2 FAA Order No. FAA/ECI/2011/165 (In the matter of Anil Bairwal / ADR):</w:t>
        <w:br/>
        <w:t>Regarding the query on tax exemption returns under Section 13A of the Income Tax Act, 1961, the Appellate Authority held that the Income Tax Department (CBDT) is the primary custodian of tax return filings. Transfer of the RTI query under Section 6(3) to the Director General of Income Tax (Exemptions), New Delhi, was held to be legally correct and in full compliance with the statutory framework of the RTI Act, 2005.</w:t>
      </w:r>
    </w:p>
    <w:p>
      <w:pPr>
        <w:spacing w:before="280" w:after="120"/>
      </w:pPr>
      <w:r>
        <w:rPr>
          <w:b/>
          <w:color w:val="003366"/>
          <w:sz w:val="24"/>
        </w:rPr>
        <w:t>5. STATUS OF PENDING PROCEEDINGS BEFORE CIC FULL BENCH</w:t>
      </w:r>
    </w:p>
    <w:p>
      <w:r>
        <w:t>5.1 Multiple complaints and second appeals filed by Shri Subhash Chandra Agrawal and Shri Anil Bairwal (ADR) against CPIO responses of ECI and Ministry of Law &amp; Justice have been tagged together by the Central Information Commission (Case Nos. CIC/SM/C/2011/000838 and CIC/SM/C/2011/0001486).</w:t>
      </w:r>
    </w:p>
    <w:p>
      <w:r>
        <w:t>5.2 The Central Information Commission has constituted a Full Bench comprising Chief Information Commissioner Shri Satyananda Mishra, Information Commissioner Smt. Annapurna Dixit, and Information Commissioner Shri M.L. Sharma to adjudicate the larger legal question: 'Whether recognized political parties fall within the definition of Public Authority under Section 2(h) of the RTI Act, 2005 on account of substantial indirect financing by the Central Government through tax exemptions, subsidized land allotments, and free broadcast facilities.'</w:t>
      </w:r>
    </w:p>
    <w:p>
      <w:r>
        <w:t>5.3 The Standing Counsel for the Election Commission of India has been instructed to represent the Commission and place on record that while ECI strongly advocates complete financial transparency of political parties, any declaration bringing political parties directly under Section 2(h) requires careful consideration of the statutory limits of Section 29A and Section 29C of the RPA, 1951.</w:t>
      </w:r>
    </w:p>
    <w:p>
      <w:pPr>
        <w:spacing w:before="280" w:after="120"/>
      </w:pPr>
      <w:r>
        <w:rPr>
          <w:b/>
          <w:color w:val="003366"/>
          <w:sz w:val="24"/>
        </w:rPr>
        <w:t>6. ANNEXURE I: STANDARD CPIO REFUSAL / TRANSFER FORMAT</w:t>
      </w:r>
    </w:p>
    <w:p>
      <w:r>
        <w:t>Form Letter Ref: ECI/RTI/CPIO-REJ/TEMPLATE</w:t>
        <w:br/>
        <w:br/>
        <w:t>To,</w:t>
        <w:br/>
        <w:t>[RTI Applicant]</w:t>
        <w:br/>
        <w:br/>
        <w:t>Subject: Response to Application under Right to Information Act, 2005.</w:t>
        <w:br/>
        <w:br/>
        <w:t>Sir/Madam,</w:t>
        <w:br/>
        <w:t>With reference to your RTI application dated [Date] seeking internal financial records / detailed donor registers / income tax filings of [Political Party Name], it is informed that:</w:t>
        <w:br/>
        <w:t>1. Registered political parties are not established or constituted by or under the Constitution or law passed by Parliament directly, and under existing administrative interpretations, have not been declared 'Public Authority' under Section 2(h) of the RTI Act, 2005.</w:t>
        <w:br/>
        <w:t>2. The statutory records submitted by recognized political parties to the Election Commission under Section 29C of the Representation of the People Act, 1951 (Form 24A) are open for inspection in the Political Party Cell under Rule 85B of Conduct of Elections Rules, 1961.</w:t>
        <w:br/>
        <w:t>3. Your application, in so far as it relates to tax exemptions under Section 13A, is being transferred under Section 6(3) to the CPIO, Central Board of Direct Taxes, Ministry of Finance, New Delhi for necessary action.</w:t>
        <w:br/>
        <w:br/>
        <w:t>Yours faithfully,</w:t>
        <w:br/>
        <w:t>Central Public Information Officer (CPIO)</w:t>
        <w:br/>
        <w:t>Election Commission of India</w:t>
      </w:r>
    </w:p>
    <w:p>
      <w:pPr>
        <w:spacing w:before="400"/>
      </w:pPr>
      <w:r>
        <w:rPr>
          <w:i/>
        </w:rPr>
        <w:t>Compiled by:</w:t>
        <w:br/>
        <w:br/>
        <w:br/>
      </w:r>
      <w:r>
        <w:rPr>
          <w:b/>
        </w:rPr>
        <w:t>(STANDFAST TAKSANG)</w:t>
        <w:br/>
      </w:r>
      <w:r>
        <w:t>Under Secretary (RTI &amp; Legal Cell)</w:t>
        <w:br/>
      </w:r>
      <w:r>
        <w:t>Election Commission of India, Nirvachan Sadan, New Delhi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