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disclosure_guidelines</w:t>
      </w:r>
    </w:p>
    <w:p>
      <w:pPr>
        <w:jc w:val="center"/>
      </w:pPr>
      <w:r>
        <w:rPr>
          <w:b/>
          <w:color w:val="003366"/>
          <w:sz w:val="28"/>
        </w:rPr>
        <w:t>ELECTION COMMISSION OF INDIA</w:t>
        <w:br/>
      </w:r>
      <w:r>
        <w:rPr>
          <w:color w:val="555555"/>
          <w:sz w:val="20"/>
        </w:rPr>
        <w:t>NIRVACHAN SADAN, ASHOKA ROAD, NEW DELHI - 110001</w:t>
        <w:br/>
      </w:r>
      <w:r>
        <w:rPr>
          <w:b/>
          <w:sz w:val="19"/>
        </w:rPr>
        <w:t>EXPENDITURE MONITORING DIVISION &amp; FINANCIAL AUDIT CELL</w:t>
        <w:br/>
      </w:r>
    </w:p>
    <w:p>
      <w:r>
        <w:rPr>
          <w:b/>
        </w:rPr>
        <w:t>File Ref. No.: ECI/COMP/FIN/GUIDE/2011/CIRC-09</w:t>
      </w:r>
      <w:r>
        <w:tab/>
        <w:tab/>
        <w:tab/>
        <w:tab/>
        <w:tab/>
        <w:t>Dated: 14th October 2011</w:t>
      </w:r>
    </w:p>
    <w:p>
      <w:pPr>
        <w:spacing w:after="240"/>
      </w:pPr>
      <w:r>
        <w:rPr>
          <w:color w:val="999999"/>
        </w:rPr>
        <w:t>――――――――――――――――――――――――――――――――――――――――――――――――――――――――――</w:t>
      </w:r>
    </w:p>
    <w:p>
      <w:r>
        <w:rPr>
          <w:b/>
          <w:color w:val="003366"/>
          <w:sz w:val="26"/>
        </w:rPr>
        <w:t>INSTRUCTION MANUAL &amp; COMPREHENSIVE FINANCIAL DISCLOSURE GUIDELINES</w:t>
        <w:br/>
      </w:r>
      <w:r>
        <w:rPr>
          <w:i/>
          <w:sz w:val="21"/>
        </w:rPr>
        <w:t>SUBJECT: Directives for Political Parties on Maintenance and Submission of Annual Audited Accounts, Contribution Reports (Form 24A), Election Expenditure Statements, Public Subsidies Standard Operating Procedures (SOP), and Public Access Protocol.</w:t>
      </w:r>
    </w:p>
    <w:p>
      <w:pPr>
        <w:spacing w:before="280" w:after="120"/>
      </w:pPr>
      <w:r>
        <w:rPr>
          <w:b/>
          <w:color w:val="003366"/>
          <w:sz w:val="24"/>
        </w:rPr>
        <w:t>1. LEGAL REGIME AND REGULATORY FRAMEWORK</w:t>
      </w:r>
    </w:p>
    <w:p>
      <w:r>
        <w:t>1.1 In exercise of the powers vested in the Election Commission of India under Article 324 of the Constitution of India, read with Section 29A and Section 29C of the Representation of the People Act, 1951, Rule 85B of the Conduct of Elections Rules, 1961, and Paragraph 16A of the Election Symbols (Reservation and Allotment) Order, 1968, the Commission hereby issues these consolidated guidelines for compliance by all registered political parties (both recognized National/State parties and unrecognized registered parties).</w:t>
      </w:r>
    </w:p>
    <w:p>
      <w:r>
        <w:t>1.2 Transparency in the financial functioning of political parties is essential for ensuring free and fair elections and maintaining public trust in the democratic framework. Compliance with financial reporting mandates is a mandatory legal obligation.</w:t>
      </w:r>
    </w:p>
    <w:p>
      <w:pPr>
        <w:spacing w:before="280" w:after="120"/>
      </w:pPr>
      <w:r>
        <w:rPr>
          <w:b/>
          <w:color w:val="003366"/>
          <w:sz w:val="24"/>
        </w:rPr>
        <w:t>2. COMPREHENSIVE DISCLOSURE MATRIX &amp; FILING TIMELINES</w:t>
      </w:r>
    </w:p>
    <w:p>
      <w:r>
        <w:t>2.1 Registered political parties are required to submit periodic statutory returns and accounting reports to the Election Commission of India in accordance with the following schedule: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18"/>
              </w:rPr>
              <w:t>Report Name / Statutory Form</w:t>
            </w:r>
          </w:p>
        </w:tc>
        <w:tc>
          <w:tcPr>
            <w:tcW w:type="dxa" w:w="1872"/>
            <w:shd w:fill="003366"/>
          </w:tcPr>
          <w:p>
            <w:pPr>
              <w:jc w:val="center"/>
            </w:pPr>
            <w:r>
              <w:rPr>
                <w:b/>
                <w:color w:val="FFFFFF"/>
                <w:sz w:val="18"/>
              </w:rPr>
              <w:t>Governing Statutory Provision</w:t>
            </w:r>
          </w:p>
        </w:tc>
        <w:tc>
          <w:tcPr>
            <w:tcW w:type="dxa" w:w="1872"/>
            <w:shd w:fill="003366"/>
          </w:tcPr>
          <w:p>
            <w:pPr>
              <w:jc w:val="center"/>
            </w:pPr>
            <w:r>
              <w:rPr>
                <w:b/>
                <w:color w:val="FFFFFF"/>
                <w:sz w:val="18"/>
              </w:rPr>
              <w:t>Prescribed Due Date</w:t>
            </w:r>
          </w:p>
        </w:tc>
        <w:tc>
          <w:tcPr>
            <w:tcW w:type="dxa" w:w="1872"/>
            <w:shd w:fill="003366"/>
          </w:tcPr>
          <w:p>
            <w:pPr>
              <w:jc w:val="center"/>
            </w:pPr>
            <w:r>
              <w:rPr>
                <w:b/>
                <w:color w:val="FFFFFF"/>
                <w:sz w:val="18"/>
              </w:rPr>
              <w:t>Receiving Authority</w:t>
            </w:r>
          </w:p>
        </w:tc>
        <w:tc>
          <w:tcPr>
            <w:tcW w:type="dxa" w:w="1872"/>
            <w:shd w:fill="003366"/>
          </w:tcPr>
          <w:p>
            <w:pPr>
              <w:jc w:val="center"/>
            </w:pPr>
            <w:r>
              <w:rPr>
                <w:b/>
                <w:color w:val="FFFFFF"/>
                <w:sz w:val="18"/>
              </w:rPr>
              <w:t>Consequences of Default / Non-Filing</w:t>
            </w:r>
          </w:p>
        </w:tc>
      </w:tr>
      <w:tr>
        <w:tc>
          <w:tcPr>
            <w:tcW w:type="dxa" w:w="1872"/>
            <w:shd w:fill="F9FBFD"/>
          </w:tcPr>
          <w:p>
            <w:pPr>
              <w:jc w:val="left"/>
            </w:pPr>
            <w:r>
              <w:rPr>
                <w:sz w:val="17"/>
              </w:rPr>
              <w:t>Contribution Report</w:t>
              <w:br/>
              <w:t>(Form 24A)</w:t>
            </w:r>
          </w:p>
        </w:tc>
        <w:tc>
          <w:tcPr>
            <w:tcW w:type="dxa" w:w="1872"/>
            <w:shd w:fill="F9FBFD"/>
          </w:tcPr>
          <w:p>
            <w:pPr>
              <w:jc w:val="left"/>
            </w:pPr>
            <w:r>
              <w:rPr>
                <w:sz w:val="17"/>
              </w:rPr>
              <w:t>Section 29C, RPA 1951 &amp;</w:t>
              <w:br/>
              <w:t>Rule 85B, Conduct Rules</w:t>
            </w:r>
          </w:p>
        </w:tc>
        <w:tc>
          <w:tcPr>
            <w:tcW w:type="dxa" w:w="1872"/>
            <w:shd w:fill="F9FBFD"/>
          </w:tcPr>
          <w:p>
            <w:pPr>
              <w:jc w:val="left"/>
            </w:pPr>
            <w:r>
              <w:rPr>
                <w:sz w:val="17"/>
              </w:rPr>
              <w:t>On or before due date for Income Tax Return (30th Sept / 30th Nov)</w:t>
            </w:r>
          </w:p>
        </w:tc>
        <w:tc>
          <w:tcPr>
            <w:tcW w:type="dxa" w:w="1872"/>
            <w:shd w:fill="F9FBFD"/>
          </w:tcPr>
          <w:p>
            <w:pPr>
              <w:jc w:val="left"/>
            </w:pPr>
            <w:r>
              <w:rPr>
                <w:sz w:val="17"/>
              </w:rPr>
              <w:t>Election Commission of India, Nirvachan Sadan</w:t>
            </w:r>
          </w:p>
        </w:tc>
        <w:tc>
          <w:tcPr>
            <w:tcW w:type="dxa" w:w="1872"/>
            <w:shd w:fill="F9FBFD"/>
          </w:tcPr>
          <w:p>
            <w:pPr>
              <w:jc w:val="left"/>
            </w:pPr>
            <w:r>
              <w:rPr>
                <w:sz w:val="17"/>
              </w:rPr>
              <w:t>Forfeiture of 100% Tax Exemption under Sec 13A Income Tax Act, 1961.</w:t>
            </w:r>
          </w:p>
        </w:tc>
      </w:tr>
      <w:tr>
        <w:tc>
          <w:tcPr>
            <w:tcW w:type="dxa" w:w="1872"/>
            <w:shd w:fill="FFFFFF"/>
          </w:tcPr>
          <w:p>
            <w:pPr>
              <w:jc w:val="left"/>
            </w:pPr>
            <w:r>
              <w:rPr>
                <w:sz w:val="17"/>
              </w:rPr>
              <w:t>Annual Audited Financial Statements</w:t>
            </w:r>
          </w:p>
        </w:tc>
        <w:tc>
          <w:tcPr>
            <w:tcW w:type="dxa" w:w="1872"/>
            <w:shd w:fill="FFFFFF"/>
          </w:tcPr>
          <w:p>
            <w:pPr>
              <w:jc w:val="left"/>
            </w:pPr>
            <w:r>
              <w:rPr>
                <w:sz w:val="17"/>
              </w:rPr>
              <w:t>ECI Transparency Directives &amp;</w:t>
              <w:br/>
              <w:t>ICAI Guidance Notes</w:t>
            </w:r>
          </w:p>
        </w:tc>
        <w:tc>
          <w:tcPr>
            <w:tcW w:type="dxa" w:w="1872"/>
            <w:shd w:fill="FFFFFF"/>
          </w:tcPr>
          <w:p>
            <w:pPr>
              <w:jc w:val="left"/>
            </w:pPr>
            <w:r>
              <w:rPr>
                <w:sz w:val="17"/>
              </w:rPr>
              <w:t>Within 31st October of following financial year</w:t>
            </w:r>
          </w:p>
        </w:tc>
        <w:tc>
          <w:tcPr>
            <w:tcW w:type="dxa" w:w="1872"/>
            <w:shd w:fill="FFFFFF"/>
          </w:tcPr>
          <w:p>
            <w:pPr>
              <w:jc w:val="left"/>
            </w:pPr>
            <w:r>
              <w:rPr>
                <w:sz w:val="17"/>
              </w:rPr>
              <w:t>Election Commission of India (Political Party Cell)</w:t>
            </w:r>
          </w:p>
        </w:tc>
        <w:tc>
          <w:tcPr>
            <w:tcW w:type="dxa" w:w="1872"/>
            <w:shd w:fill="FFFFFF"/>
          </w:tcPr>
          <w:p>
            <w:pPr>
              <w:jc w:val="left"/>
            </w:pPr>
            <w:r>
              <w:rPr>
                <w:sz w:val="17"/>
              </w:rPr>
              <w:t>Initiation of action under Para 16A Election Symbols Order 1968.</w:t>
            </w:r>
          </w:p>
        </w:tc>
      </w:tr>
      <w:tr>
        <w:tc>
          <w:tcPr>
            <w:tcW w:type="dxa" w:w="1872"/>
            <w:shd w:fill="F9FBFD"/>
          </w:tcPr>
          <w:p>
            <w:pPr>
              <w:jc w:val="left"/>
            </w:pPr>
            <w:r>
              <w:rPr>
                <w:sz w:val="17"/>
              </w:rPr>
              <w:t>General Election Expenditure Statement</w:t>
            </w:r>
          </w:p>
        </w:tc>
        <w:tc>
          <w:tcPr>
            <w:tcW w:type="dxa" w:w="1872"/>
            <w:shd w:fill="F9FBFD"/>
          </w:tcPr>
          <w:p>
            <w:pPr>
              <w:jc w:val="left"/>
            </w:pPr>
            <w:r>
              <w:rPr>
                <w:sz w:val="17"/>
              </w:rPr>
              <w:t>Section 75 &amp; 77, RPA 1951 &amp;</w:t>
              <w:br/>
              <w:t>ECI Directives</w:t>
            </w:r>
          </w:p>
        </w:tc>
        <w:tc>
          <w:tcPr>
            <w:tcW w:type="dxa" w:w="1872"/>
            <w:shd w:fill="F9FBFD"/>
          </w:tcPr>
          <w:p>
            <w:pPr>
              <w:jc w:val="left"/>
            </w:pPr>
            <w:r>
              <w:rPr>
                <w:sz w:val="17"/>
              </w:rPr>
              <w:t>Within 90 days (Lok Sabha) / 75 days (Assembly elections)</w:t>
            </w:r>
          </w:p>
        </w:tc>
        <w:tc>
          <w:tcPr>
            <w:tcW w:type="dxa" w:w="1872"/>
            <w:shd w:fill="F9FBFD"/>
          </w:tcPr>
          <w:p>
            <w:pPr>
              <w:jc w:val="left"/>
            </w:pPr>
            <w:r>
              <w:rPr>
                <w:sz w:val="17"/>
              </w:rPr>
              <w:t>Expenditure Monitoring Cell, ECI</w:t>
            </w:r>
          </w:p>
        </w:tc>
        <w:tc>
          <w:tcPr>
            <w:tcW w:type="dxa" w:w="1872"/>
            <w:shd w:fill="F9FBFD"/>
          </w:tcPr>
          <w:p>
            <w:pPr>
              <w:jc w:val="left"/>
            </w:pPr>
            <w:r>
              <w:rPr>
                <w:sz w:val="17"/>
              </w:rPr>
              <w:t>Notice for suspension of party recognition / party symbol.</w:t>
            </w:r>
          </w:p>
        </w:tc>
      </w:tr>
      <w:tr>
        <w:tc>
          <w:tcPr>
            <w:tcW w:type="dxa" w:w="1872"/>
            <w:shd w:fill="FFFFFF"/>
          </w:tcPr>
          <w:p>
            <w:pPr>
              <w:jc w:val="left"/>
            </w:pPr>
            <w:r>
              <w:rPr>
                <w:sz w:val="17"/>
              </w:rPr>
              <w:t>Star Campaigner Travel Log &amp; Expenses</w:t>
            </w:r>
          </w:p>
        </w:tc>
        <w:tc>
          <w:tcPr>
            <w:tcW w:type="dxa" w:w="1872"/>
            <w:shd w:fill="FFFFFF"/>
          </w:tcPr>
          <w:p>
            <w:pPr>
              <w:jc w:val="left"/>
            </w:pPr>
            <w:r>
              <w:rPr>
                <w:sz w:val="17"/>
              </w:rPr>
              <w:t>Section 77(1) Expl. 1 &amp; 2,</w:t>
              <w:br/>
              <w:t>RPA 1951</w:t>
            </w:r>
          </w:p>
        </w:tc>
        <w:tc>
          <w:tcPr>
            <w:tcW w:type="dxa" w:w="1872"/>
            <w:shd w:fill="FFFFFF"/>
          </w:tcPr>
          <w:p>
            <w:pPr>
              <w:jc w:val="left"/>
            </w:pPr>
            <w:r>
              <w:rPr>
                <w:sz w:val="17"/>
              </w:rPr>
              <w:t>Within 30 days of declaration of election results</w:t>
            </w:r>
          </w:p>
        </w:tc>
        <w:tc>
          <w:tcPr>
            <w:tcW w:type="dxa" w:w="1872"/>
            <w:shd w:fill="FFFFFF"/>
          </w:tcPr>
          <w:p>
            <w:pPr>
              <w:jc w:val="left"/>
            </w:pPr>
            <w:r>
              <w:rPr>
                <w:sz w:val="17"/>
              </w:rPr>
              <w:t>Chief Electoral Officer (CEO) of state &amp; ECI</w:t>
            </w:r>
          </w:p>
        </w:tc>
        <w:tc>
          <w:tcPr>
            <w:tcW w:type="dxa" w:w="1872"/>
            <w:shd w:fill="FFFFFF"/>
          </w:tcPr>
          <w:p>
            <w:pPr>
              <w:jc w:val="left"/>
            </w:pPr>
            <w:r>
              <w:rPr>
                <w:sz w:val="17"/>
              </w:rPr>
              <w:t>Inclusion of travel cost in individual candidate expenditure limit.</w:t>
            </w:r>
          </w:p>
        </w:tc>
      </w:tr>
      <w:tr>
        <w:tc>
          <w:tcPr>
            <w:tcW w:type="dxa" w:w="1872"/>
            <w:shd w:fill="F9FBFD"/>
          </w:tcPr>
          <w:p>
            <w:pPr>
              <w:jc w:val="left"/>
            </w:pPr>
            <w:r>
              <w:rPr>
                <w:sz w:val="17"/>
              </w:rPr>
              <w:t>Media Broadcast Usage Log</w:t>
            </w:r>
          </w:p>
        </w:tc>
        <w:tc>
          <w:tcPr>
            <w:tcW w:type="dxa" w:w="1872"/>
            <w:shd w:fill="F9FBFD"/>
          </w:tcPr>
          <w:p>
            <w:pPr>
              <w:jc w:val="left"/>
            </w:pPr>
            <w:r>
              <w:rPr>
                <w:sz w:val="17"/>
              </w:rPr>
              <w:t>Section 39A, RPA 1951 &amp;</w:t>
              <w:br/>
              <w:t>Prasar Bharati Guidelines</w:t>
            </w:r>
          </w:p>
        </w:tc>
        <w:tc>
          <w:tcPr>
            <w:tcW w:type="dxa" w:w="1872"/>
            <w:shd w:fill="F9FBFD"/>
          </w:tcPr>
          <w:p>
            <w:pPr>
              <w:jc w:val="left"/>
            </w:pPr>
            <w:r>
              <w:rPr>
                <w:sz w:val="17"/>
              </w:rPr>
              <w:t>Within 45 days post-election completion</w:t>
            </w:r>
          </w:p>
        </w:tc>
        <w:tc>
          <w:tcPr>
            <w:tcW w:type="dxa" w:w="1872"/>
            <w:shd w:fill="F9FBFD"/>
          </w:tcPr>
          <w:p>
            <w:pPr>
              <w:jc w:val="left"/>
            </w:pPr>
            <w:r>
              <w:rPr>
                <w:sz w:val="17"/>
              </w:rPr>
              <w:t>Broadcasting Cell, ECI / Prasar Bharati</w:t>
            </w:r>
          </w:p>
        </w:tc>
        <w:tc>
          <w:tcPr>
            <w:tcW w:type="dxa" w:w="1872"/>
            <w:shd w:fill="F9FBFD"/>
          </w:tcPr>
          <w:p>
            <w:pPr>
              <w:jc w:val="left"/>
            </w:pPr>
            <w:r>
              <w:rPr>
                <w:sz w:val="17"/>
              </w:rPr>
              <w:t>Ineligibility for airtime voucher allocation in subsequent elections.</w:t>
            </w:r>
          </w:p>
        </w:tc>
      </w:tr>
    </w:tbl>
    <w:p>
      <w:pPr>
        <w:spacing w:before="280" w:after="120"/>
      </w:pPr>
      <w:r>
        <w:rPr>
          <w:b/>
          <w:color w:val="003366"/>
          <w:sz w:val="24"/>
        </w:rPr>
        <w:t>3. DETAILED GUIDELINES FOR FORM 24A CONTRIBUTION REPORTS</w:t>
      </w:r>
    </w:p>
    <w:p>
      <w:r>
        <w:t>3.1 Threshold Requirement: Form 24A must explicitly capture every voluntary contribution received by the political party from a person, company, trust, or entity where the aggregate contribution exceeds Twenty Thousand Rupees (₹ 20,000/-) in that financial year.</w:t>
      </w:r>
    </w:p>
    <w:p>
      <w:r>
        <w:t>3.2 Mandatory Particulars in Form 24A:</w:t>
        <w:br/>
        <w:t>a) Full Name and complete postal address of the donor.</w:t>
        <w:br/>
        <w:t>b) Permanent Account Number (PAN) allotted by the Income Tax Department (or declaration if exempt).</w:t>
        <w:br/>
        <w:t>c) Amount of contribution (in figures and words).</w:t>
        <w:br/>
        <w:t>d) Mode of payment (Cheque / Demand Draft / Bank Transfer reference number and date). Cash contributions above ₹ 20,000 are strictly prohibited from being reported as eligible voluntary contributions under Section 29C.</w:t>
        <w:br/>
        <w:t>e) Certification and verification by the designated Party Treasurer or General Secretary.</w:t>
      </w:r>
    </w:p>
    <w:p>
      <w:pPr>
        <w:spacing w:before="280" w:after="120"/>
      </w:pPr>
      <w:r>
        <w:rPr>
          <w:b/>
          <w:color w:val="003366"/>
          <w:sz w:val="24"/>
        </w:rPr>
        <w:t>4. ACCOUNTING STANDARDS &amp; ANNUAL AUDITED BALANCES</w:t>
      </w:r>
    </w:p>
    <w:p>
      <w:r>
        <w:t>4.1 Financial Statements Format: Recognized political parties shall prepare their Annual Accounts (Balance Sheet, Income &amp; Expenditure Account, and Cash Flow Statement) strictly in accordance with the Accounting Standards issued by the Institute of Chartered Accountants of India (ICAI) and Guidance Note on Accounting by Political Parties.</w:t>
      </w:r>
    </w:p>
    <w:p>
      <w:r>
        <w:t>4.2 Audit Certification: Accounts must be audited by a practicing Chartered Accountant registered with ICAI. The audit report must contain specific notes on voluntary contributions below ₹ 20,000, income from coupon sales, party membership fee collections, and electoral trust disbursements.</w:t>
      </w:r>
    </w:p>
    <w:p>
      <w:pPr>
        <w:spacing w:before="280" w:after="120"/>
      </w:pPr>
      <w:r>
        <w:rPr>
          <w:b/>
          <w:color w:val="003366"/>
          <w:sz w:val="24"/>
        </w:rPr>
        <w:t>5. STANDARD OPERATING PROCEDURE (SOP) FOR PUBLIC SUBSIDIES AND FACILITIES</w:t>
      </w:r>
    </w:p>
    <w:p>
      <w:r>
        <w:t>5.1 Free Broadcast Facilities (Section 39A RPA 1951): Recognized National and State parties are entitled to free broadcast airtime on Doordarshan (DD) and All India Radio (AIR). Airtime is allocated using a base quota of 10 hours on DD and AIR, supplemented by additional time based on the percentage of votes polled by each party in the preceding general election. Time vouchers are issued by ECI and are non-transferable.</w:t>
      </w:r>
    </w:p>
    <w:p>
      <w:r>
        <w:t>5.2 Electoral Roll Supply: Two certified copies of electoral rolls for each assembly constituency/polling station are provided free of cost to recognized parties by the Electoral Registration Officers (EROs) under Rules 11 and 22 of Registration of Electors Rules, 1960.</w:t>
      </w:r>
    </w:p>
    <w:p>
      <w:r>
        <w:t>5.3 Land Allotment Recommending Procedure: Requests from recognized national parties for allotment of office space/land in New Delhi are evaluated by ECI against party strength in Parliament, and recommendations are forwarded to the Ministry of Urban Development (Land &amp; Development Office - L&amp;DO) for allotment at concessional institutional rates under L&amp;DO guidelines.</w:t>
      </w:r>
    </w:p>
    <w:p>
      <w:pPr>
        <w:spacing w:before="280" w:after="120"/>
      </w:pPr>
      <w:r>
        <w:rPr>
          <w:b/>
          <w:color w:val="003366"/>
          <w:sz w:val="24"/>
        </w:rPr>
        <w:t>6. PUBLIC ACCESS &amp; INSPECTION PROTOCOL AT NIRVACHAN SADAN</w:t>
      </w:r>
    </w:p>
    <w:p>
      <w:r>
        <w:t>6.1 In compliance with Rule 85B of the Conduct of Elections Rules, 1961, all Form 24A contribution reports submitted by political parties are open to public inspection at the Political Party Cell, Nirvachan Sadan, Ashoka Road, New Delhi.</w:t>
      </w:r>
    </w:p>
    <w:p>
      <w:r>
        <w:t>6.2 Procedure for Inspection:</w:t>
        <w:br/>
        <w:t>a) Any citizen of India may apply in writing to the Under Secretary (Political Party Affairs) requesting inspection of Form 24A returns.</w:t>
        <w:br/>
        <w:t>b) Inspection fee of ₹ 10/- per application is payable via Postal Order / Demand Draft.</w:t>
        <w:br/>
        <w:t>c) Certified true copies of Form 24A shall be provided upon payment of copying charges at the rate of ₹ 2/- per page.</w:t>
        <w:br/>
        <w:t>d) All contribution reports received for the latest financial year shall also be published on the official ECI website (www.eci.nic.in) for public dissemination.</w:t>
      </w:r>
    </w:p>
    <w:p>
      <w:pPr>
        <w:spacing w:before="280" w:after="120"/>
      </w:pPr>
      <w:r>
        <w:rPr>
          <w:b/>
          <w:color w:val="003366"/>
          <w:sz w:val="24"/>
        </w:rPr>
        <w:t>7. ENFORCEMENT &amp; PENAL PROVISIONS UNDER PARAGRAPH 16A</w:t>
      </w:r>
    </w:p>
    <w:p>
      <w:r>
        <w:t>7.1 Failure by any recognized political party to observe these financial disclosure instructions or default in filing Form 24A within the prescribed statutory timeframe shall attract proceedings under Paragraph 16A of the Election Symbols (Reservation and Allotment) Order, 1968, which empowers the Commission to suspend or withdraw the recognition and reserved symbol of the defaulting political party after issuing due show-cause notice.</w:t>
      </w:r>
    </w:p>
    <w:p>
      <w:pPr>
        <w:spacing w:before="400"/>
      </w:pPr>
      <w:r>
        <w:rPr>
          <w:i/>
        </w:rPr>
        <w:t>By Order of the Commission:</w:t>
        <w:br/>
        <w:br/>
        <w:br/>
      </w:r>
      <w:r>
        <w:rPr>
          <w:b/>
        </w:rPr>
        <w:t>(T. N. FUNCTIONAL / C. P. JOSHI)</w:t>
        <w:br/>
      </w:r>
      <w:r>
        <w:t>Senior Principal Secretary (Financial Compliance &amp; Election Expenditure)</w:t>
        <w:br/>
      </w:r>
      <w:r>
        <w:t>Election Commission of India, Nirvachan Sadan, New Delhi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