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pds_guidelines</w:t>
      </w:r>
    </w:p>
    <w:p>
      <w:pPr>
        <w:jc w:val="center"/>
      </w:pPr>
      <w:r>
        <w:rPr>
          <w:b/>
          <w:color w:val="003366"/>
          <w:sz w:val="26"/>
        </w:rPr>
        <w:t>DEPARTMENT OF FOOD, SUPPLIES &amp; CONSUMER AFFAIRS</w:t>
        <w:br/>
        <w:t>GOVERNMENT OF NATIONAL CAPITAL TERRITORY OF DELHI</w:t>
        <w:br/>
      </w:r>
      <w:r>
        <w:rPr>
          <w:color w:val="555555"/>
          <w:sz w:val="20"/>
        </w:rPr>
        <w:t>POLICY, LEGISLATION &amp; CONSUMER PROTECTION CELL, VIKAS BHAWAN, NEW DELHI</w:t>
        <w:br/>
      </w:r>
    </w:p>
    <w:p>
      <w:r>
        <w:rPr>
          <w:b/>
        </w:rPr>
        <w:t>File Ref. No.: DFS/PDS/POL/2011/GUIDE-15</w:t>
      </w:r>
      <w:r>
        <w:tab/>
        <w:tab/>
        <w:tab/>
        <w:tab/>
        <w:tab/>
        <w:t>Dated: 08th November 2011</w:t>
      </w:r>
    </w:p>
    <w:p>
      <w:pPr>
        <w:spacing w:after="240"/>
      </w:pPr>
      <w:r>
        <w:rPr>
          <w:color w:val="999999"/>
        </w:rPr>
        <w:t>――――――――――――――――――――――――――――――――――――――――――――――――――――――――――</w:t>
      </w:r>
    </w:p>
    <w:p>
      <w:r>
        <w:rPr>
          <w:b/>
          <w:color w:val="003366"/>
          <w:sz w:val="26"/>
        </w:rPr>
        <w:t>INSTRUCTION MANUAL &amp; COMPREHENSIVE OPERATIONAL GUIDELINES FOR TARGETED PUBLIC DISTRIBUTION SYSTEM (TPDS)</w:t>
        <w:br/>
      </w:r>
      <w:r>
        <w:rPr>
          <w:i/>
          <w:sz w:val="21"/>
        </w:rPr>
        <w:t>SUBJECT: Statutory Directives Under Delhi PDS (Control) Order 2001, Essential Commodities Act 1955, Standard Operating Procedure (SOP) for Public Access and Inspection of FPS Sale Registers, Social Audit Guidelines, Dealer Commission Standards, and Penalty Enforcements.</w:t>
      </w:r>
    </w:p>
    <w:p>
      <w:pPr>
        <w:spacing w:before="280" w:after="120"/>
      </w:pPr>
      <w:r>
        <w:rPr>
          <w:b/>
          <w:color w:val="003366"/>
          <w:sz w:val="24"/>
        </w:rPr>
        <w:t>1. REGULATORY FRAMEWORK AND STATUTORY MANDATE</w:t>
      </w:r>
    </w:p>
    <w:p>
      <w:r>
        <w:t>1.1 In exercise of powers conferred under Section 3 of the Essential Commodities Act, 1955 (10 of 1955) read with Public Distribution System (Control) Order, 2001, issued by the Ministry of Consumer Affairs, Food and Public Distribution, Government of India, the Department of Food, Supplies &amp; Consumer Affairs, GNCTD issues these binding operational guidelines.</w:t>
      </w:r>
    </w:p>
    <w:p>
      <w:r>
        <w:t>1.2 These guidelines govern the licensing, operation, stock accounting, public inspection, margin structures, and penalty mechanisms for all licensed Fair Price Shops (FPS) and Kerosene Oil Depots (KOD) functioning within the National Capital Territory of Delhi.</w:t>
      </w:r>
    </w:p>
    <w:p>
      <w:pPr>
        <w:spacing w:before="280" w:after="120"/>
      </w:pPr>
      <w:r>
        <w:rPr>
          <w:b/>
          <w:color w:val="003366"/>
          <w:sz w:val="24"/>
        </w:rPr>
        <w:t>2. PUBLIC DISCLOSURE MATRIX AND RIGHT TO INSPECTION</w:t>
      </w:r>
    </w:p>
    <w:p>
      <w:r>
        <w:t>2.1 Under Clause 6 of the Public Distribution System (Control) Order, 2001 and Section 4(1)(b) of the Right to Information Act, 2005, all records maintained at Fair Price Shops are declared public documents open to citizen inspection: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FPS Document / Record Type</w:t>
            </w:r>
          </w:p>
        </w:tc>
        <w:tc>
          <w:tcPr>
            <w:tcW w:type="dxa" w:w="1872"/>
            <w:shd w:fill="003366"/>
          </w:tcPr>
          <w:p>
            <w:pPr>
              <w:jc w:val="center"/>
            </w:pPr>
            <w:r>
              <w:rPr>
                <w:b/>
                <w:color w:val="FFFFFF"/>
                <w:sz w:val="18"/>
              </w:rPr>
              <w:t>Statutory Rule / Provision</w:t>
            </w:r>
          </w:p>
        </w:tc>
        <w:tc>
          <w:tcPr>
            <w:tcW w:type="dxa" w:w="1872"/>
            <w:shd w:fill="003366"/>
          </w:tcPr>
          <w:p>
            <w:pPr>
              <w:jc w:val="center"/>
            </w:pPr>
            <w:r>
              <w:rPr>
                <w:b/>
                <w:color w:val="FFFFFF"/>
                <w:sz w:val="18"/>
              </w:rPr>
              <w:t>Public Access Rights</w:t>
            </w:r>
          </w:p>
        </w:tc>
        <w:tc>
          <w:tcPr>
            <w:tcW w:type="dxa" w:w="1872"/>
            <w:shd w:fill="003366"/>
          </w:tcPr>
          <w:p>
            <w:pPr>
              <w:jc w:val="center"/>
            </w:pPr>
            <w:r>
              <w:rPr>
                <w:b/>
                <w:color w:val="FFFFFF"/>
                <w:sz w:val="18"/>
              </w:rPr>
              <w:t>Mandatory Retention Period</w:t>
            </w:r>
          </w:p>
        </w:tc>
        <w:tc>
          <w:tcPr>
            <w:tcW w:type="dxa" w:w="1872"/>
            <w:shd w:fill="003366"/>
          </w:tcPr>
          <w:p>
            <w:pPr>
              <w:jc w:val="center"/>
            </w:pPr>
            <w:r>
              <w:rPr>
                <w:b/>
                <w:color w:val="FFFFFF"/>
                <w:sz w:val="18"/>
              </w:rPr>
              <w:t>Penalty for Non-Display / Refusal</w:t>
            </w:r>
          </w:p>
        </w:tc>
      </w:tr>
      <w:tr>
        <w:tc>
          <w:tcPr>
            <w:tcW w:type="dxa" w:w="1872"/>
            <w:shd w:fill="F9FBFD"/>
          </w:tcPr>
          <w:p>
            <w:pPr>
              <w:jc w:val="left"/>
            </w:pPr>
            <w:r>
              <w:rPr>
                <w:sz w:val="17"/>
              </w:rPr>
              <w:t>Daily Sale Register &amp; Stock Register</w:t>
            </w:r>
          </w:p>
        </w:tc>
        <w:tc>
          <w:tcPr>
            <w:tcW w:type="dxa" w:w="1872"/>
            <w:shd w:fill="F9FBFD"/>
          </w:tcPr>
          <w:p>
            <w:pPr>
              <w:jc w:val="left"/>
            </w:pPr>
            <w:r>
              <w:rPr>
                <w:sz w:val="17"/>
              </w:rPr>
              <w:t>Clause 6(2), PDS Control Order 2001</w:t>
            </w:r>
          </w:p>
        </w:tc>
        <w:tc>
          <w:tcPr>
            <w:tcW w:type="dxa" w:w="1872"/>
            <w:shd w:fill="F9FBFD"/>
          </w:tcPr>
          <w:p>
            <w:pPr>
              <w:jc w:val="left"/>
            </w:pPr>
            <w:r>
              <w:rPr>
                <w:sz w:val="17"/>
              </w:rPr>
              <w:t>Open for public inspection daily during operating hours.</w:t>
            </w:r>
          </w:p>
        </w:tc>
        <w:tc>
          <w:tcPr>
            <w:tcW w:type="dxa" w:w="1872"/>
            <w:shd w:fill="F9FBFD"/>
          </w:tcPr>
          <w:p>
            <w:pPr>
              <w:jc w:val="left"/>
            </w:pPr>
            <w:r>
              <w:rPr>
                <w:sz w:val="17"/>
              </w:rPr>
              <w:t>5 Years</w:t>
            </w:r>
          </w:p>
        </w:tc>
        <w:tc>
          <w:tcPr>
            <w:tcW w:type="dxa" w:w="1872"/>
            <w:shd w:fill="F9FBFD"/>
          </w:tcPr>
          <w:p>
            <w:pPr>
              <w:jc w:val="left"/>
            </w:pPr>
            <w:r>
              <w:rPr>
                <w:sz w:val="17"/>
              </w:rPr>
              <w:t>Suspension of FPS License &amp; Loss of Security Deposit.</w:t>
            </w:r>
          </w:p>
        </w:tc>
      </w:tr>
      <w:tr>
        <w:tc>
          <w:tcPr>
            <w:tcW w:type="dxa" w:w="1872"/>
            <w:shd w:fill="FFFFFF"/>
          </w:tcPr>
          <w:p>
            <w:pPr>
              <w:jc w:val="left"/>
            </w:pPr>
            <w:r>
              <w:rPr>
                <w:sz w:val="17"/>
              </w:rPr>
              <w:t>FCI Delivery Slips &amp; Truck Challans</w:t>
            </w:r>
          </w:p>
        </w:tc>
        <w:tc>
          <w:tcPr>
            <w:tcW w:type="dxa" w:w="1872"/>
            <w:shd w:fill="FFFFFF"/>
          </w:tcPr>
          <w:p>
            <w:pPr>
              <w:jc w:val="left"/>
            </w:pPr>
            <w:r>
              <w:rPr>
                <w:sz w:val="17"/>
              </w:rPr>
              <w:t>Rule 8, Delhi TPDS Rules</w:t>
            </w:r>
          </w:p>
        </w:tc>
        <w:tc>
          <w:tcPr>
            <w:tcW w:type="dxa" w:w="1872"/>
            <w:shd w:fill="FFFFFF"/>
          </w:tcPr>
          <w:p>
            <w:pPr>
              <w:jc w:val="left"/>
            </w:pPr>
            <w:r>
              <w:rPr>
                <w:sz w:val="17"/>
              </w:rPr>
              <w:t>Copies provided upon application under RTI / PDS Rules.</w:t>
            </w:r>
          </w:p>
        </w:tc>
        <w:tc>
          <w:tcPr>
            <w:tcW w:type="dxa" w:w="1872"/>
            <w:shd w:fill="FFFFFF"/>
          </w:tcPr>
          <w:p>
            <w:pPr>
              <w:jc w:val="left"/>
            </w:pPr>
            <w:r>
              <w:rPr>
                <w:sz w:val="17"/>
              </w:rPr>
              <w:t>3 Years</w:t>
            </w:r>
          </w:p>
        </w:tc>
        <w:tc>
          <w:tcPr>
            <w:tcW w:type="dxa" w:w="1872"/>
            <w:shd w:fill="FFFFFF"/>
          </w:tcPr>
          <w:p>
            <w:pPr>
              <w:jc w:val="left"/>
            </w:pPr>
            <w:r>
              <w:rPr>
                <w:sz w:val="17"/>
              </w:rPr>
              <w:t>Show-cause notice &amp; ₹ 2,000 fine.</w:t>
            </w:r>
          </w:p>
        </w:tc>
      </w:tr>
      <w:tr>
        <w:tc>
          <w:tcPr>
            <w:tcW w:type="dxa" w:w="1872"/>
            <w:shd w:fill="F9FBFD"/>
          </w:tcPr>
          <w:p>
            <w:pPr>
              <w:jc w:val="left"/>
            </w:pPr>
            <w:r>
              <w:rPr>
                <w:sz w:val="17"/>
              </w:rPr>
              <w:t>Ration Card Master Register</w:t>
            </w:r>
          </w:p>
        </w:tc>
        <w:tc>
          <w:tcPr>
            <w:tcW w:type="dxa" w:w="1872"/>
            <w:shd w:fill="F9FBFD"/>
          </w:tcPr>
          <w:p>
            <w:pPr>
              <w:jc w:val="left"/>
            </w:pPr>
            <w:r>
              <w:rPr>
                <w:sz w:val="17"/>
              </w:rPr>
              <w:t>Clause 4(1), TPDS Guidelines</w:t>
            </w:r>
          </w:p>
        </w:tc>
        <w:tc>
          <w:tcPr>
            <w:tcW w:type="dxa" w:w="1872"/>
            <w:shd w:fill="F9FBFD"/>
          </w:tcPr>
          <w:p>
            <w:pPr>
              <w:jc w:val="left"/>
            </w:pPr>
            <w:r>
              <w:rPr>
                <w:sz w:val="17"/>
              </w:rPr>
              <w:t>Available at Assistant Commissioner Office.</w:t>
            </w:r>
          </w:p>
        </w:tc>
        <w:tc>
          <w:tcPr>
            <w:tcW w:type="dxa" w:w="1872"/>
            <w:shd w:fill="F9FBFD"/>
          </w:tcPr>
          <w:p>
            <w:pPr>
              <w:jc w:val="left"/>
            </w:pPr>
            <w:r>
              <w:rPr>
                <w:sz w:val="17"/>
              </w:rPr>
              <w:t>Permanent</w:t>
            </w:r>
          </w:p>
        </w:tc>
        <w:tc>
          <w:tcPr>
            <w:tcW w:type="dxa" w:w="1872"/>
            <w:shd w:fill="F9FBFD"/>
          </w:tcPr>
          <w:p>
            <w:pPr>
              <w:jc w:val="left"/>
            </w:pPr>
            <w:r>
              <w:rPr>
                <w:sz w:val="17"/>
              </w:rPr>
              <w:t>Departmental inquiry.</w:t>
            </w:r>
          </w:p>
        </w:tc>
      </w:tr>
      <w:tr>
        <w:tc>
          <w:tcPr>
            <w:tcW w:type="dxa" w:w="1872"/>
            <w:shd w:fill="FFFFFF"/>
          </w:tcPr>
          <w:p>
            <w:pPr>
              <w:jc w:val="left"/>
            </w:pPr>
            <w:r>
              <w:rPr>
                <w:sz w:val="17"/>
              </w:rPr>
              <w:t>Notice Board Display (Prices &amp; Stock)</w:t>
            </w:r>
          </w:p>
        </w:tc>
        <w:tc>
          <w:tcPr>
            <w:tcW w:type="dxa" w:w="1872"/>
            <w:shd w:fill="FFFFFF"/>
          </w:tcPr>
          <w:p>
            <w:pPr>
              <w:jc w:val="left"/>
            </w:pPr>
            <w:r>
              <w:rPr>
                <w:sz w:val="17"/>
              </w:rPr>
              <w:t>Clause 6(1), PDS Control Order 2001</w:t>
            </w:r>
          </w:p>
        </w:tc>
        <w:tc>
          <w:tcPr>
            <w:tcW w:type="dxa" w:w="1872"/>
            <w:shd w:fill="FFFFFF"/>
          </w:tcPr>
          <w:p>
            <w:pPr>
              <w:jc w:val="left"/>
            </w:pPr>
            <w:r>
              <w:rPr>
                <w:sz w:val="17"/>
              </w:rPr>
              <w:t>Mandatory physical display outside FPS entrance.</w:t>
            </w:r>
          </w:p>
        </w:tc>
        <w:tc>
          <w:tcPr>
            <w:tcW w:type="dxa" w:w="1872"/>
            <w:shd w:fill="FFFFFF"/>
          </w:tcPr>
          <w:p>
            <w:pPr>
              <w:jc w:val="left"/>
            </w:pPr>
            <w:r>
              <w:rPr>
                <w:sz w:val="17"/>
              </w:rPr>
              <w:t>Daily update</w:t>
            </w:r>
          </w:p>
        </w:tc>
        <w:tc>
          <w:tcPr>
            <w:tcW w:type="dxa" w:w="1872"/>
            <w:shd w:fill="FFFFFF"/>
          </w:tcPr>
          <w:p>
            <w:pPr>
              <w:jc w:val="left"/>
            </w:pPr>
            <w:r>
              <w:rPr>
                <w:sz w:val="17"/>
              </w:rPr>
              <w:t>Immediate fine of ₹ 1,000 per default.</w:t>
            </w:r>
          </w:p>
        </w:tc>
      </w:tr>
      <w:tr>
        <w:tc>
          <w:tcPr>
            <w:tcW w:type="dxa" w:w="1872"/>
            <w:shd w:fill="F9FBFD"/>
          </w:tcPr>
          <w:p>
            <w:pPr>
              <w:jc w:val="left"/>
            </w:pPr>
            <w:r>
              <w:rPr>
                <w:sz w:val="17"/>
              </w:rPr>
              <w:t>Complaint &amp; Suggestion Book</w:t>
            </w:r>
          </w:p>
        </w:tc>
        <w:tc>
          <w:tcPr>
            <w:tcW w:type="dxa" w:w="1872"/>
            <w:shd w:fill="F9FBFD"/>
          </w:tcPr>
          <w:p>
            <w:pPr>
              <w:jc w:val="left"/>
            </w:pPr>
            <w:r>
              <w:rPr>
                <w:sz w:val="17"/>
              </w:rPr>
              <w:t>Rule 12, Consumer Protection SOP</w:t>
            </w:r>
          </w:p>
        </w:tc>
        <w:tc>
          <w:tcPr>
            <w:tcW w:type="dxa" w:w="1872"/>
            <w:shd w:fill="F9FBFD"/>
          </w:tcPr>
          <w:p>
            <w:pPr>
              <w:jc w:val="left"/>
            </w:pPr>
            <w:r>
              <w:rPr>
                <w:sz w:val="17"/>
              </w:rPr>
              <w:t>Must be provided to any consumer upon demand.</w:t>
            </w:r>
          </w:p>
        </w:tc>
        <w:tc>
          <w:tcPr>
            <w:tcW w:type="dxa" w:w="1872"/>
            <w:shd w:fill="F9FBFD"/>
          </w:tcPr>
          <w:p>
            <w:pPr>
              <w:jc w:val="left"/>
            </w:pPr>
            <w:r>
              <w:rPr>
                <w:sz w:val="17"/>
              </w:rPr>
              <w:t>3 Years</w:t>
            </w:r>
          </w:p>
        </w:tc>
        <w:tc>
          <w:tcPr>
            <w:tcW w:type="dxa" w:w="1872"/>
            <w:shd w:fill="F9FBFD"/>
          </w:tcPr>
          <w:p>
            <w:pPr>
              <w:jc w:val="left"/>
            </w:pPr>
            <w:r>
              <w:rPr>
                <w:sz w:val="17"/>
              </w:rPr>
              <w:t>Penalty of ₹ 1,500.</w:t>
            </w:r>
          </w:p>
        </w:tc>
      </w:tr>
    </w:tbl>
    <w:p>
      <w:pPr>
        <w:spacing w:before="280" w:after="120"/>
      </w:pPr>
      <w:r>
        <w:rPr>
          <w:b/>
          <w:color w:val="003366"/>
          <w:sz w:val="24"/>
        </w:rPr>
        <w:t>3. STANDARD OPERATING PROCEDURE (SOP) FOR SOCIAL AUDITS AND CITIZEN INSPECTIONS</w:t>
      </w:r>
    </w:p>
    <w:p>
      <w:r>
        <w:t>3.1 Social Audit Directives: Civil society organizations, local resident welfare associations, or groups of ration cardholders are legally empowered to conduct periodic social audits. Upon receiving written notice 7 days in advance, the Food Supply Inspector (FSI) shall facilitate access to official FPS stock registers and truck delivery slips.</w:t>
      </w:r>
    </w:p>
    <w:p>
      <w:r>
        <w:t>3.2 Verified Copies: Citizens applying for certified copies of FPS distribution logs shall be supplied copies within 7 days at a nominal fee of ₹ 2/- per page under Section 6 of the RTI Act or Section 11 of the Delhi PDS Inspection Rules.</w:t>
      </w:r>
    </w:p>
    <w:p>
      <w:pPr>
        <w:spacing w:before="280" w:after="120"/>
      </w:pPr>
      <w:r>
        <w:rPr>
          <w:b/>
          <w:color w:val="003366"/>
          <w:sz w:val="24"/>
        </w:rPr>
        <w:t>4. FAIR PRICE SHOP DEALER COMMISSION AND MARGIN STRUCTURES</w:t>
      </w:r>
    </w:p>
    <w:p>
      <w:r>
        <w:t>4.1 Dealer Margin Rates: Revised FPS dealer commission was enhanced to ₹ 35.00 per quintal for wheat and rice, plus reimbursement of actual transportation charges from FCI godown to FPS premises.</w:t>
      </w:r>
    </w:p>
    <w:p>
      <w:pPr>
        <w:spacing w:before="280" w:after="120"/>
      </w:pPr>
      <w:r>
        <w:rPr>
          <w:b/>
          <w:color w:val="003366"/>
          <w:sz w:val="24"/>
        </w:rPr>
        <w:t>5. PENAL ENFORCEMENT &amp; LICENSE CANCELLATION RULES</w:t>
      </w:r>
    </w:p>
    <w:p>
      <w:r>
        <w:t>5.1 Enforcement Procedures: Irregularities such as short weighing, black marketing, forging beneficiary thumb impressions, or maintaining false stock balances shall attract immediate suspension of license, confiscation of foodgrains under Section 6A of the Essential Commodities Act, 1955, and criminal prosecution under Section 7.</w:t>
      </w:r>
    </w:p>
    <w:p>
      <w:pPr>
        <w:spacing w:before="400"/>
      </w:pPr>
      <w:r>
        <w:rPr>
          <w:i/>
        </w:rPr>
        <w:t>By Order and in the Name of the Lt. Governor:</w:t>
        <w:br/>
        <w:br/>
        <w:br/>
      </w:r>
      <w:r>
        <w:rPr>
          <w:b/>
        </w:rPr>
        <w:t>(L. T. KIBOI / ANURAG GOEL)</w:t>
        <w:br/>
      </w:r>
      <w:r>
        <w:t>Commissioner-cum-Secretary (Food &amp; Civil Supplies)</w:t>
        <w:br/>
      </w:r>
      <w:r>
        <w:t>Dept of Food, Supplies &amp; Consumer Affairs, GNCTD,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