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8B0000"/>
          <w:sz w:val="24"/>
        </w:rPr>
        <w:t>Section: exemption_guidelines_sec8</w:t>
      </w:r>
    </w:p>
    <w:p>
      <w:pPr>
        <w:jc w:val="center"/>
      </w:pPr>
      <w:r>
        <w:rPr>
          <w:b/>
          <w:color w:val="002B49"/>
          <w:sz w:val="26"/>
        </w:rPr>
        <w:t>MINISTRY OF HOME AFFAIRS &amp; PRIME MINISTER'S OFFICE</w:t>
        <w:br/>
      </w:r>
      <w:r>
        <w:rPr>
          <w:color w:val="555555"/>
          <w:sz w:val="20"/>
        </w:rPr>
        <w:t>RIGHT TO INFORMATION &amp; LEGAL CELL, NORTH BLOCK / SOUTH BLOCK</w:t>
        <w:br/>
      </w:r>
      <w:r>
        <w:rPr>
          <w:b/>
          <w:sz w:val="19"/>
        </w:rPr>
        <w:t>NEW DELHI - 110001</w:t>
        <w:br/>
      </w:r>
    </w:p>
    <w:p>
      <w:r>
        <w:rPr>
          <w:b/>
        </w:rPr>
        <w:t>File Ref. No.: MHA/RTI/SEC8-GUIDE/2011/CIR-03</w:t>
      </w:r>
      <w:r>
        <w:tab/>
        <w:tab/>
        <w:tab/>
        <w:tab/>
        <w:tab/>
        <w:t>Dated: 05th May 2011</w:t>
      </w:r>
    </w:p>
    <w:p>
      <w:pPr>
        <w:spacing w:after="240"/>
      </w:pPr>
      <w:r>
        <w:rPr>
          <w:color w:val="999999"/>
        </w:rPr>
        <w:t>――――――――――――――――――――――――――――――――――――――――――――――――――――――――――</w:t>
      </w:r>
    </w:p>
    <w:p>
      <w:r>
        <w:rPr>
          <w:b/>
          <w:color w:val="002B49"/>
          <w:sz w:val="26"/>
        </w:rPr>
        <w:t>STATUTORY DIRECTIVES AND EXPLANATORY GUIDELINES ON APPLICATION OF SECTION 8 EXEMPTIONS UNDER THE RIGHT TO INFORMATION ACT, 2005</w:t>
        <w:br/>
      </w:r>
      <w:r>
        <w:rPr>
          <w:i/>
          <w:sz w:val="21"/>
        </w:rPr>
        <w:t>SUBJECT: Comprehensive Legal Manual on Invoking Section 8(1)(a) (National Sovereignty, Security &amp; Foreign Relations), Section 8(1)(a) Exemption Rules for Classified Historical Files, Official Secrets Act (1923) Interplay, Public Interest Balancing under Section 8(2), 20-Year Public Record Rule under Section 8(3), and Routine RTI Transfer Protocols under Section 6(3).</w:t>
      </w:r>
    </w:p>
    <w:p>
      <w:pPr>
        <w:spacing w:before="280" w:after="120"/>
      </w:pPr>
      <w:r>
        <w:rPr>
          <w:b/>
          <w:color w:val="002B49"/>
          <w:sz w:val="24"/>
        </w:rPr>
        <w:t>1. STATUTORY ARCHITECTURE &amp; MANDATE OF SECTION 8</w:t>
      </w:r>
    </w:p>
    <w:p>
      <w:r>
        <w:t>1.1 The Right to Information Act, 2005 (Act No. 22 of 2005) provides a statutory framework for transparency in public administration. However, Section 8 of the Act explicitly recognizes that certain categories of vital executive information must be protected from public disclosure to safeguard paramount national interests, state security, diplomatic trust, and individual rights.</w:t>
      </w:r>
    </w:p>
    <w:p>
      <w:r>
        <w:t>1.2 Central Public Information Officers (CPIOs) in the PMO and MHA are required to exercise judicious legal care when applying statutory exemption clauses, ensuring that exemptions are cited with detailed reasoned speaking orders rather than generic boilerplate refusals.</w:t>
      </w:r>
    </w:p>
    <w:p>
      <w:pPr>
        <w:spacing w:before="280" w:after="120"/>
      </w:pPr>
      <w:r>
        <w:rPr>
          <w:b/>
          <w:color w:val="002B49"/>
          <w:sz w:val="24"/>
        </w:rPr>
        <w:t>2. COMPREHENSIVE SECTION 8 EXEMPTION MATRIX (TABLE)</w:t>
      </w:r>
    </w:p>
    <w:p>
      <w:r>
        <w:t>2.1 Statutory Breakdown of Exemption Provisions under Section 8(1) of the RTI Act, 2005:</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002B49"/>
          </w:tcPr>
          <w:p>
            <w:pPr>
              <w:jc w:val="center"/>
            </w:pPr>
            <w:r>
              <w:rPr>
                <w:b/>
                <w:color w:val="FFFFFF"/>
                <w:sz w:val="18"/>
              </w:rPr>
              <w:t>Exemption Provision</w:t>
            </w:r>
          </w:p>
        </w:tc>
        <w:tc>
          <w:tcPr>
            <w:tcW w:type="dxa" w:w="2340"/>
            <w:shd w:fill="002B49"/>
          </w:tcPr>
          <w:p>
            <w:pPr>
              <w:jc w:val="center"/>
            </w:pPr>
            <w:r>
              <w:rPr>
                <w:b/>
                <w:color w:val="FFFFFF"/>
                <w:sz w:val="18"/>
              </w:rPr>
              <w:t>Legal Scope &amp; Statutory Criteria</w:t>
            </w:r>
          </w:p>
        </w:tc>
        <w:tc>
          <w:tcPr>
            <w:tcW w:type="dxa" w:w="2340"/>
            <w:shd w:fill="002B49"/>
          </w:tcPr>
          <w:p>
            <w:pPr>
              <w:jc w:val="center"/>
            </w:pPr>
            <w:r>
              <w:rPr>
                <w:b/>
                <w:color w:val="FFFFFF"/>
                <w:sz w:val="18"/>
              </w:rPr>
              <w:t>Departmental Custodian Standard</w:t>
            </w:r>
          </w:p>
        </w:tc>
        <w:tc>
          <w:tcPr>
            <w:tcW w:type="dxa" w:w="2340"/>
            <w:shd w:fill="002B49"/>
          </w:tcPr>
          <w:p>
            <w:pPr>
              <w:jc w:val="center"/>
            </w:pPr>
            <w:r>
              <w:rPr>
                <w:b/>
                <w:color w:val="FFFFFF"/>
                <w:sz w:val="18"/>
              </w:rPr>
              <w:t>Public Interest Balancing Exception</w:t>
            </w:r>
          </w:p>
        </w:tc>
      </w:tr>
      <w:tr>
        <w:tc>
          <w:tcPr>
            <w:tcW w:type="dxa" w:w="2340"/>
            <w:shd w:fill="F4F7FA"/>
          </w:tcPr>
          <w:p>
            <w:pPr>
              <w:jc w:val="left"/>
            </w:pPr>
            <w:r>
              <w:rPr>
                <w:sz w:val="17"/>
              </w:rPr>
              <w:t>Section 8(1)(a)</w:t>
            </w:r>
          </w:p>
        </w:tc>
        <w:tc>
          <w:tcPr>
            <w:tcW w:type="dxa" w:w="2340"/>
            <w:shd w:fill="F4F7FA"/>
          </w:tcPr>
          <w:p>
            <w:pPr>
              <w:jc w:val="left"/>
            </w:pPr>
            <w:r>
              <w:rPr>
                <w:sz w:val="17"/>
              </w:rPr>
              <w:t>Prejudicially affects sovereignty &amp; integrity of India, security, strategic/scientific/economic interests, or relations with foreign State.</w:t>
            </w:r>
          </w:p>
        </w:tc>
        <w:tc>
          <w:tcPr>
            <w:tcW w:type="dxa" w:w="2340"/>
            <w:shd w:fill="F4F7FA"/>
          </w:tcPr>
          <w:p>
            <w:pPr>
              <w:jc w:val="left"/>
            </w:pPr>
            <w:r>
              <w:rPr>
                <w:sz w:val="17"/>
              </w:rPr>
              <w:t>PMO / MHA / MEA / Ministry of Defence</w:t>
            </w:r>
          </w:p>
        </w:tc>
        <w:tc>
          <w:tcPr>
            <w:tcW w:type="dxa" w:w="2340"/>
            <w:shd w:fill="F4F7FA"/>
          </w:tcPr>
          <w:p>
            <w:pPr>
              <w:jc w:val="left"/>
            </w:pPr>
            <w:r>
              <w:rPr>
                <w:sz w:val="17"/>
              </w:rPr>
              <w:t>Subject to Section 8(2) if public interest outweighs harm.</w:t>
            </w:r>
          </w:p>
        </w:tc>
      </w:tr>
      <w:tr>
        <w:tc>
          <w:tcPr>
            <w:tcW w:type="dxa" w:w="2340"/>
            <w:shd w:fill="FFFFFF"/>
          </w:tcPr>
          <w:p>
            <w:pPr>
              <w:jc w:val="left"/>
            </w:pPr>
            <w:r>
              <w:rPr>
                <w:sz w:val="17"/>
              </w:rPr>
              <w:t>Section 8(1)(b)</w:t>
            </w:r>
          </w:p>
        </w:tc>
        <w:tc>
          <w:tcPr>
            <w:tcW w:type="dxa" w:w="2340"/>
            <w:shd w:fill="FFFFFF"/>
          </w:tcPr>
          <w:p>
            <w:pPr>
              <w:jc w:val="left"/>
            </w:pPr>
            <w:r>
              <w:rPr>
                <w:sz w:val="17"/>
              </w:rPr>
              <w:t>Expressly forbidden to be published by court of law or tribunal, or disclosure constitutes contempt of court.</w:t>
            </w:r>
          </w:p>
        </w:tc>
        <w:tc>
          <w:tcPr>
            <w:tcW w:type="dxa" w:w="2340"/>
            <w:shd w:fill="FFFFFF"/>
          </w:tcPr>
          <w:p>
            <w:pPr>
              <w:jc w:val="left"/>
            </w:pPr>
            <w:r>
              <w:rPr>
                <w:sz w:val="17"/>
              </w:rPr>
              <w:t>Legal Cell / Judicial Registries</w:t>
            </w:r>
          </w:p>
        </w:tc>
        <w:tc>
          <w:tcPr>
            <w:tcW w:type="dxa" w:w="2340"/>
            <w:shd w:fill="FFFFFF"/>
          </w:tcPr>
          <w:p>
            <w:pPr>
              <w:jc w:val="left"/>
            </w:pPr>
            <w:r>
              <w:rPr>
                <w:sz w:val="17"/>
              </w:rPr>
              <w:t>Absolute statutory bar.</w:t>
            </w:r>
          </w:p>
        </w:tc>
      </w:tr>
      <w:tr>
        <w:tc>
          <w:tcPr>
            <w:tcW w:type="dxa" w:w="2340"/>
            <w:shd w:fill="F4F7FA"/>
          </w:tcPr>
          <w:p>
            <w:pPr>
              <w:jc w:val="left"/>
            </w:pPr>
            <w:r>
              <w:rPr>
                <w:sz w:val="17"/>
              </w:rPr>
              <w:t>Section 8(1)(c)</w:t>
            </w:r>
          </w:p>
        </w:tc>
        <w:tc>
          <w:tcPr>
            <w:tcW w:type="dxa" w:w="2340"/>
            <w:shd w:fill="F4F7FA"/>
          </w:tcPr>
          <w:p>
            <w:pPr>
              <w:jc w:val="left"/>
            </w:pPr>
            <w:r>
              <w:rPr>
                <w:sz w:val="17"/>
              </w:rPr>
              <w:t>Disclosure causes breach of privilege of Parliament or State Legislature.</w:t>
            </w:r>
          </w:p>
        </w:tc>
        <w:tc>
          <w:tcPr>
            <w:tcW w:type="dxa" w:w="2340"/>
            <w:shd w:fill="F4F7FA"/>
          </w:tcPr>
          <w:p>
            <w:pPr>
              <w:jc w:val="left"/>
            </w:pPr>
            <w:r>
              <w:rPr>
                <w:sz w:val="17"/>
              </w:rPr>
              <w:t>Parliamentary Affairs Division</w:t>
            </w:r>
          </w:p>
        </w:tc>
        <w:tc>
          <w:tcPr>
            <w:tcW w:type="dxa" w:w="2340"/>
            <w:shd w:fill="F4F7FA"/>
          </w:tcPr>
          <w:p>
            <w:pPr>
              <w:jc w:val="left"/>
            </w:pPr>
            <w:r>
              <w:rPr>
                <w:sz w:val="17"/>
              </w:rPr>
              <w:t>Legislative Committee jurisdiction.</w:t>
            </w:r>
          </w:p>
        </w:tc>
      </w:tr>
      <w:tr>
        <w:tc>
          <w:tcPr>
            <w:tcW w:type="dxa" w:w="2340"/>
            <w:shd w:fill="FFFFFF"/>
          </w:tcPr>
          <w:p>
            <w:pPr>
              <w:jc w:val="left"/>
            </w:pPr>
            <w:r>
              <w:rPr>
                <w:sz w:val="17"/>
              </w:rPr>
              <w:t>Section 8(1)(d)</w:t>
            </w:r>
          </w:p>
        </w:tc>
        <w:tc>
          <w:tcPr>
            <w:tcW w:type="dxa" w:w="2340"/>
            <w:shd w:fill="FFFFFF"/>
          </w:tcPr>
          <w:p>
            <w:pPr>
              <w:jc w:val="left"/>
            </w:pPr>
            <w:r>
              <w:rPr>
                <w:sz w:val="17"/>
              </w:rPr>
              <w:t>Commercial confidence, trade secrets, IP, where disclosure harms competitive position.</w:t>
            </w:r>
          </w:p>
        </w:tc>
        <w:tc>
          <w:tcPr>
            <w:tcW w:type="dxa" w:w="2340"/>
            <w:shd w:fill="FFFFFF"/>
          </w:tcPr>
          <w:p>
            <w:pPr>
              <w:jc w:val="left"/>
            </w:pPr>
            <w:r>
              <w:rPr>
                <w:sz w:val="17"/>
              </w:rPr>
              <w:t>Commerce / Finance / Defense Procurement</w:t>
            </w:r>
          </w:p>
        </w:tc>
        <w:tc>
          <w:tcPr>
            <w:tcW w:type="dxa" w:w="2340"/>
            <w:shd w:fill="FFFFFF"/>
          </w:tcPr>
          <w:p>
            <w:pPr>
              <w:jc w:val="left"/>
            </w:pPr>
            <w:r>
              <w:rPr>
                <w:sz w:val="17"/>
              </w:rPr>
              <w:t>Competent Authority public interest waiver.</w:t>
            </w:r>
          </w:p>
        </w:tc>
      </w:tr>
      <w:tr>
        <w:tc>
          <w:tcPr>
            <w:tcW w:type="dxa" w:w="2340"/>
            <w:shd w:fill="F4F7FA"/>
          </w:tcPr>
          <w:p>
            <w:pPr>
              <w:jc w:val="left"/>
            </w:pPr>
            <w:r>
              <w:rPr>
                <w:sz w:val="17"/>
              </w:rPr>
              <w:t>Section 8(1)(e)</w:t>
            </w:r>
          </w:p>
        </w:tc>
        <w:tc>
          <w:tcPr>
            <w:tcW w:type="dxa" w:w="2340"/>
            <w:shd w:fill="F4F7FA"/>
          </w:tcPr>
          <w:p>
            <w:pPr>
              <w:jc w:val="left"/>
            </w:pPr>
            <w:r>
              <w:rPr>
                <w:sz w:val="17"/>
              </w:rPr>
              <w:t>Information available to a person in his fiduciary relationship.</w:t>
            </w:r>
          </w:p>
        </w:tc>
        <w:tc>
          <w:tcPr>
            <w:tcW w:type="dxa" w:w="2340"/>
            <w:shd w:fill="F4F7FA"/>
          </w:tcPr>
          <w:p>
            <w:pPr>
              <w:jc w:val="left"/>
            </w:pPr>
            <w:r>
              <w:rPr>
                <w:sz w:val="17"/>
              </w:rPr>
              <w:t>CJI Office / Executive Advisory Bodies</w:t>
            </w:r>
          </w:p>
        </w:tc>
        <w:tc>
          <w:tcPr>
            <w:tcW w:type="dxa" w:w="2340"/>
            <w:shd w:fill="F4F7FA"/>
          </w:tcPr>
          <w:p>
            <w:pPr>
              <w:jc w:val="left"/>
            </w:pPr>
            <w:r>
              <w:rPr>
                <w:sz w:val="17"/>
              </w:rPr>
              <w:t>Competent Authority waiver.</w:t>
            </w:r>
          </w:p>
        </w:tc>
      </w:tr>
      <w:tr>
        <w:tc>
          <w:tcPr>
            <w:tcW w:type="dxa" w:w="2340"/>
            <w:shd w:fill="FFFFFF"/>
          </w:tcPr>
          <w:p>
            <w:pPr>
              <w:jc w:val="left"/>
            </w:pPr>
            <w:r>
              <w:rPr>
                <w:sz w:val="17"/>
              </w:rPr>
              <w:t>Section 8(1)(j)</w:t>
            </w:r>
          </w:p>
        </w:tc>
        <w:tc>
          <w:tcPr>
            <w:tcW w:type="dxa" w:w="2340"/>
            <w:shd w:fill="FFFFFF"/>
          </w:tcPr>
          <w:p>
            <w:pPr>
              <w:jc w:val="left"/>
            </w:pPr>
            <w:r>
              <w:rPr>
                <w:sz w:val="17"/>
              </w:rPr>
              <w:t>Personal information with no public activity/interest, or causes unwarranted invasion of privacy.</w:t>
            </w:r>
          </w:p>
        </w:tc>
        <w:tc>
          <w:tcPr>
            <w:tcW w:type="dxa" w:w="2340"/>
            <w:shd w:fill="FFFFFF"/>
          </w:tcPr>
          <w:p>
            <w:pPr>
              <w:jc w:val="left"/>
            </w:pPr>
            <w:r>
              <w:rPr>
                <w:sz w:val="17"/>
              </w:rPr>
              <w:t>Administration / Establishment Wings</w:t>
            </w:r>
          </w:p>
        </w:tc>
        <w:tc>
          <w:tcPr>
            <w:tcW w:type="dxa" w:w="2340"/>
            <w:shd w:fill="FFFFFF"/>
          </w:tcPr>
          <w:p>
            <w:pPr>
              <w:jc w:val="left"/>
            </w:pPr>
            <w:r>
              <w:rPr>
                <w:sz w:val="17"/>
              </w:rPr>
              <w:t>CPIO / FAA public interest determination.</w:t>
            </w:r>
          </w:p>
        </w:tc>
      </w:tr>
    </w:tbl>
    <w:p>
      <w:pPr>
        <w:spacing w:before="280" w:after="120"/>
      </w:pPr>
      <w:r>
        <w:rPr>
          <w:b/>
          <w:color w:val="002B49"/>
          <w:sz w:val="24"/>
        </w:rPr>
        <w:t>3. DETAILED GUIDANCE ON SECTION 8(1)(a): SOVEREIGNTY, SECURITY, &amp; FOREIGN RELATIONS</w:t>
      </w:r>
    </w:p>
    <w:p>
      <w:r>
        <w:t>3.1 Relations with Foreign States: Information whose release could impair diplomatic trust, breach bilateral non-disclosure agreements, or create international controversy with friendly foreign governments must be protected under Section 8(1)(a).</w:t>
      </w:r>
    </w:p>
    <w:p>
      <w:r>
        <w:t>3.2 Official Secrets Act (OSA), 1923 Interplay: While Section 22 of the RTI Act gives overriding effect to RTI provisions over the Official Secrets Act, CPIOs must note that records classified 'Top Secret' or 'Secret' concerning defense installations, intelligence gathering, or sovereign diplomatic notes remain protected under Section 8(1)(a).</w:t>
      </w:r>
    </w:p>
    <w:p>
      <w:pPr>
        <w:spacing w:before="280" w:after="120"/>
      </w:pPr>
      <w:r>
        <w:rPr>
          <w:b/>
          <w:color w:val="002B49"/>
          <w:sz w:val="24"/>
        </w:rPr>
        <w:t>4. APPLICATION OF SECTION 8(1)(a) TO HISTORICAL / CLASSIFIED FILES (NETAJI / INA FILES)</w:t>
      </w:r>
    </w:p>
    <w:p>
      <w:r>
        <w:t>4.1 Application to Netaji Subhas Chandra Bose Files: Multiple RTI applications (e.g., filed by Anuj Dhar, Sukhendu Sekhar Roy, and Mission Netaji) seeking complete declassification of PMO NGO Section files (File No. 23(156)/51-PM) and Ministry of External Affairs records have been repeatedly evaluated under Section 8(1)(a).</w:t>
      </w:r>
    </w:p>
    <w:p>
      <w:r>
        <w:t>4.2 The official stance maintained by the CPIO, PMO / MHA is that certain unverified historical dossiers contain sensitive diplomatic communications, the premature disclosure of which may prejudicially affect relations with foreign states (including the United Kingdom, Russia, and Japan). Until a formal comprehensive executive declassification decision is taken by the Cabinet, Section 8(1)(a) remains the applicable legal exemption.</w:t>
      </w:r>
    </w:p>
    <w:p>
      <w:pPr>
        <w:spacing w:before="280" w:after="120"/>
      </w:pPr>
      <w:r>
        <w:rPr>
          <w:b/>
          <w:color w:val="002B49"/>
          <w:sz w:val="24"/>
        </w:rPr>
        <w:t>5. THE 20-YEAR RULE UNDER SECTION 8(3) &amp; SECTION 8(2) PUBLIC INTEREST OVERRIDE</w:t>
      </w:r>
    </w:p>
    <w:p>
      <w:r>
        <w:t>5.1 Section 8(3) Provisions: Subject to clauses (a), (c), and (i) of Section 8(1), any information relating to any matter or event which occurred twenty years before the date of request shall be provided. Crucially, CPIOs must remember that Section 8(1)(a) is explicitly EXEMPTED from the 20-year declassification mandate under Section 8(3). Thus, records affecting national security or foreign relations can be withheld even if older than 20 years.</w:t>
      </w:r>
    </w:p>
    <w:p>
      <w:r>
        <w:t>5.2 Section 8(2) Public Interest Test: Notwithstanding the Official Secrets Act or Section 8(1) exemptions, a public authority may allow access to information if public interest in disclosure outweighs the harm to protected interests.</w:t>
      </w:r>
    </w:p>
    <w:p>
      <w:pPr>
        <w:spacing w:before="280" w:after="120"/>
      </w:pPr>
      <w:r>
        <w:rPr>
          <w:b/>
          <w:color w:val="002B49"/>
          <w:sz w:val="24"/>
        </w:rPr>
        <w:t>6. ROUTINE RTI PROCESSING &amp; SECTION 6(3) TRANSFER PROTOCOLS</w:t>
      </w:r>
    </w:p>
    <w:p>
      <w:r>
        <w:t>6.1 Section 6(3) Transfers: Where an application is made to PMO / MHA seeking information held by another public authority (e.g., Ministry of External Affairs, National Archives of India, or Central Board of Direct Taxes), the CPIO must transfer the application within 5 days.</w:t>
      </w:r>
    </w:p>
    <w:p>
      <w:pPr>
        <w:spacing w:before="400"/>
      </w:pPr>
      <w:r>
        <w:rPr>
          <w:i/>
        </w:rPr>
        <w:t>Issued by Order of the Minister:</w:t>
        <w:br/>
        <w:br/>
        <w:br/>
      </w:r>
      <w:r>
        <w:rPr>
          <w:b/>
        </w:rPr>
        <w:t>(L. K. JOSHI / DR. S. K. PANDA)</w:t>
        <w:br/>
      </w:r>
      <w:r>
        <w:t>Secretary (Nodal RTI &amp; Legal Division)</w:t>
        <w:br/>
      </w:r>
      <w:r>
        <w:t>Ministry of Home Affairs &amp; PMO, New Delhi</w:t>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