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intergovt_correspondence_notes</w:t>
      </w:r>
    </w:p>
    <w:p>
      <w:pPr>
        <w:jc w:val="center"/>
      </w:pPr>
      <w:r>
        <w:rPr>
          <w:b/>
          <w:color w:val="002B49"/>
          <w:sz w:val="26"/>
        </w:rPr>
        <w:t>MINISTRY OF HOME AFFAIRS &amp; PRIME MINISTER'S OFFICE</w:t>
        <w:br/>
      </w:r>
      <w:r>
        <w:rPr>
          <w:color w:val="555555"/>
          <w:sz w:val="20"/>
        </w:rPr>
        <w:t>EXTERNAL RELATIONS, DIPLOMATIC CORRESPONDENCE &amp; SECURITY WING</w:t>
        <w:br/>
      </w:r>
      <w:r>
        <w:rPr>
          <w:b/>
          <w:sz w:val="19"/>
        </w:rPr>
        <w:t>NORTH BLOCK / SOUTH BLOCK, NEW DELHI - 110001</w:t>
        <w:br/>
      </w:r>
    </w:p>
    <w:p>
      <w:r>
        <w:rPr>
          <w:b/>
        </w:rPr>
        <w:t>File Ref. No.: MHA/PMO-EXT/2013/IGN-078</w:t>
      </w:r>
      <w:r>
        <w:tab/>
        <w:tab/>
        <w:tab/>
        <w:tab/>
        <w:tab/>
        <w:t>Dated: 22nd January 2013</w:t>
      </w:r>
    </w:p>
    <w:p>
      <w:pPr>
        <w:spacing w:after="240"/>
      </w:pPr>
      <w:r>
        <w:rPr>
          <w:color w:val="999999"/>
        </w:rPr>
        <w:t>――――――――――――――――――――――――――――――――――――――――――――――――――――――――――</w:t>
      </w:r>
    </w:p>
    <w:p>
      <w:r>
        <w:rPr>
          <w:b/>
          <w:color w:val="002B49"/>
          <w:sz w:val="26"/>
        </w:rPr>
        <w:t>CONFIDENTIAL OFFICE MEMORANDUM &amp; COMPENDIUM OF INTER-GOVERNMENTAL CORRESPONDENCE</w:t>
        <w:br/>
      </w:r>
      <w:r>
        <w:rPr>
          <w:i/>
          <w:sz w:val="21"/>
        </w:rPr>
        <w:t>SUBJECT: Diplomatic Notes Verbales, MEA Advisory Advice Notes on Foreign Relations Sensitivity (UK, Russia/USSR, Japan, Taiwan), Inter-Departmental Security Reviews, SAARC Security Consultations, and Protocol Logistics.</w:t>
      </w:r>
    </w:p>
    <w:p>
      <w:pPr>
        <w:spacing w:before="280" w:after="120"/>
      </w:pPr>
      <w:r>
        <w:rPr>
          <w:b/>
          <w:color w:val="002B49"/>
          <w:sz w:val="24"/>
        </w:rPr>
        <w:t>1. DIPLOMATIC AND FOREIGN RELATIONS ASSESSMENTS</w:t>
      </w:r>
    </w:p>
    <w:p>
      <w:r>
        <w:t>1.1 In the evaluation of requests for the public disclosure or declassification of historical executive records, the Prime Minister's Office and Ministry of Home Affairs regularly consult the Ministry of External Affairs (MEA) to assess potential repercussions on bilateral relations with foreign sovereign states.</w:t>
      </w:r>
    </w:p>
    <w:p>
      <w:r>
        <w:t>1.2 Administrative advice provided by the MEA underlines that diplomatic exchanges, intelligence sharing notes, and official correspondence with foreign governments are governed by international legal conventions and reciprocal confidentiality understandings.</w:t>
      </w:r>
    </w:p>
    <w:p>
      <w:pPr>
        <w:spacing w:before="280" w:after="120"/>
      </w:pPr>
      <w:r>
        <w:rPr>
          <w:b/>
          <w:color w:val="002B49"/>
          <w:sz w:val="24"/>
        </w:rPr>
        <w:t>2. COMPENDIUM OF INTER-GOVERNMENTAL DISPATCHES (TABLE)</w:t>
      </w:r>
    </w:p>
    <w:p>
      <w:r>
        <w:t>2.1 Log of Select Inter-Governmental Notes and Diplomatic Advisory Inputs (2006–2012):</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2B49"/>
          </w:tcPr>
          <w:p>
            <w:pPr>
              <w:jc w:val="center"/>
            </w:pPr>
            <w:r>
              <w:rPr>
                <w:b/>
                <w:color w:val="FFFFFF"/>
                <w:sz w:val="18"/>
              </w:rPr>
              <w:t>Dispatch Ref / Note ID</w:t>
            </w:r>
          </w:p>
        </w:tc>
        <w:tc>
          <w:tcPr>
            <w:tcW w:type="dxa" w:w="1872"/>
            <w:shd w:fill="002B49"/>
          </w:tcPr>
          <w:p>
            <w:pPr>
              <w:jc w:val="center"/>
            </w:pPr>
            <w:r>
              <w:rPr>
                <w:b/>
                <w:color w:val="FFFFFF"/>
                <w:sz w:val="18"/>
              </w:rPr>
              <w:t>Subject Matter / Jurisdiction</w:t>
            </w:r>
          </w:p>
        </w:tc>
        <w:tc>
          <w:tcPr>
            <w:tcW w:type="dxa" w:w="1872"/>
            <w:shd w:fill="002B49"/>
          </w:tcPr>
          <w:p>
            <w:pPr>
              <w:jc w:val="center"/>
            </w:pPr>
            <w:r>
              <w:rPr>
                <w:b/>
                <w:color w:val="FFFFFF"/>
                <w:sz w:val="18"/>
              </w:rPr>
              <w:t>Originating &amp; Receiving Depts</w:t>
            </w:r>
          </w:p>
        </w:tc>
        <w:tc>
          <w:tcPr>
            <w:tcW w:type="dxa" w:w="1872"/>
            <w:shd w:fill="002B49"/>
          </w:tcPr>
          <w:p>
            <w:pPr>
              <w:jc w:val="center"/>
            </w:pPr>
            <w:r>
              <w:rPr>
                <w:b/>
                <w:color w:val="FFFFFF"/>
                <w:sz w:val="18"/>
              </w:rPr>
              <w:t>Sensitivity Assessment</w:t>
            </w:r>
          </w:p>
        </w:tc>
        <w:tc>
          <w:tcPr>
            <w:tcW w:type="dxa" w:w="1872"/>
            <w:shd w:fill="002B49"/>
          </w:tcPr>
          <w:p>
            <w:pPr>
              <w:jc w:val="center"/>
            </w:pPr>
            <w:r>
              <w:rPr>
                <w:b/>
                <w:color w:val="FFFFFF"/>
                <w:sz w:val="18"/>
              </w:rPr>
              <w:t>RTI / Public Release Determination</w:t>
            </w:r>
          </w:p>
        </w:tc>
      </w:tr>
      <w:tr>
        <w:tc>
          <w:tcPr>
            <w:tcW w:type="dxa" w:w="1872"/>
            <w:shd w:fill="F4F7FA"/>
          </w:tcPr>
          <w:p>
            <w:pPr>
              <w:jc w:val="left"/>
            </w:pPr>
            <w:r>
              <w:rPr>
                <w:sz w:val="17"/>
              </w:rPr>
              <w:t>Note Verbal MEA/UK/2006/89</w:t>
            </w:r>
          </w:p>
        </w:tc>
        <w:tc>
          <w:tcPr>
            <w:tcW w:type="dxa" w:w="1872"/>
            <w:shd w:fill="F4F7FA"/>
          </w:tcPr>
          <w:p>
            <w:pPr>
              <w:jc w:val="left"/>
            </w:pPr>
            <w:r>
              <w:rPr>
                <w:sz w:val="17"/>
              </w:rPr>
              <w:t>Inquiry regarding British Foreign Office archives on INA Treasure &amp; Netaji records</w:t>
            </w:r>
          </w:p>
        </w:tc>
        <w:tc>
          <w:tcPr>
            <w:tcW w:type="dxa" w:w="1872"/>
            <w:shd w:fill="F4F7FA"/>
          </w:tcPr>
          <w:p>
            <w:pPr>
              <w:jc w:val="center"/>
            </w:pPr>
            <w:r>
              <w:rPr>
                <w:sz w:val="17"/>
              </w:rPr>
              <w:t>MEA (Eurasia / Europe West) to PMO</w:t>
            </w:r>
          </w:p>
        </w:tc>
        <w:tc>
          <w:tcPr>
            <w:tcW w:type="dxa" w:w="1872"/>
            <w:shd w:fill="F4F7FA"/>
          </w:tcPr>
          <w:p>
            <w:pPr>
              <w:jc w:val="center"/>
            </w:pPr>
            <w:r>
              <w:rPr>
                <w:sz w:val="17"/>
              </w:rPr>
              <w:t>High Foreign Relations Sensitivity</w:t>
            </w:r>
          </w:p>
        </w:tc>
        <w:tc>
          <w:tcPr>
            <w:tcW w:type="dxa" w:w="1872"/>
            <w:shd w:fill="F4F7FA"/>
          </w:tcPr>
          <w:p>
            <w:pPr>
              <w:jc w:val="left"/>
            </w:pPr>
            <w:r>
              <w:rPr>
                <w:sz w:val="17"/>
              </w:rPr>
              <w:t>Withheld under Sec 8(1)(a) RTI Act.</w:t>
            </w:r>
          </w:p>
        </w:tc>
      </w:tr>
      <w:tr>
        <w:tc>
          <w:tcPr>
            <w:tcW w:type="dxa" w:w="1872"/>
            <w:shd w:fill="FFFFFF"/>
          </w:tcPr>
          <w:p>
            <w:pPr>
              <w:jc w:val="left"/>
            </w:pPr>
            <w:r>
              <w:rPr>
                <w:sz w:val="17"/>
              </w:rPr>
              <w:t>Memo MHA/INT/2011/402</w:t>
            </w:r>
          </w:p>
        </w:tc>
        <w:tc>
          <w:tcPr>
            <w:tcW w:type="dxa" w:w="1872"/>
            <w:shd w:fill="FFFFFF"/>
          </w:tcPr>
          <w:p>
            <w:pPr>
              <w:jc w:val="left"/>
            </w:pPr>
            <w:r>
              <w:rPr>
                <w:sz w:val="17"/>
              </w:rPr>
              <w:t>Joint Border Security Operations &amp; Intelligence Sharing with Myanmar</w:t>
            </w:r>
          </w:p>
        </w:tc>
        <w:tc>
          <w:tcPr>
            <w:tcW w:type="dxa" w:w="1872"/>
            <w:shd w:fill="FFFFFF"/>
          </w:tcPr>
          <w:p>
            <w:pPr>
              <w:jc w:val="center"/>
            </w:pPr>
            <w:r>
              <w:rPr>
                <w:sz w:val="17"/>
              </w:rPr>
              <w:t>MHA (Internal Security) to MEA</w:t>
            </w:r>
          </w:p>
        </w:tc>
        <w:tc>
          <w:tcPr>
            <w:tcW w:type="dxa" w:w="1872"/>
            <w:shd w:fill="FFFFFF"/>
          </w:tcPr>
          <w:p>
            <w:pPr>
              <w:jc w:val="center"/>
            </w:pPr>
            <w:r>
              <w:rPr>
                <w:sz w:val="17"/>
              </w:rPr>
              <w:t>Operational Security Risk</w:t>
            </w:r>
          </w:p>
        </w:tc>
        <w:tc>
          <w:tcPr>
            <w:tcW w:type="dxa" w:w="1872"/>
            <w:shd w:fill="FFFFFF"/>
          </w:tcPr>
          <w:p>
            <w:pPr>
              <w:jc w:val="left"/>
            </w:pPr>
            <w:r>
              <w:rPr>
                <w:sz w:val="17"/>
              </w:rPr>
              <w:t>Withheld under Sec 8(1)(a).</w:t>
            </w:r>
          </w:p>
        </w:tc>
      </w:tr>
      <w:tr>
        <w:tc>
          <w:tcPr>
            <w:tcW w:type="dxa" w:w="1872"/>
            <w:shd w:fill="F4F7FA"/>
          </w:tcPr>
          <w:p>
            <w:pPr>
              <w:jc w:val="left"/>
            </w:pPr>
            <w:r>
              <w:rPr>
                <w:sz w:val="17"/>
              </w:rPr>
              <w:t>Note MEA/RUS/2009/112</w:t>
            </w:r>
          </w:p>
        </w:tc>
        <w:tc>
          <w:tcPr>
            <w:tcW w:type="dxa" w:w="1872"/>
            <w:shd w:fill="F4F7FA"/>
          </w:tcPr>
          <w:p>
            <w:pPr>
              <w:jc w:val="left"/>
            </w:pPr>
            <w:r>
              <w:rPr>
                <w:sz w:val="17"/>
              </w:rPr>
              <w:t>Diplomatic Note to Russian Foreign Ministry regarding alleged post-1945 archival records</w:t>
            </w:r>
          </w:p>
        </w:tc>
        <w:tc>
          <w:tcPr>
            <w:tcW w:type="dxa" w:w="1872"/>
            <w:shd w:fill="F4F7FA"/>
          </w:tcPr>
          <w:p>
            <w:pPr>
              <w:jc w:val="center"/>
            </w:pPr>
            <w:r>
              <w:rPr>
                <w:sz w:val="17"/>
              </w:rPr>
              <w:t>MEA to Russian Embassy / PMO</w:t>
            </w:r>
          </w:p>
        </w:tc>
        <w:tc>
          <w:tcPr>
            <w:tcW w:type="dxa" w:w="1872"/>
            <w:shd w:fill="F4F7FA"/>
          </w:tcPr>
          <w:p>
            <w:pPr>
              <w:jc w:val="center"/>
            </w:pPr>
            <w:r>
              <w:rPr>
                <w:sz w:val="17"/>
              </w:rPr>
              <w:t>Bilateral Diplomacy Sensitivity</w:t>
            </w:r>
          </w:p>
        </w:tc>
        <w:tc>
          <w:tcPr>
            <w:tcW w:type="dxa" w:w="1872"/>
            <w:shd w:fill="F4F7FA"/>
          </w:tcPr>
          <w:p>
            <w:pPr>
              <w:jc w:val="left"/>
            </w:pPr>
            <w:r>
              <w:rPr>
                <w:sz w:val="17"/>
              </w:rPr>
              <w:t>Restricted Access; Exemption Maintained.</w:t>
            </w:r>
          </w:p>
        </w:tc>
      </w:tr>
      <w:tr>
        <w:tc>
          <w:tcPr>
            <w:tcW w:type="dxa" w:w="1872"/>
            <w:shd w:fill="FFFFFF"/>
          </w:tcPr>
          <w:p>
            <w:pPr>
              <w:jc w:val="left"/>
            </w:pPr>
            <w:r>
              <w:rPr>
                <w:sz w:val="17"/>
              </w:rPr>
              <w:t>Dispatch PMO/PROT/2012/55</w:t>
            </w:r>
          </w:p>
        </w:tc>
        <w:tc>
          <w:tcPr>
            <w:tcW w:type="dxa" w:w="1872"/>
            <w:shd w:fill="FFFFFF"/>
          </w:tcPr>
          <w:p>
            <w:pPr>
              <w:jc w:val="left"/>
            </w:pPr>
            <w:r>
              <w:rPr>
                <w:sz w:val="17"/>
              </w:rPr>
              <w:t>State Visit Logistics for Commonwealth Heads of Government Meeting (CHOGM)</w:t>
            </w:r>
          </w:p>
        </w:tc>
        <w:tc>
          <w:tcPr>
            <w:tcW w:type="dxa" w:w="1872"/>
            <w:shd w:fill="FFFFFF"/>
          </w:tcPr>
          <w:p>
            <w:pPr>
              <w:jc w:val="center"/>
            </w:pPr>
            <w:r>
              <w:rPr>
                <w:sz w:val="17"/>
              </w:rPr>
              <w:t>PMO Protocol Cell to MEA</w:t>
            </w:r>
          </w:p>
        </w:tc>
        <w:tc>
          <w:tcPr>
            <w:tcW w:type="dxa" w:w="1872"/>
            <w:shd w:fill="FFFFFF"/>
          </w:tcPr>
          <w:p>
            <w:pPr>
              <w:jc w:val="center"/>
            </w:pPr>
            <w:r>
              <w:rPr>
                <w:sz w:val="17"/>
              </w:rPr>
              <w:t>Routine Administrative</w:t>
            </w:r>
          </w:p>
        </w:tc>
        <w:tc>
          <w:tcPr>
            <w:tcW w:type="dxa" w:w="1872"/>
            <w:shd w:fill="FFFFFF"/>
          </w:tcPr>
          <w:p>
            <w:pPr>
              <w:jc w:val="left"/>
            </w:pPr>
            <w:r>
              <w:rPr>
                <w:sz w:val="17"/>
              </w:rPr>
              <w:t>Approved for Public Disclosure.</w:t>
            </w:r>
          </w:p>
        </w:tc>
      </w:tr>
      <w:tr>
        <w:tc>
          <w:tcPr>
            <w:tcW w:type="dxa" w:w="1872"/>
            <w:shd w:fill="F4F7FA"/>
          </w:tcPr>
          <w:p>
            <w:pPr>
              <w:jc w:val="left"/>
            </w:pPr>
            <w:r>
              <w:rPr>
                <w:sz w:val="17"/>
              </w:rPr>
              <w:t>Memo MHA/SAARC/2010/19</w:t>
            </w:r>
          </w:p>
        </w:tc>
        <w:tc>
          <w:tcPr>
            <w:tcW w:type="dxa" w:w="1872"/>
            <w:shd w:fill="F4F7FA"/>
          </w:tcPr>
          <w:p>
            <w:pPr>
              <w:jc w:val="left"/>
            </w:pPr>
            <w:r>
              <w:rPr>
                <w:sz w:val="17"/>
              </w:rPr>
              <w:t>SAARC Regional Convention on Suppression of Terrorism - Implementation Log</w:t>
            </w:r>
          </w:p>
        </w:tc>
        <w:tc>
          <w:tcPr>
            <w:tcW w:type="dxa" w:w="1872"/>
            <w:shd w:fill="F4F7FA"/>
          </w:tcPr>
          <w:p>
            <w:pPr>
              <w:jc w:val="center"/>
            </w:pPr>
            <w:r>
              <w:rPr>
                <w:sz w:val="17"/>
              </w:rPr>
              <w:t>MHA to SAARC Secretariat</w:t>
            </w:r>
          </w:p>
        </w:tc>
        <w:tc>
          <w:tcPr>
            <w:tcW w:type="dxa" w:w="1872"/>
            <w:shd w:fill="F4F7FA"/>
          </w:tcPr>
          <w:p>
            <w:pPr>
              <w:jc w:val="center"/>
            </w:pPr>
            <w:r>
              <w:rPr>
                <w:sz w:val="17"/>
              </w:rPr>
              <w:t>International Security Cooperation</w:t>
            </w:r>
          </w:p>
        </w:tc>
        <w:tc>
          <w:tcPr>
            <w:tcW w:type="dxa" w:w="1872"/>
            <w:shd w:fill="F4F7FA"/>
          </w:tcPr>
          <w:p>
            <w:pPr>
              <w:jc w:val="left"/>
            </w:pPr>
            <w:r>
              <w:rPr>
                <w:sz w:val="17"/>
              </w:rPr>
              <w:t>Partial Disclosure Granted.</w:t>
            </w:r>
          </w:p>
        </w:tc>
      </w:tr>
    </w:tbl>
    <w:p>
      <w:pPr>
        <w:spacing w:before="280" w:after="120"/>
      </w:pPr>
      <w:r>
        <w:rPr>
          <w:b/>
          <w:color w:val="002B49"/>
          <w:sz w:val="24"/>
        </w:rPr>
        <w:t>3. DIPLOMATIC NOTES CONCERNING INA TREASURE &amp; NETAJI ARCHIVAL INQUIRIES</w:t>
      </w:r>
    </w:p>
    <w:p>
      <w:r>
        <w:t>3.1 Communication Ref MEA/EUR/2007/301: The Ministry of External Affairs formally advised PMO that public release of unverified intelligence communications and raw diplomatic dispatches regarding Netaji Subhas Chandra Bose could provoke diplomatic friction with friendly foreign nations (specifically UK, Russia, Japan, and Taiwan) and lead to unwanted misunderstandings regarding historical international commitments.</w:t>
      </w:r>
    </w:p>
    <w:p>
      <w:r>
        <w:t>3.2 Japanese Foreign Ministry Coordination: Record of discussions with the Japanese Embassy in New Delhi regarding custody of artifacts and official records stored at Renkoji Temple in Tokyo. Recommendations highlight the need for careful diplomatic protocols before any physical transfer or public release.</w:t>
      </w:r>
    </w:p>
    <w:p>
      <w:pPr>
        <w:spacing w:before="280" w:after="120"/>
      </w:pPr>
      <w:r>
        <w:rPr>
          <w:b/>
          <w:color w:val="002B49"/>
          <w:sz w:val="24"/>
        </w:rPr>
        <w:t>4. ROUTINE PROTOCOL, DIPLOMATIC BAG LOGS, AND INTERNATIONAL DELEGATIONS</w:t>
      </w:r>
    </w:p>
    <w:p>
      <w:r>
        <w:t>4.1 Diplomatic Courier Logs (FY 2012-13): Tracking registers for classified diplomatic bag movements between South Block and Indian Missions in London, Moscow, Washington DC, and Tokyo. A total of 142 secure bags were dispatched and received without breach.</w:t>
      </w:r>
    </w:p>
    <w:p>
      <w:r>
        <w:t>4.2 International Security Summits: Administrative notes on delegation expenses, bilateral talks logistics, and security escorts provided during the 2012 BRICS Summit held in New Delhi.</w:t>
      </w:r>
    </w:p>
    <w:p>
      <w:pPr>
        <w:spacing w:before="400"/>
      </w:pPr>
      <w:r>
        <w:rPr>
          <w:i/>
        </w:rPr>
        <w:t>Submitted by:</w:t>
        <w:br/>
        <w:br/>
        <w:br/>
      </w:r>
      <w:r>
        <w:rPr>
          <w:b/>
        </w:rPr>
        <w:t>(G. S. BHATIA / T. SHRAN)</w:t>
        <w:br/>
      </w:r>
      <w:r>
        <w:t>Joint Secretary (External Relations &amp; Security)</w:t>
        <w:br/>
      </w:r>
      <w:r>
        <w:t>Ministry of Home Affairs &amp; PMO, New Delhi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