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8B0000"/>
          <w:sz w:val="24"/>
        </w:rPr>
        <w:t>Section: land_allotment_policy</w:t>
      </w:r>
    </w:p>
    <w:p>
      <w:pPr>
        <w:jc w:val="center"/>
      </w:pPr>
      <w:r>
        <w:rPr>
          <w:b/>
          <w:color w:val="002B49"/>
          <w:sz w:val="26"/>
        </w:rPr>
        <w:t>MINISTRY OF DEFENCE &amp; DIRECTORATE GENERAL DEFENCE ESTATES</w:t>
        <w:br/>
      </w:r>
      <w:r>
        <w:rPr>
          <w:color w:val="555555"/>
          <w:sz w:val="20"/>
        </w:rPr>
        <w:t>LAND POLICY, POLICY REGULATION &amp; CANTONMENT MANAGEMENT DIVISION</w:t>
        <w:br/>
      </w:r>
      <w:r>
        <w:rPr>
          <w:b/>
          <w:sz w:val="19"/>
        </w:rPr>
        <w:t>SOUTH BLOCK, NEW DELHI - 110011</w:t>
        <w:br/>
      </w:r>
    </w:p>
    <w:p>
      <w:r>
        <w:rPr>
          <w:b/>
        </w:rPr>
        <w:t>File Ref. No.: MoD/DGDE/POL/LAND-MGT/2011/CIRC-02</w:t>
      </w:r>
      <w:r>
        <w:tab/>
        <w:tab/>
        <w:tab/>
        <w:tab/>
        <w:tab/>
        <w:t>Dated: 14th February 2011</w:t>
      </w:r>
    </w:p>
    <w:p>
      <w:pPr>
        <w:spacing w:after="240"/>
      </w:pPr>
      <w:r>
        <w:rPr>
          <w:color w:val="999999"/>
        </w:rPr>
        <w:t>――――――――――――――――――――――――――――――――――――――――――――――――――――――――――</w:t>
      </w:r>
    </w:p>
    <w:p>
      <w:r>
        <w:rPr>
          <w:b/>
          <w:color w:val="002B49"/>
          <w:sz w:val="26"/>
        </w:rPr>
        <w:t>STATUTORY POLICY MANUAL, DELEGATION OF POWERS FOR DEFENCE LAND TRANSFERS, AND STANDING OPERATING PROCEDURES FOR CIVIL CONSTRUCTION NOC ISSUANCE</w:t>
        <w:br/>
      </w:r>
      <w:r>
        <w:rPr>
          <w:i/>
          <w:sz w:val="21"/>
        </w:rPr>
        <w:t>SUBJECT: Comprehensive Guidelines on Management of Defence Lands, Prohibition of Unauthorized Land Relinquishments by Local Commanders, Kargil War Veterans Housing Scheme Eligibility Protocols, NOC Delegation Rules, and General Land Register Audit Protocols.</w:t>
      </w:r>
    </w:p>
    <w:p>
      <w:pPr>
        <w:spacing w:before="280" w:after="120"/>
      </w:pPr>
      <w:r>
        <w:rPr>
          <w:b/>
          <w:color w:val="002B49"/>
          <w:sz w:val="24"/>
        </w:rPr>
        <w:t>1. STATUTORY POLICY ON DEFENCE LAND MANAGEMENT</w:t>
      </w:r>
    </w:p>
    <w:p>
      <w:r>
        <w:t>1.1 Land owned or possessed by the Ministry of Defence constitutes a strategic sovereign asset. Under the statutory provisions of the Cantonments Act and the Defence Land Policy, 1995 (as amended in 2011), no military officer, local commander, General Officer Commanding (GOC), or Defence Estates Officer possesses the legal authority to alienate, transfer, exchange, or relinquish title of defense land to any state government, municipality, or private housing society without explicit approval of the Cabinet Committee on Security (CCS) or the Union Minister of Defence.</w:t>
      </w:r>
    </w:p>
    <w:p>
      <w:r>
        <w:t>1.2 Any No Objection Certificate (NOC) or letter issued by a local military authority attempting to relinquish land ownership or grant construction rights without MoD sanction is void ab initio.</w:t>
      </w:r>
    </w:p>
    <w:p>
      <w:pPr>
        <w:spacing w:before="280" w:after="120"/>
      </w:pPr>
      <w:r>
        <w:rPr>
          <w:b/>
          <w:color w:val="002B49"/>
          <w:sz w:val="24"/>
        </w:rPr>
        <w:t>2. COMPREHENSIVE NOC &amp; LAND TRANSFER DELEGATION MATRIX</w:t>
      </w:r>
    </w:p>
    <w:p>
      <w:r>
        <w:t>2.1 Binding Authority Matrix for Processing Defence Land Proposals and Civil Construction NOCs: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002B49"/>
          </w:tcPr>
          <w:p>
            <w:pPr>
              <w:jc w:val="center"/>
            </w:pPr>
            <w:r>
              <w:rPr>
                <w:b/>
                <w:color w:val="FFFFFF"/>
                <w:sz w:val="18"/>
              </w:rPr>
              <w:t>Category of Proposal</w:t>
            </w:r>
          </w:p>
        </w:tc>
        <w:tc>
          <w:tcPr>
            <w:tcW w:type="dxa" w:w="1872"/>
            <w:shd w:fill="002B49"/>
          </w:tcPr>
          <w:p>
            <w:pPr>
              <w:jc w:val="center"/>
            </w:pPr>
            <w:r>
              <w:rPr>
                <w:b/>
                <w:color w:val="FFFFFF"/>
                <w:sz w:val="18"/>
              </w:rPr>
              <w:t>Competent Approving Authority</w:t>
            </w:r>
          </w:p>
        </w:tc>
        <w:tc>
          <w:tcPr>
            <w:tcW w:type="dxa" w:w="1872"/>
            <w:shd w:fill="002B49"/>
          </w:tcPr>
          <w:p>
            <w:pPr>
              <w:jc w:val="center"/>
            </w:pPr>
            <w:r>
              <w:rPr>
                <w:b/>
                <w:color w:val="FFFFFF"/>
                <w:sz w:val="18"/>
              </w:rPr>
              <w:t>Mandatory Consultation Required</w:t>
            </w:r>
          </w:p>
        </w:tc>
        <w:tc>
          <w:tcPr>
            <w:tcW w:type="dxa" w:w="1872"/>
            <w:shd w:fill="002B49"/>
          </w:tcPr>
          <w:p>
            <w:pPr>
              <w:jc w:val="center"/>
            </w:pPr>
            <w:r>
              <w:rPr>
                <w:b/>
                <w:color w:val="FFFFFF"/>
                <w:sz w:val="18"/>
              </w:rPr>
              <w:t>Local Commander Delegation Limit</w:t>
            </w:r>
          </w:p>
        </w:tc>
        <w:tc>
          <w:tcPr>
            <w:tcW w:type="dxa" w:w="1872"/>
            <w:shd w:fill="002B49"/>
          </w:tcPr>
          <w:p>
            <w:pPr>
              <w:jc w:val="center"/>
            </w:pPr>
            <w:r>
              <w:rPr>
                <w:b/>
                <w:color w:val="FFFFFF"/>
                <w:sz w:val="18"/>
              </w:rPr>
              <w:t>Policy Enforcement Remarks</w:t>
            </w:r>
          </w:p>
        </w:tc>
      </w:tr>
      <w:tr>
        <w:tc>
          <w:tcPr>
            <w:tcW w:type="dxa" w:w="1872"/>
            <w:shd w:fill="F4F7FA"/>
          </w:tcPr>
          <w:p>
            <w:pPr>
              <w:jc w:val="left"/>
            </w:pPr>
            <w:r>
              <w:rPr>
                <w:sz w:val="17"/>
              </w:rPr>
              <w:t>Transfer / Relinquishment of Defence Land Title</w:t>
            </w:r>
          </w:p>
        </w:tc>
        <w:tc>
          <w:tcPr>
            <w:tcW w:type="dxa" w:w="1872"/>
            <w:shd w:fill="F4F7FA"/>
          </w:tcPr>
          <w:p>
            <w:pPr>
              <w:jc w:val="left"/>
            </w:pPr>
            <w:r>
              <w:rPr>
                <w:sz w:val="17"/>
              </w:rPr>
              <w:t>Union Cabinet / Minister of Defence</w:t>
            </w:r>
          </w:p>
        </w:tc>
        <w:tc>
          <w:tcPr>
            <w:tcW w:type="dxa" w:w="1872"/>
            <w:shd w:fill="F4F7FA"/>
          </w:tcPr>
          <w:p>
            <w:pPr>
              <w:jc w:val="left"/>
            </w:pPr>
            <w:r>
              <w:rPr>
                <w:sz w:val="17"/>
              </w:rPr>
              <w:t>DGDE, Chief of Army Staff, MoD Finance</w:t>
            </w:r>
          </w:p>
        </w:tc>
        <w:tc>
          <w:tcPr>
            <w:tcW w:type="dxa" w:w="1872"/>
            <w:shd w:fill="F4F7FA"/>
          </w:tcPr>
          <w:p>
            <w:pPr>
              <w:jc w:val="left"/>
            </w:pPr>
            <w:r>
              <w:rPr>
                <w:sz w:val="17"/>
              </w:rPr>
              <w:t>NIL (Zero Power)</w:t>
            </w:r>
          </w:p>
        </w:tc>
        <w:tc>
          <w:tcPr>
            <w:tcW w:type="dxa" w:w="1872"/>
            <w:shd w:fill="F4F7FA"/>
          </w:tcPr>
          <w:p>
            <w:pPr>
              <w:jc w:val="left"/>
            </w:pPr>
            <w:r>
              <w:rPr>
                <w:sz w:val="17"/>
              </w:rPr>
              <w:t>Strict prohibition on local relinquishment orders.</w:t>
            </w:r>
          </w:p>
        </w:tc>
      </w:tr>
      <w:tr>
        <w:tc>
          <w:tcPr>
            <w:tcW w:type="dxa" w:w="1872"/>
            <w:shd w:fill="FFFFFF"/>
          </w:tcPr>
          <w:p>
            <w:pPr>
              <w:jc w:val="left"/>
            </w:pPr>
            <w:r>
              <w:rPr>
                <w:sz w:val="17"/>
              </w:rPr>
              <w:t>NOC for High-Rise Building (&gt; 500m of Garrison)</w:t>
            </w:r>
          </w:p>
        </w:tc>
        <w:tc>
          <w:tcPr>
            <w:tcW w:type="dxa" w:w="1872"/>
            <w:shd w:fill="FFFFFF"/>
          </w:tcPr>
          <w:p>
            <w:pPr>
              <w:jc w:val="left"/>
            </w:pPr>
            <w:r>
              <w:rPr>
                <w:sz w:val="17"/>
              </w:rPr>
              <w:t>Army Commander (GOC-in-C) / MoD</w:t>
            </w:r>
          </w:p>
        </w:tc>
        <w:tc>
          <w:tcPr>
            <w:tcW w:type="dxa" w:w="1872"/>
            <w:shd w:fill="FFFFFF"/>
          </w:tcPr>
          <w:p>
            <w:pPr>
              <w:jc w:val="left"/>
            </w:pPr>
            <w:r>
              <w:rPr>
                <w:sz w:val="17"/>
              </w:rPr>
              <w:t>DEO &amp; Station Commander Joint Security Audit</w:t>
            </w:r>
          </w:p>
        </w:tc>
        <w:tc>
          <w:tcPr>
            <w:tcW w:type="dxa" w:w="1872"/>
            <w:shd w:fill="FFFFFF"/>
          </w:tcPr>
          <w:p>
            <w:pPr>
              <w:jc w:val="left"/>
            </w:pPr>
            <w:r>
              <w:rPr>
                <w:sz w:val="17"/>
              </w:rPr>
              <w:t>Up to 4 Storeys only (Max 15m height)</w:t>
            </w:r>
          </w:p>
        </w:tc>
        <w:tc>
          <w:tcPr>
            <w:tcW w:type="dxa" w:w="1872"/>
            <w:shd w:fill="FFFFFF"/>
          </w:tcPr>
          <w:p>
            <w:pPr>
              <w:jc w:val="left"/>
            </w:pPr>
            <w:r>
              <w:rPr>
                <w:sz w:val="17"/>
              </w:rPr>
              <w:t>Subject to 100m absolute restriction zone.</w:t>
            </w:r>
          </w:p>
        </w:tc>
      </w:tr>
      <w:tr>
        <w:tc>
          <w:tcPr>
            <w:tcW w:type="dxa" w:w="1872"/>
            <w:shd w:fill="F4F7FA"/>
          </w:tcPr>
          <w:p>
            <w:pPr>
              <w:jc w:val="left"/>
            </w:pPr>
            <w:r>
              <w:rPr>
                <w:sz w:val="17"/>
              </w:rPr>
              <w:t>Lease Renewal of Class B-4 Land</w:t>
            </w:r>
          </w:p>
        </w:tc>
        <w:tc>
          <w:tcPr>
            <w:tcW w:type="dxa" w:w="1872"/>
            <w:shd w:fill="F4F7FA"/>
          </w:tcPr>
          <w:p>
            <w:pPr>
              <w:jc w:val="left"/>
            </w:pPr>
            <w:r>
              <w:rPr>
                <w:sz w:val="17"/>
              </w:rPr>
              <w:t>Director General Defence Estates (DGDE)</w:t>
            </w:r>
          </w:p>
        </w:tc>
        <w:tc>
          <w:tcPr>
            <w:tcW w:type="dxa" w:w="1872"/>
            <w:shd w:fill="F4F7FA"/>
          </w:tcPr>
          <w:p>
            <w:pPr>
              <w:jc w:val="left"/>
            </w:pPr>
            <w:r>
              <w:rPr>
                <w:sz w:val="17"/>
              </w:rPr>
              <w:t>Principal Director Defence Estates (PDDE)</w:t>
            </w:r>
          </w:p>
        </w:tc>
        <w:tc>
          <w:tcPr>
            <w:tcW w:type="dxa" w:w="1872"/>
            <w:shd w:fill="F4F7FA"/>
          </w:tcPr>
          <w:p>
            <w:pPr>
              <w:jc w:val="left"/>
            </w:pPr>
            <w:r>
              <w:rPr>
                <w:sz w:val="17"/>
              </w:rPr>
              <w:t>Routine renewal per policy terms</w:t>
            </w:r>
          </w:p>
        </w:tc>
        <w:tc>
          <w:tcPr>
            <w:tcW w:type="dxa" w:w="1872"/>
            <w:shd w:fill="F4F7FA"/>
          </w:tcPr>
          <w:p>
            <w:pPr>
              <w:jc w:val="left"/>
            </w:pPr>
            <w:r>
              <w:rPr>
                <w:sz w:val="17"/>
              </w:rPr>
              <w:t>Ground rent revision mandatory every 30 years.</w:t>
            </w:r>
          </w:p>
        </w:tc>
      </w:tr>
      <w:tr>
        <w:tc>
          <w:tcPr>
            <w:tcW w:type="dxa" w:w="1872"/>
            <w:shd w:fill="FFFFFF"/>
          </w:tcPr>
          <w:p>
            <w:pPr>
              <w:jc w:val="left"/>
            </w:pPr>
            <w:r>
              <w:rPr>
                <w:sz w:val="17"/>
              </w:rPr>
              <w:t>Ex-Servicemen Welfare Housing Schemes</w:t>
            </w:r>
          </w:p>
        </w:tc>
        <w:tc>
          <w:tcPr>
            <w:tcW w:type="dxa" w:w="1872"/>
            <w:shd w:fill="FFFFFF"/>
          </w:tcPr>
          <w:p>
            <w:pPr>
              <w:jc w:val="left"/>
            </w:pPr>
            <w:r>
              <w:rPr>
                <w:sz w:val="17"/>
              </w:rPr>
              <w:t>Ministry of Defence (Dept of ESW)</w:t>
            </w:r>
          </w:p>
        </w:tc>
        <w:tc>
          <w:tcPr>
            <w:tcW w:type="dxa" w:w="1872"/>
            <w:shd w:fill="FFFFFF"/>
          </w:tcPr>
          <w:p>
            <w:pPr>
              <w:jc w:val="left"/>
            </w:pPr>
            <w:r>
              <w:rPr>
                <w:sz w:val="17"/>
              </w:rPr>
              <w:t>Quartermaster General (QMG) Branch</w:t>
            </w:r>
          </w:p>
        </w:tc>
        <w:tc>
          <w:tcPr>
            <w:tcW w:type="dxa" w:w="1872"/>
            <w:shd w:fill="FFFFFF"/>
          </w:tcPr>
          <w:p>
            <w:pPr>
              <w:jc w:val="left"/>
            </w:pPr>
            <w:r>
              <w:rPr>
                <w:sz w:val="17"/>
              </w:rPr>
              <w:t>Site recommendation only</w:t>
            </w:r>
          </w:p>
        </w:tc>
        <w:tc>
          <w:tcPr>
            <w:tcW w:type="dxa" w:w="1872"/>
            <w:shd w:fill="FFFFFF"/>
          </w:tcPr>
          <w:p>
            <w:pPr>
              <w:jc w:val="left"/>
            </w:pPr>
            <w:r>
              <w:rPr>
                <w:sz w:val="17"/>
              </w:rPr>
              <w:t>Requires 100% defence personnel beneficiary list.</w:t>
            </w:r>
          </w:p>
        </w:tc>
      </w:tr>
      <w:tr>
        <w:tc>
          <w:tcPr>
            <w:tcW w:type="dxa" w:w="1872"/>
            <w:shd w:fill="F4F7FA"/>
          </w:tcPr>
          <w:p>
            <w:pPr>
              <w:jc w:val="left"/>
            </w:pPr>
            <w:r>
              <w:rPr>
                <w:sz w:val="17"/>
              </w:rPr>
              <w:t>Utility / Infrastructure Easement Grants</w:t>
            </w:r>
          </w:p>
        </w:tc>
        <w:tc>
          <w:tcPr>
            <w:tcW w:type="dxa" w:w="1872"/>
            <w:shd w:fill="F4F7FA"/>
          </w:tcPr>
          <w:p>
            <w:pPr>
              <w:jc w:val="left"/>
            </w:pPr>
            <w:r>
              <w:rPr>
                <w:sz w:val="17"/>
              </w:rPr>
              <w:t>Principal Director Defence Estates</w:t>
            </w:r>
          </w:p>
        </w:tc>
        <w:tc>
          <w:tcPr>
            <w:tcW w:type="dxa" w:w="1872"/>
            <w:shd w:fill="F4F7FA"/>
          </w:tcPr>
          <w:p>
            <w:pPr>
              <w:jc w:val="left"/>
            </w:pPr>
            <w:r>
              <w:rPr>
                <w:sz w:val="17"/>
              </w:rPr>
              <w:t>Local Military Authority (LMA)</w:t>
            </w:r>
          </w:p>
        </w:tc>
        <w:tc>
          <w:tcPr>
            <w:tcW w:type="dxa" w:w="1872"/>
            <w:shd w:fill="F4F7FA"/>
          </w:tcPr>
          <w:p>
            <w:pPr>
              <w:jc w:val="left"/>
            </w:pPr>
            <w:r>
              <w:rPr>
                <w:sz w:val="17"/>
              </w:rPr>
              <w:t>Minor municipal connections</w:t>
            </w:r>
          </w:p>
        </w:tc>
        <w:tc>
          <w:tcPr>
            <w:tcW w:type="dxa" w:w="1872"/>
            <w:shd w:fill="F4F7FA"/>
          </w:tcPr>
          <w:p>
            <w:pPr>
              <w:jc w:val="left"/>
            </w:pPr>
            <w:r>
              <w:rPr>
                <w:sz w:val="17"/>
              </w:rPr>
              <w:t>Non-permanent license agreement only.</w:t>
            </w:r>
          </w:p>
        </w:tc>
      </w:tr>
    </w:tbl>
    <w:p>
      <w:pPr>
        <w:spacing w:before="280" w:after="120"/>
      </w:pPr>
      <w:r>
        <w:rPr>
          <w:b/>
          <w:color w:val="002B49"/>
          <w:sz w:val="24"/>
        </w:rPr>
        <w:t>3. POLICY GUIDELINES FOR DEFENCE PERSONNEL WELFARE HOUSING SOCIETIES</w:t>
      </w:r>
    </w:p>
    <w:p>
      <w:r>
        <w:t>3.1 Eligibility Norms for Welfare Housing: Housing schemes sponsored for Army/Navy/Air Force personnel or war widows (e.g., Kargil War Welfare Schemes) must ensure that at least 100% of initial allotment members are serving or retired defense personnel or surviving dependents. Inclusion of civilian politicians, bureaucrats, or non-defense personnel in welfare housing societies formed on or adjacent to defense land is strictly illegal.</w:t>
      </w:r>
    </w:p>
    <w:p>
      <w:pPr>
        <w:spacing w:before="280" w:after="120"/>
      </w:pPr>
      <w:r>
        <w:rPr>
          <w:b/>
          <w:color w:val="002B49"/>
          <w:sz w:val="24"/>
        </w:rPr>
        <w:t>4. REVISED GUIDELINES FOLLOWING COLABA / ADARSH LAND CONTROVERSIES</w:t>
      </w:r>
    </w:p>
    <w:p>
      <w:r>
        <w:t>4.1 Re-Verification of Urban Defense Lands (May 2011 Directive): Following irregularities detected in the allotment and NOC issuance for Plot CS No. 652/653 in Colaba, Mumbai, the Ministry of Defence ordered a nationwide audit of all urban defense plots situated near metropolitan coastlines and cantonment borders.</w:t>
      </w:r>
    </w:p>
    <w:p>
      <w:pPr>
        <w:spacing w:before="280" w:after="120"/>
      </w:pPr>
      <w:r>
        <w:rPr>
          <w:b/>
          <w:color w:val="002B49"/>
          <w:sz w:val="24"/>
        </w:rPr>
        <w:t>5. ROUTINE CANTONMENT REVENUE &amp; AUDIT INSTRUCTIONS</w:t>
      </w:r>
    </w:p>
    <w:p>
      <w:r>
        <w:t>5.1 Annual Land Audit Protocols: Detailed instructions to DEO officers on maintaining computerized General Land Registers (GLR) and issuing annual physical verification certificates.</w:t>
      </w:r>
    </w:p>
    <w:p>
      <w:pPr>
        <w:spacing w:before="400"/>
      </w:pPr>
      <w:r>
        <w:rPr>
          <w:i/>
        </w:rPr>
        <w:t>By Order of the Union Minister of Defence:</w:t>
        <w:br/>
        <w:br/>
        <w:br/>
      </w:r>
      <w:r>
        <w:rPr>
          <w:b/>
        </w:rPr>
        <w:t>(SHASHI KANT SHARMA / N. S. SISODIA)</w:t>
        <w:br/>
      </w:r>
      <w:r>
        <w:t>Secretary to the Government of India</w:t>
        <w:br/>
      </w:r>
      <w:r>
        <w:t>Ministry of Defence, South Block, New Delhi</w:t>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