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building_bylaws</w:t>
      </w:r>
    </w:p>
    <w:p>
      <w:pPr>
        <w:jc w:val="center"/>
      </w:pPr>
      <w:r>
        <w:rPr>
          <w:b/>
          <w:color w:val="003366"/>
          <w:sz w:val="26"/>
        </w:rPr>
        <w:t>BRIHANMUMBAI MUNICIPAL CORPORATION (MCGM)</w:t>
        <w:br/>
      </w:r>
      <w:r>
        <w:rPr>
          <w:color w:val="555555"/>
          <w:sz w:val="20"/>
        </w:rPr>
        <w:t>DEVELOPMENT CONTROL &amp; BUILDING REGULATIONS DIVISION, MUNICIPAL HEAD OFFICE</w:t>
        <w:br/>
      </w:r>
      <w:r>
        <w:rPr>
          <w:b/>
          <w:sz w:val="19"/>
        </w:rPr>
        <w:t>FORT, MUMBAI - 400001</w:t>
        <w:br/>
      </w:r>
    </w:p>
    <w:p>
      <w:r>
        <w:rPr>
          <w:b/>
        </w:rPr>
        <w:t>File Ref. No.: MCGM/DCR/POL/1991/MANUAL-07</w:t>
      </w:r>
      <w:r>
        <w:tab/>
        <w:tab/>
        <w:tab/>
        <w:tab/>
        <w:tab/>
        <w:t>Dated: 12th January 2008</w:t>
      </w:r>
    </w:p>
    <w:p>
      <w:pPr>
        <w:spacing w:after="240"/>
      </w:pPr>
      <w:r>
        <w:rPr>
          <w:color w:val="999999"/>
        </w:rPr>
        <w:t>――――――――――――――――――――――――――――――――――――――――――――――――――――――――――</w:t>
      </w:r>
    </w:p>
    <w:p>
      <w:r>
        <w:rPr>
          <w:b/>
          <w:color w:val="003366"/>
          <w:sz w:val="26"/>
        </w:rPr>
        <w:t>INSTRUCTION MANUAL &amp; COMPREHENSIVE COMPLIANCE DIRECTIVES UNDER DEVELOPMENT CONTROL REGULATIONS (DCR) 1991 FOR GREATER MUMBAI</w:t>
        <w:br/>
      </w:r>
      <w:r>
        <w:rPr>
          <w:i/>
          <w:sz w:val="21"/>
        </w:rPr>
        <w:t>SUBJECT: Regulatory Guidelines on FSI Limits in Island City vs Suburbs, Rules Governing DP Road Width Modifications, Coastal Zone Building Height Restrictions (CRZ-II), Mandatory Refuge Floors, Fire Safety Standards, and Unlawful Building Demolition Protocols under MRTP Act 1966.</w:t>
      </w:r>
    </w:p>
    <w:p>
      <w:pPr>
        <w:spacing w:before="280" w:after="120"/>
      </w:pPr>
      <w:r>
        <w:rPr>
          <w:b/>
          <w:color w:val="003366"/>
          <w:sz w:val="24"/>
        </w:rPr>
        <w:t>1. LEGISLATIVE FRAMEWORK OF DCR 1991</w:t>
      </w:r>
    </w:p>
    <w:p>
      <w:r>
        <w:t>1.1 The Development Control Regulations for Greater Mumbai, 1991 (DCR 1991), framed under Section 22 of the Maharashtra Regional and Town Planning (MRTP) Act, 1966, regulate all land use, building heights, open space requirements, Floor Space Index (FSI) allocations, and structural safety norms within municipal limits.</w:t>
      </w:r>
    </w:p>
    <w:p>
      <w:r>
        <w:t>1.2 Compliance with DCR 1991 is statutory. No officer of MCGM or state government has authority to relax core zoning, FSI, or fire safety rules except through formal statutory amendments published in the Government Gazette.</w:t>
      </w:r>
    </w:p>
    <w:p>
      <w:pPr>
        <w:spacing w:before="280" w:after="120"/>
      </w:pPr>
      <w:r>
        <w:rPr>
          <w:b/>
          <w:color w:val="003366"/>
          <w:sz w:val="24"/>
        </w:rPr>
        <w:t>2. COMPREHENSIVE BUILDING BYLAW REGULATORY MATRIX</w:t>
      </w:r>
    </w:p>
    <w:p>
      <w:r>
        <w:t>2.1 Key Regulatory Standards under DCR 1991 for Residential and Commercial Buildings: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8"/>
              </w:rPr>
              <w:t>Regulatory Parameter</w:t>
            </w:r>
          </w:p>
        </w:tc>
        <w:tc>
          <w:tcPr>
            <w:tcW w:type="dxa" w:w="1872"/>
            <w:shd w:fill="003366"/>
          </w:tcPr>
          <w:p>
            <w:pPr>
              <w:jc w:val="center"/>
            </w:pPr>
            <w:r>
              <w:rPr>
                <w:b/>
                <w:color w:val="FFFFFF"/>
                <w:sz w:val="18"/>
              </w:rPr>
              <w:t>Applicable DCR Rule</w:t>
            </w:r>
          </w:p>
        </w:tc>
        <w:tc>
          <w:tcPr>
            <w:tcW w:type="dxa" w:w="1872"/>
            <w:shd w:fill="003366"/>
          </w:tcPr>
          <w:p>
            <w:pPr>
              <w:jc w:val="center"/>
            </w:pPr>
            <w:r>
              <w:rPr>
                <w:b/>
                <w:color w:val="FFFFFF"/>
                <w:sz w:val="18"/>
              </w:rPr>
              <w:t>Island City (South Mumbai) Standard</w:t>
            </w:r>
          </w:p>
        </w:tc>
        <w:tc>
          <w:tcPr>
            <w:tcW w:type="dxa" w:w="1872"/>
            <w:shd w:fill="003366"/>
          </w:tcPr>
          <w:p>
            <w:pPr>
              <w:jc w:val="center"/>
            </w:pPr>
            <w:r>
              <w:rPr>
                <w:b/>
                <w:color w:val="FFFFFF"/>
                <w:sz w:val="18"/>
              </w:rPr>
              <w:t>Suburban Mumbai Standard</w:t>
            </w:r>
          </w:p>
        </w:tc>
        <w:tc>
          <w:tcPr>
            <w:tcW w:type="dxa" w:w="1872"/>
            <w:shd w:fill="003366"/>
          </w:tcPr>
          <w:p>
            <w:pPr>
              <w:jc w:val="center"/>
            </w:pPr>
            <w:r>
              <w:rPr>
                <w:b/>
                <w:color w:val="FFFFFF"/>
                <w:sz w:val="18"/>
              </w:rPr>
              <w:t>Mandatory Exception / Enforcement Clause</w:t>
            </w:r>
          </w:p>
        </w:tc>
      </w:tr>
      <w:tr>
        <w:tc>
          <w:tcPr>
            <w:tcW w:type="dxa" w:w="1872"/>
            <w:shd w:fill="F9FBFD"/>
          </w:tcPr>
          <w:p>
            <w:pPr>
              <w:jc w:val="left"/>
            </w:pPr>
            <w:r>
              <w:rPr>
                <w:sz w:val="17"/>
              </w:rPr>
              <w:t>Base Floor Space Index (FSI)</w:t>
            </w:r>
          </w:p>
        </w:tc>
        <w:tc>
          <w:tcPr>
            <w:tcW w:type="dxa" w:w="1872"/>
            <w:shd w:fill="F9FBFD"/>
          </w:tcPr>
          <w:p>
            <w:pPr>
              <w:jc w:val="left"/>
            </w:pPr>
            <w:r>
              <w:rPr>
                <w:sz w:val="17"/>
              </w:rPr>
              <w:t>DCR Regulation 32</w:t>
            </w:r>
          </w:p>
        </w:tc>
        <w:tc>
          <w:tcPr>
            <w:tcW w:type="dxa" w:w="1872"/>
            <w:shd w:fill="F9FBFD"/>
          </w:tcPr>
          <w:p>
            <w:pPr>
              <w:jc w:val="left"/>
            </w:pPr>
            <w:r>
              <w:rPr>
                <w:sz w:val="17"/>
              </w:rPr>
              <w:t>1.33 Max Base FSI</w:t>
            </w:r>
          </w:p>
        </w:tc>
        <w:tc>
          <w:tcPr>
            <w:tcW w:type="dxa" w:w="1872"/>
            <w:shd w:fill="F9FBFD"/>
          </w:tcPr>
          <w:p>
            <w:pPr>
              <w:jc w:val="left"/>
            </w:pPr>
            <w:r>
              <w:rPr>
                <w:sz w:val="17"/>
              </w:rPr>
              <w:t>1.00 Max Base FSI</w:t>
            </w:r>
          </w:p>
        </w:tc>
        <w:tc>
          <w:tcPr>
            <w:tcW w:type="dxa" w:w="1872"/>
            <w:shd w:fill="F9FBFD"/>
          </w:tcPr>
          <w:p>
            <w:pPr>
              <w:jc w:val="left"/>
            </w:pPr>
            <w:r>
              <w:rPr>
                <w:sz w:val="17"/>
              </w:rPr>
              <w:t>No TDR loading permitted in Island City.</w:t>
            </w:r>
          </w:p>
        </w:tc>
      </w:tr>
      <w:tr>
        <w:tc>
          <w:tcPr>
            <w:tcW w:type="dxa" w:w="1872"/>
            <w:shd w:fill="FFFFFF"/>
          </w:tcPr>
          <w:p>
            <w:pPr>
              <w:jc w:val="left"/>
            </w:pPr>
            <w:r>
              <w:rPr>
                <w:sz w:val="17"/>
              </w:rPr>
              <w:t>Coastal Zone FSI Frozen Norms</w:t>
            </w:r>
          </w:p>
        </w:tc>
        <w:tc>
          <w:tcPr>
            <w:tcW w:type="dxa" w:w="1872"/>
            <w:shd w:fill="FFFFFF"/>
          </w:tcPr>
          <w:p>
            <w:pPr>
              <w:jc w:val="left"/>
            </w:pPr>
            <w:r>
              <w:rPr>
                <w:sz w:val="17"/>
              </w:rPr>
              <w:t>DCR Reg 32 read with CRZ 1991</w:t>
            </w:r>
          </w:p>
        </w:tc>
        <w:tc>
          <w:tcPr>
            <w:tcW w:type="dxa" w:w="1872"/>
            <w:shd w:fill="FFFFFF"/>
          </w:tcPr>
          <w:p>
            <w:pPr>
              <w:jc w:val="left"/>
            </w:pPr>
            <w:r>
              <w:rPr>
                <w:sz w:val="17"/>
              </w:rPr>
              <w:t>FSI frozen to 19-Feb-1991 levels</w:t>
            </w:r>
          </w:p>
        </w:tc>
        <w:tc>
          <w:tcPr>
            <w:tcW w:type="dxa" w:w="1872"/>
            <w:shd w:fill="FFFFFF"/>
          </w:tcPr>
          <w:p>
            <w:pPr>
              <w:jc w:val="left"/>
            </w:pPr>
            <w:r>
              <w:rPr>
                <w:sz w:val="17"/>
              </w:rPr>
              <w:t>FSI frozen to 19-Feb-1991 levels</w:t>
            </w:r>
          </w:p>
        </w:tc>
        <w:tc>
          <w:tcPr>
            <w:tcW w:type="dxa" w:w="1872"/>
            <w:shd w:fill="FFFFFF"/>
          </w:tcPr>
          <w:p>
            <w:pPr>
              <w:jc w:val="left"/>
            </w:pPr>
            <w:r>
              <w:rPr>
                <w:sz w:val="17"/>
              </w:rPr>
              <w:t>Absolute prohibition on unapproved FSI relaxation.</w:t>
            </w:r>
          </w:p>
        </w:tc>
      </w:tr>
      <w:tr>
        <w:tc>
          <w:tcPr>
            <w:tcW w:type="dxa" w:w="1872"/>
            <w:shd w:fill="F9FBFD"/>
          </w:tcPr>
          <w:p>
            <w:pPr>
              <w:jc w:val="left"/>
            </w:pPr>
            <w:r>
              <w:rPr>
                <w:sz w:val="17"/>
              </w:rPr>
              <w:t>Road Width to Height Ratio</w:t>
            </w:r>
          </w:p>
        </w:tc>
        <w:tc>
          <w:tcPr>
            <w:tcW w:type="dxa" w:w="1872"/>
            <w:shd w:fill="F9FBFD"/>
          </w:tcPr>
          <w:p>
            <w:pPr>
              <w:jc w:val="left"/>
            </w:pPr>
            <w:r>
              <w:rPr>
                <w:sz w:val="17"/>
              </w:rPr>
              <w:t>DCR Regulation 31</w:t>
            </w:r>
          </w:p>
        </w:tc>
        <w:tc>
          <w:tcPr>
            <w:tcW w:type="dxa" w:w="1872"/>
            <w:shd w:fill="F9FBFD"/>
          </w:tcPr>
          <w:p>
            <w:pPr>
              <w:jc w:val="left"/>
            </w:pPr>
            <w:r>
              <w:rPr>
                <w:sz w:val="17"/>
              </w:rPr>
              <w:t>Max Height = 1.5 x Road Width</w:t>
            </w:r>
          </w:p>
        </w:tc>
        <w:tc>
          <w:tcPr>
            <w:tcW w:type="dxa" w:w="1872"/>
            <w:shd w:fill="F9FBFD"/>
          </w:tcPr>
          <w:p>
            <w:pPr>
              <w:jc w:val="left"/>
            </w:pPr>
            <w:r>
              <w:rPr>
                <w:sz w:val="17"/>
              </w:rPr>
              <w:t>Max Height = 1.5 x Road Width</w:t>
            </w:r>
          </w:p>
        </w:tc>
        <w:tc>
          <w:tcPr>
            <w:tcW w:type="dxa" w:w="1872"/>
            <w:shd w:fill="F9FBFD"/>
          </w:tcPr>
          <w:p>
            <w:pPr>
              <w:jc w:val="left"/>
            </w:pPr>
            <w:r>
              <w:rPr>
                <w:sz w:val="17"/>
              </w:rPr>
              <w:t>High-rise (&gt;30m) requires 18m road access.</w:t>
            </w:r>
          </w:p>
        </w:tc>
      </w:tr>
      <w:tr>
        <w:tc>
          <w:tcPr>
            <w:tcW w:type="dxa" w:w="1872"/>
            <w:shd w:fill="FFFFFF"/>
          </w:tcPr>
          <w:p>
            <w:pPr>
              <w:jc w:val="left"/>
            </w:pPr>
            <w:r>
              <w:rPr>
                <w:sz w:val="17"/>
              </w:rPr>
              <w:t>Mandatory Refuge Floor</w:t>
            </w:r>
          </w:p>
        </w:tc>
        <w:tc>
          <w:tcPr>
            <w:tcW w:type="dxa" w:w="1872"/>
            <w:shd w:fill="FFFFFF"/>
          </w:tcPr>
          <w:p>
            <w:pPr>
              <w:jc w:val="left"/>
            </w:pPr>
            <w:r>
              <w:rPr>
                <w:sz w:val="17"/>
              </w:rPr>
              <w:t>DCR Regulation 43 / CFO SOP</w:t>
            </w:r>
          </w:p>
        </w:tc>
        <w:tc>
          <w:tcPr>
            <w:tcW w:type="dxa" w:w="1872"/>
            <w:shd w:fill="FFFFFF"/>
          </w:tcPr>
          <w:p>
            <w:pPr>
              <w:jc w:val="left"/>
            </w:pPr>
            <w:r>
              <w:rPr>
                <w:sz w:val="17"/>
              </w:rPr>
              <w:t>Refuge floor required every 7th floor (&gt;24m)</w:t>
            </w:r>
          </w:p>
        </w:tc>
        <w:tc>
          <w:tcPr>
            <w:tcW w:type="dxa" w:w="1872"/>
            <w:shd w:fill="FFFFFF"/>
          </w:tcPr>
          <w:p>
            <w:pPr>
              <w:jc w:val="left"/>
            </w:pPr>
            <w:r>
              <w:rPr>
                <w:sz w:val="17"/>
              </w:rPr>
              <w:t>Refuge floor required every 7th floor (&gt;24m)</w:t>
            </w:r>
          </w:p>
        </w:tc>
        <w:tc>
          <w:tcPr>
            <w:tcW w:type="dxa" w:w="1872"/>
            <w:shd w:fill="FFFFFF"/>
          </w:tcPr>
          <w:p>
            <w:pPr>
              <w:jc w:val="left"/>
            </w:pPr>
            <w:r>
              <w:rPr>
                <w:sz w:val="17"/>
              </w:rPr>
              <w:t>Must be free from FSI; Cannot be sold as flats.</w:t>
            </w:r>
          </w:p>
        </w:tc>
      </w:tr>
      <w:tr>
        <w:tc>
          <w:tcPr>
            <w:tcW w:type="dxa" w:w="1872"/>
            <w:shd w:fill="F9FBFD"/>
          </w:tcPr>
          <w:p>
            <w:pPr>
              <w:jc w:val="left"/>
            </w:pPr>
            <w:r>
              <w:rPr>
                <w:sz w:val="17"/>
              </w:rPr>
              <w:t>DP Road Width Reduction FSI</w:t>
            </w:r>
          </w:p>
        </w:tc>
        <w:tc>
          <w:tcPr>
            <w:tcW w:type="dxa" w:w="1872"/>
            <w:shd w:fill="F9FBFD"/>
          </w:tcPr>
          <w:p>
            <w:pPr>
              <w:jc w:val="left"/>
            </w:pPr>
            <w:r>
              <w:rPr>
                <w:sz w:val="17"/>
              </w:rPr>
              <w:t>DCR Regulation 33</w:t>
            </w:r>
          </w:p>
        </w:tc>
        <w:tc>
          <w:tcPr>
            <w:tcW w:type="dxa" w:w="1872"/>
            <w:shd w:fill="F9FBFD"/>
          </w:tcPr>
          <w:p>
            <w:pPr>
              <w:jc w:val="left"/>
            </w:pPr>
            <w:r>
              <w:rPr>
                <w:sz w:val="17"/>
              </w:rPr>
              <w:t>FSI of deleted road area transferred to plot</w:t>
            </w:r>
          </w:p>
        </w:tc>
        <w:tc>
          <w:tcPr>
            <w:tcW w:type="dxa" w:w="1872"/>
            <w:shd w:fill="F9FBFD"/>
          </w:tcPr>
          <w:p>
            <w:pPr>
              <w:jc w:val="left"/>
            </w:pPr>
            <w:r>
              <w:rPr>
                <w:sz w:val="17"/>
              </w:rPr>
              <w:t>FSI transferred to plot</w:t>
            </w:r>
          </w:p>
        </w:tc>
        <w:tc>
          <w:tcPr>
            <w:tcW w:type="dxa" w:w="1872"/>
            <w:shd w:fill="F9FBFD"/>
          </w:tcPr>
          <w:p>
            <w:pPr>
              <w:jc w:val="left"/>
            </w:pPr>
            <w:r>
              <w:rPr>
                <w:sz w:val="17"/>
              </w:rPr>
              <w:t>Requires state Urban Development Dept sanction.</w:t>
            </w:r>
          </w:p>
        </w:tc>
      </w:tr>
    </w:tbl>
    <w:p>
      <w:pPr>
        <w:spacing w:before="280" w:after="120"/>
      </w:pPr>
      <w:r>
        <w:rPr>
          <w:b/>
          <w:color w:val="003366"/>
          <w:sz w:val="24"/>
        </w:rPr>
        <w:t>3. SPECIAL PROVISIONS GOVERNING COASTAL REGULATION ZONE (CRZ-II)</w:t>
      </w:r>
    </w:p>
    <w:p>
      <w:r>
        <w:t>3.1 Interplay between DCR 1991 and CRZ Notification 1991: For plots falling in CRZ-II classification (substantially built-up urban coastal areas), building permissions must strictly conform to the Development Control Regulations existing as on February 19, 1991. Any subsequent amendment in DCR increasing FSI or height limits after February 19, 1991 is inapplicable to CRZ-II plots unless approved by MoEF.</w:t>
      </w:r>
    </w:p>
    <w:p>
      <w:pPr>
        <w:spacing w:before="280" w:after="120"/>
      </w:pPr>
      <w:r>
        <w:rPr>
          <w:b/>
          <w:color w:val="003366"/>
          <w:sz w:val="24"/>
        </w:rPr>
        <w:t>4. ENFORCEMENT &amp; DEMOLITION RULES FOR UNLAWFUL STRUCTURES</w:t>
      </w:r>
    </w:p>
    <w:p>
      <w:r>
        <w:t>4.1 Action under MRTP Act Section 52–54 &amp; MMC Act Section 351: Structures erected in material deviation from sanctioned plans or without valid Occupation Certificate are subject to immediate stop-work notices, revocation of CC, disconnection of municipal water/power, and physical demolition.</w:t>
      </w:r>
    </w:p>
    <w:p>
      <w:pPr>
        <w:spacing w:before="280" w:after="120"/>
      </w:pPr>
      <w:r>
        <w:rPr>
          <w:b/>
          <w:color w:val="003366"/>
          <w:sz w:val="24"/>
        </w:rPr>
        <w:t>5. ROUTINE PARKING &amp; FIRE SAFETY BYLAWS</w:t>
      </w:r>
    </w:p>
    <w:p>
      <w:r>
        <w:t>5.1 Parking Space Norms: DCR 36 mandates 1 parking space per 40 sq. meters of residential built-up area in South Mumbai.</w:t>
      </w:r>
    </w:p>
    <w:p>
      <w:pPr>
        <w:spacing w:before="400"/>
      </w:pPr>
      <w:r>
        <w:rPr>
          <w:i/>
        </w:rPr>
        <w:t>Issued by Order of the Municipal Commissioner:</w:t>
        <w:br/>
        <w:br/>
        <w:br/>
      </w:r>
      <w:r>
        <w:rPr>
          <w:b/>
        </w:rPr>
        <w:t>(J. M. PHATAK / S. S. KSHATRIYA)</w:t>
        <w:br/>
      </w:r>
      <w:r>
        <w:t>Municipal Commissioner, Greater Mumbai</w:t>
        <w:br/>
      </w:r>
      <w:r>
        <w:t>Brihanmumbai Municipal Corporation (MCGM), Fort, Mumbai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