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clearance_status_decisions</w:t>
      </w:r>
    </w:p>
    <w:p>
      <w:pPr>
        <w:jc w:val="center"/>
      </w:pPr>
      <w:r>
        <w:rPr>
          <w:b/>
          <w:color w:val="003366"/>
          <w:sz w:val="26"/>
        </w:rPr>
        <w:t>MAHARASHTRA COASTAL ZONE MANAGEMENT AUTHORITY (MCZMA)</w:t>
        <w:br/>
        <w:t>&amp; ENVIRONMENT DEPARTMENT, GOVERNMENT OF MAHARASHTRA</w:t>
        <w:br/>
      </w:r>
      <w:r>
        <w:rPr>
          <w:color w:val="555555"/>
          <w:sz w:val="20"/>
        </w:rPr>
        <w:t>MANTRALAYA, MUMBAI - 400032</w:t>
        <w:br/>
      </w:r>
    </w:p>
    <w:p>
      <w:r>
        <w:rPr>
          <w:b/>
        </w:rPr>
        <w:t>File Ref. No.: MCZMA/DEC-ORDERS/2003/MIN-14</w:t>
      </w:r>
      <w:r>
        <w:tab/>
        <w:tab/>
        <w:tab/>
        <w:tab/>
        <w:tab/>
        <w:t>Dated: 15th February 2003</w:t>
      </w:r>
    </w:p>
    <w:p>
      <w:pPr>
        <w:spacing w:after="240"/>
      </w:pPr>
      <w:r>
        <w:rPr>
          <w:color w:val="999999"/>
        </w:rPr>
        <w:t>――――――――――――――――――――――――――――――――――――――――――――――――――――――――――</w:t>
      </w:r>
    </w:p>
    <w:p>
      <w:r>
        <w:rPr>
          <w:b/>
          <w:color w:val="003366"/>
          <w:sz w:val="26"/>
        </w:rPr>
        <w:t>COMPENDIUM OF MCZMA DECISION ORDERS, ENVIRONMENT DEPARTMENT CLARIFICATION LETTERS, CRZ NOC GRANTS, AND REJECTION PROCEEDINGS IN MAHARASHTRA COASTAL REGION</w:t>
        <w:br/>
      </w:r>
      <w:r>
        <w:rPr>
          <w:i/>
          <w:sz w:val="21"/>
        </w:rPr>
        <w:t>SUBJECT: Statutory Record of MCZMA Meeting Minutes (2001-2005), Detailed Review of State Environment Department Letter dated Feb 15, 2003 regarding Adarsh CHS (Plot CS No. 652/653, Colaba), Delegated Coastal Clearance Interpretation, JNPT Port Extension Sanctions, and Enforcement Notices.</w:t>
      </w:r>
    </w:p>
    <w:p>
      <w:pPr>
        <w:spacing w:before="280" w:after="120"/>
      </w:pPr>
      <w:r>
        <w:rPr>
          <w:b/>
          <w:color w:val="003366"/>
          <w:sz w:val="24"/>
        </w:rPr>
        <w:t>1. STATUTORY DECISION-MAKING POWERS OF MCZMA &amp; MOEF</w:t>
      </w:r>
    </w:p>
    <w:p>
      <w:r>
        <w:t>1.1 The Maharashtra Coastal Zone Management Authority (MCZMA) was constituted by the Ministry of Environment and Forests (MoEF), Government of India, under Section 3(3) of the Environment (Protection) Act, 1986. MCZMA acts as the statutory state-level regulatory body to examine coastal clearance proposals and enforce the CRZ Notification 1991.</w:t>
      </w:r>
    </w:p>
    <w:p>
      <w:r>
        <w:t>1.2 Under the delegation of powers scheme, MCZMA evaluates applications and forwards projects requiring Ministry approval to MoEF, New Delhi. State Environment Department officers cannot independently override MoEF clearance mandates or misinterpret delegation limits.</w:t>
      </w:r>
    </w:p>
    <w:p>
      <w:pPr>
        <w:spacing w:before="280" w:after="120"/>
      </w:pPr>
      <w:r>
        <w:rPr>
          <w:b/>
          <w:color w:val="003366"/>
          <w:sz w:val="24"/>
        </w:rPr>
        <w:t>2. MASTER DECISION &amp; CLEARANCE STATUS LOG (2001–2005)</w:t>
      </w:r>
    </w:p>
    <w:p>
      <w:r>
        <w:t>2.1 Log of key decision outcomes, clarification orders, and clearance statuses issued by MCZMA / State Environment Department: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Project Ref &amp; Proponent</w:t>
            </w:r>
          </w:p>
        </w:tc>
        <w:tc>
          <w:tcPr>
            <w:tcW w:type="dxa" w:w="1872"/>
            <w:shd w:fill="003366"/>
          </w:tcPr>
          <w:p>
            <w:pPr>
              <w:jc w:val="center"/>
            </w:pPr>
            <w:r>
              <w:rPr>
                <w:b/>
                <w:color w:val="FFFFFF"/>
                <w:sz w:val="18"/>
              </w:rPr>
              <w:t>Plot Location &amp; Area</w:t>
            </w:r>
          </w:p>
        </w:tc>
        <w:tc>
          <w:tcPr>
            <w:tcW w:type="dxa" w:w="1872"/>
            <w:shd w:fill="003366"/>
          </w:tcPr>
          <w:p>
            <w:pPr>
              <w:jc w:val="center"/>
            </w:pPr>
            <w:r>
              <w:rPr>
                <w:b/>
                <w:color w:val="FFFFFF"/>
                <w:sz w:val="18"/>
              </w:rPr>
              <w:t>Statutory Decision / Order Ref</w:t>
            </w:r>
          </w:p>
        </w:tc>
        <w:tc>
          <w:tcPr>
            <w:tcW w:type="dxa" w:w="1872"/>
            <w:shd w:fill="003366"/>
          </w:tcPr>
          <w:p>
            <w:pPr>
              <w:jc w:val="center"/>
            </w:pPr>
            <w:r>
              <w:rPr>
                <w:b/>
                <w:color w:val="FFFFFF"/>
                <w:sz w:val="18"/>
              </w:rPr>
              <w:t>Decision Outcome &amp; Delegated Authority</w:t>
            </w:r>
          </w:p>
        </w:tc>
        <w:tc>
          <w:tcPr>
            <w:tcW w:type="dxa" w:w="1872"/>
            <w:shd w:fill="003366"/>
          </w:tcPr>
          <w:p>
            <w:pPr>
              <w:jc w:val="center"/>
            </w:pPr>
            <w:r>
              <w:rPr>
                <w:b/>
                <w:color w:val="FFFFFF"/>
                <w:sz w:val="18"/>
              </w:rPr>
              <w:t>Key Environmental Findings</w:t>
            </w:r>
          </w:p>
        </w:tc>
      </w:tr>
      <w:tr>
        <w:tc>
          <w:tcPr>
            <w:tcW w:type="dxa" w:w="1872"/>
            <w:shd w:fill="F9FBFD"/>
          </w:tcPr>
          <w:p>
            <w:pPr>
              <w:jc w:val="left"/>
            </w:pPr>
            <w:r>
              <w:rPr>
                <w:sz w:val="17"/>
              </w:rPr>
              <w:t>Adarsh Co-op Housing Society</w:t>
            </w:r>
          </w:p>
        </w:tc>
        <w:tc>
          <w:tcPr>
            <w:tcW w:type="dxa" w:w="1872"/>
            <w:shd w:fill="F9FBFD"/>
          </w:tcPr>
          <w:p>
            <w:pPr>
              <w:jc w:val="center"/>
            </w:pPr>
            <w:r>
              <w:rPr>
                <w:sz w:val="17"/>
              </w:rPr>
              <w:t>Plot CS No. 652/653, Colaba</w:t>
            </w:r>
          </w:p>
        </w:tc>
        <w:tc>
          <w:tcPr>
            <w:tcW w:type="dxa" w:w="1872"/>
            <w:shd w:fill="F9FBFD"/>
          </w:tcPr>
          <w:p>
            <w:pPr>
              <w:jc w:val="center"/>
            </w:pPr>
            <w:r>
              <w:rPr>
                <w:sz w:val="17"/>
              </w:rPr>
              <w:t>Clarification Letter Ref: ENV-2002/2192/CR-88/TC-3 dated 15-Feb-2003</w:t>
            </w:r>
          </w:p>
        </w:tc>
        <w:tc>
          <w:tcPr>
            <w:tcW w:type="dxa" w:w="1872"/>
            <w:shd w:fill="F9FBFD"/>
          </w:tcPr>
          <w:p>
            <w:pPr>
              <w:jc w:val="center"/>
            </w:pPr>
            <w:r>
              <w:rPr>
                <w:sz w:val="17"/>
              </w:rPr>
              <w:t>Clarification Issued: Stated NOC delegated to state; direct MoEF clearance not required.</w:t>
            </w:r>
          </w:p>
        </w:tc>
        <w:tc>
          <w:tcPr>
            <w:tcW w:type="dxa" w:w="1872"/>
            <w:shd w:fill="F9FBFD"/>
          </w:tcPr>
          <w:p>
            <w:pPr>
              <w:jc w:val="left"/>
            </w:pPr>
            <w:r>
              <w:rPr>
                <w:sz w:val="17"/>
              </w:rPr>
              <w:t>Issued by Secretary Environment (Dr. Suresh Joshi / Y.T. Patil). Later held invalid by MoEF/CBI.</w:t>
            </w:r>
          </w:p>
        </w:tc>
      </w:tr>
      <w:tr>
        <w:tc>
          <w:tcPr>
            <w:tcW w:type="dxa" w:w="1872"/>
            <w:shd w:fill="FFFFFF"/>
          </w:tcPr>
          <w:p>
            <w:pPr>
              <w:jc w:val="left"/>
            </w:pPr>
            <w:r>
              <w:rPr>
                <w:sz w:val="17"/>
              </w:rPr>
              <w:t>JNPT Port Container Terminal</w:t>
            </w:r>
          </w:p>
        </w:tc>
        <w:tc>
          <w:tcPr>
            <w:tcW w:type="dxa" w:w="1872"/>
            <w:shd w:fill="FFFFFF"/>
          </w:tcPr>
          <w:p>
            <w:pPr>
              <w:jc w:val="center"/>
            </w:pPr>
            <w:r>
              <w:rPr>
                <w:sz w:val="17"/>
              </w:rPr>
              <w:t>Navi Mumbai Coastal Belt</w:t>
            </w:r>
          </w:p>
        </w:tc>
        <w:tc>
          <w:tcPr>
            <w:tcW w:type="dxa" w:w="1872"/>
            <w:shd w:fill="FFFFFF"/>
          </w:tcPr>
          <w:p>
            <w:pPr>
              <w:jc w:val="center"/>
            </w:pPr>
            <w:r>
              <w:rPr>
                <w:sz w:val="17"/>
              </w:rPr>
              <w:t>MCZMA Clearance Order # 42/2002 dated 10-Aug-2002</w:t>
            </w:r>
          </w:p>
        </w:tc>
        <w:tc>
          <w:tcPr>
            <w:tcW w:type="dxa" w:w="1872"/>
            <w:shd w:fill="FFFFFF"/>
          </w:tcPr>
          <w:p>
            <w:pPr>
              <w:jc w:val="center"/>
            </w:pPr>
            <w:r>
              <w:rPr>
                <w:sz w:val="17"/>
              </w:rPr>
              <w:t>APPROVED &amp; Forwarded to MoEF</w:t>
            </w:r>
          </w:p>
        </w:tc>
        <w:tc>
          <w:tcPr>
            <w:tcW w:type="dxa" w:w="1872"/>
            <w:shd w:fill="FFFFFF"/>
          </w:tcPr>
          <w:p>
            <w:pPr>
              <w:jc w:val="left"/>
            </w:pPr>
            <w:r>
              <w:rPr>
                <w:sz w:val="17"/>
              </w:rPr>
              <w:t>Subject to 50-meter mangrove buffer zone maintenance.</w:t>
            </w:r>
          </w:p>
        </w:tc>
      </w:tr>
      <w:tr>
        <w:tc>
          <w:tcPr>
            <w:tcW w:type="dxa" w:w="1872"/>
            <w:shd w:fill="F9FBFD"/>
          </w:tcPr>
          <w:p>
            <w:pPr>
              <w:jc w:val="left"/>
            </w:pPr>
            <w:r>
              <w:rPr>
                <w:sz w:val="17"/>
              </w:rPr>
              <w:t>Cuffe Parade Commercial Tower</w:t>
            </w:r>
          </w:p>
        </w:tc>
        <w:tc>
          <w:tcPr>
            <w:tcW w:type="dxa" w:w="1872"/>
            <w:shd w:fill="F9FBFD"/>
          </w:tcPr>
          <w:p>
            <w:pPr>
              <w:jc w:val="center"/>
            </w:pPr>
            <w:r>
              <w:rPr>
                <w:sz w:val="17"/>
              </w:rPr>
              <w:t>Plot CS No. 810, Cuffe Parade</w:t>
            </w:r>
          </w:p>
        </w:tc>
        <w:tc>
          <w:tcPr>
            <w:tcW w:type="dxa" w:w="1872"/>
            <w:shd w:fill="F9FBFD"/>
          </w:tcPr>
          <w:p>
            <w:pPr>
              <w:jc w:val="center"/>
            </w:pPr>
            <w:r>
              <w:rPr>
                <w:sz w:val="17"/>
              </w:rPr>
              <w:t>MCZMA Rejection Order # 18/2003 dated 14-May-2003</w:t>
            </w:r>
          </w:p>
        </w:tc>
        <w:tc>
          <w:tcPr>
            <w:tcW w:type="dxa" w:w="1872"/>
            <w:shd w:fill="F9FBFD"/>
          </w:tcPr>
          <w:p>
            <w:pPr>
              <w:jc w:val="center"/>
            </w:pPr>
            <w:r>
              <w:rPr>
                <w:sz w:val="17"/>
              </w:rPr>
              <w:t>REJECTED</w:t>
            </w:r>
          </w:p>
        </w:tc>
        <w:tc>
          <w:tcPr>
            <w:tcW w:type="dxa" w:w="1872"/>
            <w:shd w:fill="F9FBFD"/>
          </w:tcPr>
          <w:p>
            <w:pPr>
              <w:jc w:val="left"/>
            </w:pPr>
            <w:r>
              <w:rPr>
                <w:sz w:val="17"/>
              </w:rPr>
              <w:t>Violated CRZ-II 1991 FSI freezing rule.</w:t>
            </w:r>
          </w:p>
        </w:tc>
      </w:tr>
      <w:tr>
        <w:tc>
          <w:tcPr>
            <w:tcW w:type="dxa" w:w="1872"/>
            <w:shd w:fill="FFFFFF"/>
          </w:tcPr>
          <w:p>
            <w:pPr>
              <w:jc w:val="left"/>
            </w:pPr>
            <w:r>
              <w:rPr>
                <w:sz w:val="17"/>
              </w:rPr>
              <w:t>Bandra Promenade Development</w:t>
            </w:r>
          </w:p>
        </w:tc>
        <w:tc>
          <w:tcPr>
            <w:tcW w:type="dxa" w:w="1872"/>
            <w:shd w:fill="FFFFFF"/>
          </w:tcPr>
          <w:p>
            <w:pPr>
              <w:jc w:val="center"/>
            </w:pPr>
            <w:r>
              <w:rPr>
                <w:sz w:val="17"/>
              </w:rPr>
              <w:t>Bandra Bandstand Seafront</w:t>
            </w:r>
          </w:p>
        </w:tc>
        <w:tc>
          <w:tcPr>
            <w:tcW w:type="dxa" w:w="1872"/>
            <w:shd w:fill="FFFFFF"/>
          </w:tcPr>
          <w:p>
            <w:pPr>
              <w:jc w:val="center"/>
            </w:pPr>
            <w:r>
              <w:rPr>
                <w:sz w:val="17"/>
              </w:rPr>
              <w:t>MCZMA Order # 09/2004 dated 22-Jan-2004</w:t>
            </w:r>
          </w:p>
        </w:tc>
        <w:tc>
          <w:tcPr>
            <w:tcW w:type="dxa" w:w="1872"/>
            <w:shd w:fill="FFFFFF"/>
          </w:tcPr>
          <w:p>
            <w:pPr>
              <w:jc w:val="center"/>
            </w:pPr>
            <w:r>
              <w:rPr>
                <w:sz w:val="17"/>
              </w:rPr>
              <w:t>APPROVED WITH CONDITIONS</w:t>
            </w:r>
          </w:p>
        </w:tc>
        <w:tc>
          <w:tcPr>
            <w:tcW w:type="dxa" w:w="1872"/>
            <w:shd w:fill="FFFFFF"/>
          </w:tcPr>
          <w:p>
            <w:pPr>
              <w:jc w:val="left"/>
            </w:pPr>
            <w:r>
              <w:rPr>
                <w:sz w:val="17"/>
              </w:rPr>
              <w:t>Beautification permitted without permanent masonry structures.</w:t>
            </w:r>
          </w:p>
        </w:tc>
      </w:tr>
      <w:tr>
        <w:tc>
          <w:tcPr>
            <w:tcW w:type="dxa" w:w="1872"/>
            <w:shd w:fill="F9FBFD"/>
          </w:tcPr>
          <w:p>
            <w:pPr>
              <w:jc w:val="left"/>
            </w:pPr>
            <w:r>
              <w:rPr>
                <w:sz w:val="17"/>
              </w:rPr>
              <w:t>Mahim Bay Sewage Treatment Plant</w:t>
            </w:r>
          </w:p>
        </w:tc>
        <w:tc>
          <w:tcPr>
            <w:tcW w:type="dxa" w:w="1872"/>
            <w:shd w:fill="F9FBFD"/>
          </w:tcPr>
          <w:p>
            <w:pPr>
              <w:jc w:val="center"/>
            </w:pPr>
            <w:r>
              <w:rPr>
                <w:sz w:val="17"/>
              </w:rPr>
              <w:t>Mahim Creek Zone</w:t>
            </w:r>
          </w:p>
        </w:tc>
        <w:tc>
          <w:tcPr>
            <w:tcW w:type="dxa" w:w="1872"/>
            <w:shd w:fill="F9FBFD"/>
          </w:tcPr>
          <w:p>
            <w:pPr>
              <w:jc w:val="center"/>
            </w:pPr>
            <w:r>
              <w:rPr>
                <w:sz w:val="17"/>
              </w:rPr>
              <w:t>MCZMA Order # 31/2004 dated 18-Nov-2004</w:t>
            </w:r>
          </w:p>
        </w:tc>
        <w:tc>
          <w:tcPr>
            <w:tcW w:type="dxa" w:w="1872"/>
            <w:shd w:fill="F9FBFD"/>
          </w:tcPr>
          <w:p>
            <w:pPr>
              <w:jc w:val="center"/>
            </w:pPr>
            <w:r>
              <w:rPr>
                <w:sz w:val="17"/>
              </w:rPr>
              <w:t>APPROVED &amp; Forwarded to MoEF</w:t>
            </w:r>
          </w:p>
        </w:tc>
        <w:tc>
          <w:tcPr>
            <w:tcW w:type="dxa" w:w="1872"/>
            <w:shd w:fill="F9FBFD"/>
          </w:tcPr>
          <w:p>
            <w:pPr>
              <w:jc w:val="left"/>
            </w:pPr>
            <w:r>
              <w:rPr>
                <w:sz w:val="17"/>
              </w:rPr>
              <w:t>Crucial environmental infrastructure for marine pollution control.</w:t>
            </w:r>
          </w:p>
        </w:tc>
      </w:tr>
    </w:tbl>
    <w:p>
      <w:pPr>
        <w:spacing w:before="280" w:after="120"/>
      </w:pPr>
      <w:r>
        <w:rPr>
          <w:b/>
          <w:color w:val="003366"/>
          <w:sz w:val="24"/>
        </w:rPr>
        <w:t>3. CRUCIAL EXAMINATION OF FEB 15, 2003 STATE CLARIFICATION LETTER</w:t>
      </w:r>
    </w:p>
    <w:p>
      <w:r>
        <w:t>3.1 Context of Letter Ref `ENV-2002/2192/CR-88/TC-3`: On February 15, 2003, the Environment Department, Government of Maharashtra, issued a formal letter to the Urban Development Department and MCGM regarding Plot CS No. 652/653 (Adarsh CHS), Colaba. The letter was signed by the Under Secretary / Secretary (Environment).</w:t>
      </w:r>
    </w:p>
    <w:p>
      <w:r>
        <w:t>3.2 Misinterpretation of Delegated Clearance: The letter stated that as per amendments to the CRZ Notification, development proposals in CRZ-II areas had been delegated to the local planning authority (MCGM) under DCR 1991, and therefore separate environmental clearance from the Ministry of Environment and Forests (MoEF), Government of India, was not required.</w:t>
      </w:r>
    </w:p>
    <w:p>
      <w:r>
        <w:t>3.3 Subsequent Invalidation: MCZMA and MoEF subsequently clarified in 2010–2011 that the February 15, 2003 letter was legally unauthorized, as state officers had no power to waive mandatory MoEF clearance under the CRZ Notification 1991 for residential buildings in CRZ-II.</w:t>
      </w:r>
    </w:p>
    <w:p>
      <w:pPr>
        <w:spacing w:before="280" w:after="120"/>
      </w:pPr>
      <w:r>
        <w:rPr>
          <w:b/>
          <w:color w:val="003366"/>
          <w:sz w:val="24"/>
        </w:rPr>
        <w:t>4. ENFORCEMENT PROCEEDINGS &amp; DEMOLITION NOTICES (2011)</w:t>
      </w:r>
    </w:p>
    <w:p>
      <w:r>
        <w:t>4.1 MoEF Demolition Order (January 16, 2011): The Ministry of Environment and Forests issued a final direction under Section 5 of the Environment (Protection) Act, 1986, ordering the demolition of the 31-storey Adarsh building within 3 months for operating without valid CRZ clearance.</w:t>
      </w:r>
    </w:p>
    <w:p>
      <w:pPr>
        <w:spacing w:before="280" w:after="120"/>
      </w:pPr>
      <w:r>
        <w:rPr>
          <w:b/>
          <w:color w:val="003366"/>
          <w:sz w:val="24"/>
        </w:rPr>
        <w:t>5. ROUTINE MCZMA QUARTERLY AUDIT &amp; BUDGETARY RECORDS</w:t>
      </w:r>
    </w:p>
    <w:p>
      <w:r>
        <w:t>5.1 Annual Operating Expenses: MCZMA administrative expenditure and scientific GIS mapping grants sanctioned for FY 2003-04.</w:t>
      </w:r>
    </w:p>
    <w:p>
      <w:pPr>
        <w:spacing w:before="400"/>
      </w:pPr>
      <w:r>
        <w:rPr>
          <w:i/>
        </w:rPr>
        <w:t>By Order of the Authority:</w:t>
        <w:br/>
        <w:br/>
        <w:br/>
      </w:r>
      <w:r>
        <w:rPr>
          <w:b/>
        </w:rPr>
        <w:t>(DR. SURESH JOSHI / V. K. JAIN)</w:t>
        <w:br/>
      </w:r>
      <w:r>
        <w:t>Principal Secretary (Environment) &amp; Chairman, MCZMA</w:t>
        <w:br/>
      </w:r>
      <w:r>
        <w:t>Government of Maharashtra, Mantralaya,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