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8B0000"/>
          <w:sz w:val="24"/>
        </w:rPr>
        <w:t>Section: compliance_status_notes</w:t>
      </w:r>
    </w:p>
    <w:p>
      <w:pPr>
        <w:jc w:val="center"/>
      </w:pPr>
      <w:r>
        <w:rPr>
          <w:b/>
          <w:color w:val="002B49"/>
          <w:sz w:val="28"/>
        </w:rPr>
        <w:t>SUPREME COURT OF INDIA</w:t>
        <w:br/>
      </w:r>
      <w:r>
        <w:rPr>
          <w:color w:val="555555"/>
          <w:sz w:val="20"/>
        </w:rPr>
        <w:t>OFFICE OF THE SECRETARY TO THE CHIEF JUSTICE OF INDIA</w:t>
        <w:br/>
      </w:r>
      <w:r>
        <w:rPr>
          <w:b/>
          <w:sz w:val="19"/>
        </w:rPr>
        <w:t>JUDICIAL COMPLIANCE &amp; PROTOCOL DIVISION, NEW DELHI - 110201</w:t>
        <w:br/>
      </w:r>
    </w:p>
    <w:p>
      <w:r>
        <w:rPr>
          <w:b/>
        </w:rPr>
        <w:t>File Ref. No.: CJI/CONF-ASSET/2012/REC-094</w:t>
      </w:r>
      <w:r>
        <w:tab/>
        <w:tab/>
        <w:tab/>
        <w:tab/>
        <w:tab/>
        <w:t>Dated: 28th March 2012</w:t>
      </w:r>
    </w:p>
    <w:p>
      <w:pPr>
        <w:spacing w:after="240"/>
      </w:pPr>
      <w:r>
        <w:rPr>
          <w:color w:val="999999"/>
        </w:rPr>
        <w:t>――――――――――――――――――――――――――――――――――――――――――――――――――――――――――</w:t>
      </w:r>
    </w:p>
    <w:p>
      <w:r>
        <w:rPr>
          <w:b/>
          <w:color w:val="002B49"/>
          <w:sz w:val="26"/>
        </w:rPr>
        <w:t>CONFIDENTIAL OFFICE NOTE ON COMPLIANCE STATUS OF ASSET DECLARATIONS, JUDICIAL LEAVE AUDIT, FOREIGN DELEGATION EXPENSES, AND REGISTRY RECORD CUSTODY</w:t>
        <w:br/>
      </w:r>
      <w:r>
        <w:rPr>
          <w:i/>
          <w:sz w:val="21"/>
        </w:rPr>
        <w:t>SUBJECT: Periodic Status Report on Receipt and Storage of Sealed Asset Envelopes from Hon'ble Judges of Supreme Court and High Courts Pursuant to 1997 Resolution, Judicial Leave Approvals, Bungalow Maintenance Accounts, and Protocol Log.</w:t>
      </w:r>
    </w:p>
    <w:p>
      <w:pPr>
        <w:spacing w:before="280" w:after="120"/>
      </w:pPr>
      <w:r>
        <w:rPr>
          <w:b/>
          <w:color w:val="002B49"/>
          <w:sz w:val="24"/>
        </w:rPr>
        <w:t>1. EXECUTIVE SUMMARY &amp; STATISTICAL AUDIT OF ASSET DECLARATIONS</w:t>
      </w:r>
    </w:p>
    <w:p>
      <w:r>
        <w:t>1.1 This confidential internal status note is prepared for the perusal of the Chief Justice of India to summarize the administrative compliance position regarding sealed declarations of assets submitted by Hon'ble Judges of the Supreme Court of India and Chief Justices/Judges of various High Courts pursuant to the 1997 Full Court Resolution.</w:t>
      </w:r>
    </w:p>
    <w:p>
      <w:r>
        <w:t>1.2 Supreme Court Bench Compliance: As of March 2012, all 28 sitting Judges of the Supreme Court of India have submitted their sealed envelopes containing asset declarations to the office of the Chief Justice of India upon assuming office. The physical envelopes are preserved in Vault-A of the Chief Justice's Secretariat under double-lock security.</w:t>
      </w:r>
    </w:p>
    <w:p>
      <w:pPr>
        <w:spacing w:before="280" w:after="120"/>
      </w:pPr>
      <w:r>
        <w:rPr>
          <w:b/>
          <w:color w:val="002B49"/>
          <w:sz w:val="24"/>
        </w:rPr>
        <w:t>2. HIGH COURT COMPLIANCE TRACKING LOG (SELECT JURISDICTIONS)</w:t>
      </w:r>
    </w:p>
    <w:p>
      <w:r>
        <w:t>2.1 Pursuant to the decision taken in the Conference of Chief Justices, the Chief Justices of High Courts forward periodic updates regarding the submission of asset declarations by sitting judges in their respective jurisdictions. The table below reflects the compliance status reported to the CJI Secretariat as of Q1 2012:</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02B49"/>
          </w:tcPr>
          <w:p>
            <w:pPr>
              <w:jc w:val="center"/>
            </w:pPr>
            <w:r>
              <w:rPr>
                <w:b/>
                <w:color w:val="FFFFFF"/>
                <w:sz w:val="18"/>
              </w:rPr>
              <w:t>High Court Jurisdiction</w:t>
            </w:r>
          </w:p>
        </w:tc>
        <w:tc>
          <w:tcPr>
            <w:tcW w:type="dxa" w:w="1872"/>
            <w:shd w:fill="002B49"/>
          </w:tcPr>
          <w:p>
            <w:pPr>
              <w:jc w:val="center"/>
            </w:pPr>
            <w:r>
              <w:rPr>
                <w:b/>
                <w:color w:val="FFFFFF"/>
                <w:sz w:val="18"/>
              </w:rPr>
              <w:t>Sanctioned Judge Strength</w:t>
            </w:r>
          </w:p>
        </w:tc>
        <w:tc>
          <w:tcPr>
            <w:tcW w:type="dxa" w:w="1872"/>
            <w:shd w:fill="002B49"/>
          </w:tcPr>
          <w:p>
            <w:pPr>
              <w:jc w:val="center"/>
            </w:pPr>
            <w:r>
              <w:rPr>
                <w:b/>
                <w:color w:val="FFFFFF"/>
                <w:sz w:val="18"/>
              </w:rPr>
              <w:t>Working Strength (Mar 2012)</w:t>
            </w:r>
          </w:p>
        </w:tc>
        <w:tc>
          <w:tcPr>
            <w:tcW w:type="dxa" w:w="1872"/>
            <w:shd w:fill="002B49"/>
          </w:tcPr>
          <w:p>
            <w:pPr>
              <w:jc w:val="center"/>
            </w:pPr>
            <w:r>
              <w:rPr>
                <w:b/>
                <w:color w:val="FFFFFF"/>
                <w:sz w:val="18"/>
              </w:rPr>
              <w:t>Asset Declarations Received</w:t>
            </w:r>
          </w:p>
        </w:tc>
        <w:tc>
          <w:tcPr>
            <w:tcW w:type="dxa" w:w="1872"/>
            <w:shd w:fill="002B49"/>
          </w:tcPr>
          <w:p>
            <w:pPr>
              <w:jc w:val="center"/>
            </w:pPr>
            <w:r>
              <w:rPr>
                <w:b/>
                <w:color w:val="FFFFFF"/>
                <w:sz w:val="18"/>
              </w:rPr>
              <w:t>Compliance Percentage &amp; Notes</w:t>
            </w:r>
          </w:p>
        </w:tc>
      </w:tr>
      <w:tr>
        <w:tc>
          <w:tcPr>
            <w:tcW w:type="dxa" w:w="1872"/>
            <w:shd w:fill="F4F7FA"/>
          </w:tcPr>
          <w:p>
            <w:pPr>
              <w:jc w:val="left"/>
            </w:pPr>
            <w:r>
              <w:rPr>
                <w:sz w:val="17"/>
              </w:rPr>
              <w:t>Delhi High Court</w:t>
            </w:r>
          </w:p>
        </w:tc>
        <w:tc>
          <w:tcPr>
            <w:tcW w:type="dxa" w:w="1872"/>
            <w:shd w:fill="F4F7FA"/>
          </w:tcPr>
          <w:p>
            <w:pPr>
              <w:jc w:val="center"/>
            </w:pPr>
            <w:r>
              <w:rPr>
                <w:sz w:val="17"/>
              </w:rPr>
              <w:t>48</w:t>
            </w:r>
          </w:p>
        </w:tc>
        <w:tc>
          <w:tcPr>
            <w:tcW w:type="dxa" w:w="1872"/>
            <w:shd w:fill="F4F7FA"/>
          </w:tcPr>
          <w:p>
            <w:pPr>
              <w:jc w:val="center"/>
            </w:pPr>
            <w:r>
              <w:rPr>
                <w:sz w:val="17"/>
              </w:rPr>
              <w:t>36</w:t>
            </w:r>
          </w:p>
        </w:tc>
        <w:tc>
          <w:tcPr>
            <w:tcW w:type="dxa" w:w="1872"/>
            <w:shd w:fill="F4F7FA"/>
          </w:tcPr>
          <w:p>
            <w:pPr>
              <w:jc w:val="center"/>
            </w:pPr>
            <w:r>
              <w:rPr>
                <w:sz w:val="17"/>
              </w:rPr>
              <w:t>36 Envelopes Received</w:t>
            </w:r>
          </w:p>
        </w:tc>
        <w:tc>
          <w:tcPr>
            <w:tcW w:type="dxa" w:w="1872"/>
            <w:shd w:fill="F4F7FA"/>
          </w:tcPr>
          <w:p>
            <w:pPr>
              <w:jc w:val="left"/>
            </w:pPr>
            <w:r>
              <w:rPr>
                <w:sz w:val="17"/>
              </w:rPr>
              <w:t>100% Compliant. Preserved in HC CJ Secretariat.</w:t>
            </w:r>
          </w:p>
        </w:tc>
      </w:tr>
      <w:tr>
        <w:tc>
          <w:tcPr>
            <w:tcW w:type="dxa" w:w="1872"/>
            <w:shd w:fill="FFFFFF"/>
          </w:tcPr>
          <w:p>
            <w:pPr>
              <w:jc w:val="left"/>
            </w:pPr>
            <w:r>
              <w:rPr>
                <w:sz w:val="17"/>
              </w:rPr>
              <w:t>Bombay High Court</w:t>
            </w:r>
          </w:p>
        </w:tc>
        <w:tc>
          <w:tcPr>
            <w:tcW w:type="dxa" w:w="1872"/>
            <w:shd w:fill="FFFFFF"/>
          </w:tcPr>
          <w:p>
            <w:pPr>
              <w:jc w:val="center"/>
            </w:pPr>
            <w:r>
              <w:rPr>
                <w:sz w:val="17"/>
              </w:rPr>
              <w:t>75</w:t>
            </w:r>
          </w:p>
        </w:tc>
        <w:tc>
          <w:tcPr>
            <w:tcW w:type="dxa" w:w="1872"/>
            <w:shd w:fill="FFFFFF"/>
          </w:tcPr>
          <w:p>
            <w:pPr>
              <w:jc w:val="center"/>
            </w:pPr>
            <w:r>
              <w:rPr>
                <w:sz w:val="17"/>
              </w:rPr>
              <w:t>58</w:t>
            </w:r>
          </w:p>
        </w:tc>
        <w:tc>
          <w:tcPr>
            <w:tcW w:type="dxa" w:w="1872"/>
            <w:shd w:fill="FFFFFF"/>
          </w:tcPr>
          <w:p>
            <w:pPr>
              <w:jc w:val="center"/>
            </w:pPr>
            <w:r>
              <w:rPr>
                <w:sz w:val="17"/>
              </w:rPr>
              <w:t>54 Envelopes Received</w:t>
            </w:r>
          </w:p>
        </w:tc>
        <w:tc>
          <w:tcPr>
            <w:tcW w:type="dxa" w:w="1872"/>
            <w:shd w:fill="FFFFFF"/>
          </w:tcPr>
          <w:p>
            <w:pPr>
              <w:jc w:val="left"/>
            </w:pPr>
            <w:r>
              <w:rPr>
                <w:sz w:val="17"/>
              </w:rPr>
              <w:t>93.1% Compliant. 4 newly elevated judges pending.</w:t>
            </w:r>
          </w:p>
        </w:tc>
      </w:tr>
      <w:tr>
        <w:tc>
          <w:tcPr>
            <w:tcW w:type="dxa" w:w="1872"/>
            <w:shd w:fill="F4F7FA"/>
          </w:tcPr>
          <w:p>
            <w:pPr>
              <w:jc w:val="left"/>
            </w:pPr>
            <w:r>
              <w:rPr>
                <w:sz w:val="17"/>
              </w:rPr>
              <w:t>Madras High Court</w:t>
            </w:r>
          </w:p>
        </w:tc>
        <w:tc>
          <w:tcPr>
            <w:tcW w:type="dxa" w:w="1872"/>
            <w:shd w:fill="F4F7FA"/>
          </w:tcPr>
          <w:p>
            <w:pPr>
              <w:jc w:val="center"/>
            </w:pPr>
            <w:r>
              <w:rPr>
                <w:sz w:val="17"/>
              </w:rPr>
              <w:t>60</w:t>
            </w:r>
          </w:p>
        </w:tc>
        <w:tc>
          <w:tcPr>
            <w:tcW w:type="dxa" w:w="1872"/>
            <w:shd w:fill="F4F7FA"/>
          </w:tcPr>
          <w:p>
            <w:pPr>
              <w:jc w:val="center"/>
            </w:pPr>
            <w:r>
              <w:rPr>
                <w:sz w:val="17"/>
              </w:rPr>
              <w:t>44</w:t>
            </w:r>
          </w:p>
        </w:tc>
        <w:tc>
          <w:tcPr>
            <w:tcW w:type="dxa" w:w="1872"/>
            <w:shd w:fill="F4F7FA"/>
          </w:tcPr>
          <w:p>
            <w:pPr>
              <w:jc w:val="center"/>
            </w:pPr>
            <w:r>
              <w:rPr>
                <w:sz w:val="17"/>
              </w:rPr>
              <w:t>41 Envelopes Received</w:t>
            </w:r>
          </w:p>
        </w:tc>
        <w:tc>
          <w:tcPr>
            <w:tcW w:type="dxa" w:w="1872"/>
            <w:shd w:fill="F4F7FA"/>
          </w:tcPr>
          <w:p>
            <w:pPr>
              <w:jc w:val="left"/>
            </w:pPr>
            <w:r>
              <w:rPr>
                <w:sz w:val="17"/>
              </w:rPr>
              <w:t>93.2% Compliant. Reminder issued by HC Registrar.</w:t>
            </w:r>
          </w:p>
        </w:tc>
      </w:tr>
      <w:tr>
        <w:tc>
          <w:tcPr>
            <w:tcW w:type="dxa" w:w="1872"/>
            <w:shd w:fill="FFFFFF"/>
          </w:tcPr>
          <w:p>
            <w:pPr>
              <w:jc w:val="left"/>
            </w:pPr>
            <w:r>
              <w:rPr>
                <w:sz w:val="17"/>
              </w:rPr>
              <w:t>Allahabad High Court</w:t>
            </w:r>
          </w:p>
        </w:tc>
        <w:tc>
          <w:tcPr>
            <w:tcW w:type="dxa" w:w="1872"/>
            <w:shd w:fill="FFFFFF"/>
          </w:tcPr>
          <w:p>
            <w:pPr>
              <w:jc w:val="center"/>
            </w:pPr>
            <w:r>
              <w:rPr>
                <w:sz w:val="17"/>
              </w:rPr>
              <w:t>160</w:t>
            </w:r>
          </w:p>
        </w:tc>
        <w:tc>
          <w:tcPr>
            <w:tcW w:type="dxa" w:w="1872"/>
            <w:shd w:fill="FFFFFF"/>
          </w:tcPr>
          <w:p>
            <w:pPr>
              <w:jc w:val="center"/>
            </w:pPr>
            <w:r>
              <w:rPr>
                <w:sz w:val="17"/>
              </w:rPr>
              <w:t>88</w:t>
            </w:r>
          </w:p>
        </w:tc>
        <w:tc>
          <w:tcPr>
            <w:tcW w:type="dxa" w:w="1872"/>
            <w:shd w:fill="FFFFFF"/>
          </w:tcPr>
          <w:p>
            <w:pPr>
              <w:jc w:val="center"/>
            </w:pPr>
            <w:r>
              <w:rPr>
                <w:sz w:val="17"/>
              </w:rPr>
              <w:t>79 Envelopes Received</w:t>
            </w:r>
          </w:p>
        </w:tc>
        <w:tc>
          <w:tcPr>
            <w:tcW w:type="dxa" w:w="1872"/>
            <w:shd w:fill="FFFFFF"/>
          </w:tcPr>
          <w:p>
            <w:pPr>
              <w:jc w:val="left"/>
            </w:pPr>
            <w:r>
              <w:rPr>
                <w:sz w:val="17"/>
              </w:rPr>
              <w:t>89.7% Compliant. Ongoing reconciliation.</w:t>
            </w:r>
          </w:p>
        </w:tc>
      </w:tr>
      <w:tr>
        <w:tc>
          <w:tcPr>
            <w:tcW w:type="dxa" w:w="1872"/>
            <w:shd w:fill="F4F7FA"/>
          </w:tcPr>
          <w:p>
            <w:pPr>
              <w:jc w:val="left"/>
            </w:pPr>
            <w:r>
              <w:rPr>
                <w:sz w:val="17"/>
              </w:rPr>
              <w:t>Calcutta High Court</w:t>
            </w:r>
          </w:p>
        </w:tc>
        <w:tc>
          <w:tcPr>
            <w:tcW w:type="dxa" w:w="1872"/>
            <w:shd w:fill="F4F7FA"/>
          </w:tcPr>
          <w:p>
            <w:pPr>
              <w:jc w:val="center"/>
            </w:pPr>
            <w:r>
              <w:rPr>
                <w:sz w:val="17"/>
              </w:rPr>
              <w:t>58</w:t>
            </w:r>
          </w:p>
        </w:tc>
        <w:tc>
          <w:tcPr>
            <w:tcW w:type="dxa" w:w="1872"/>
            <w:shd w:fill="F4F7FA"/>
          </w:tcPr>
          <w:p>
            <w:pPr>
              <w:jc w:val="center"/>
            </w:pPr>
            <w:r>
              <w:rPr>
                <w:sz w:val="17"/>
              </w:rPr>
              <w:t>39</w:t>
            </w:r>
          </w:p>
        </w:tc>
        <w:tc>
          <w:tcPr>
            <w:tcW w:type="dxa" w:w="1872"/>
            <w:shd w:fill="F4F7FA"/>
          </w:tcPr>
          <w:p>
            <w:pPr>
              <w:jc w:val="center"/>
            </w:pPr>
            <w:r>
              <w:rPr>
                <w:sz w:val="17"/>
              </w:rPr>
              <w:t>37 Envelopes Received</w:t>
            </w:r>
          </w:p>
        </w:tc>
        <w:tc>
          <w:tcPr>
            <w:tcW w:type="dxa" w:w="1872"/>
            <w:shd w:fill="F4F7FA"/>
          </w:tcPr>
          <w:p>
            <w:pPr>
              <w:jc w:val="left"/>
            </w:pPr>
            <w:r>
              <w:rPr>
                <w:sz w:val="17"/>
              </w:rPr>
              <w:t>94.8% Compliant. Envelopes secured in Vault-B.</w:t>
            </w:r>
          </w:p>
        </w:tc>
      </w:tr>
      <w:tr>
        <w:tc>
          <w:tcPr>
            <w:tcW w:type="dxa" w:w="1872"/>
            <w:shd w:fill="FFFFFF"/>
          </w:tcPr>
          <w:p>
            <w:pPr>
              <w:jc w:val="left"/>
            </w:pPr>
            <w:r>
              <w:rPr>
                <w:sz w:val="17"/>
              </w:rPr>
              <w:t>Karnataka High Court</w:t>
            </w:r>
          </w:p>
        </w:tc>
        <w:tc>
          <w:tcPr>
            <w:tcW w:type="dxa" w:w="1872"/>
            <w:shd w:fill="FFFFFF"/>
          </w:tcPr>
          <w:p>
            <w:pPr>
              <w:jc w:val="center"/>
            </w:pPr>
            <w:r>
              <w:rPr>
                <w:sz w:val="17"/>
              </w:rPr>
              <w:t>50</w:t>
            </w:r>
          </w:p>
        </w:tc>
        <w:tc>
          <w:tcPr>
            <w:tcW w:type="dxa" w:w="1872"/>
            <w:shd w:fill="FFFFFF"/>
          </w:tcPr>
          <w:p>
            <w:pPr>
              <w:jc w:val="center"/>
            </w:pPr>
            <w:r>
              <w:rPr>
                <w:sz w:val="17"/>
              </w:rPr>
              <w:t>38</w:t>
            </w:r>
          </w:p>
        </w:tc>
        <w:tc>
          <w:tcPr>
            <w:tcW w:type="dxa" w:w="1872"/>
            <w:shd w:fill="FFFFFF"/>
          </w:tcPr>
          <w:p>
            <w:pPr>
              <w:jc w:val="center"/>
            </w:pPr>
            <w:r>
              <w:rPr>
                <w:sz w:val="17"/>
              </w:rPr>
              <w:t>38 Envelopes Received</w:t>
            </w:r>
          </w:p>
        </w:tc>
        <w:tc>
          <w:tcPr>
            <w:tcW w:type="dxa" w:w="1872"/>
            <w:shd w:fill="FFFFFF"/>
          </w:tcPr>
          <w:p>
            <w:pPr>
              <w:jc w:val="left"/>
            </w:pPr>
            <w:r>
              <w:rPr>
                <w:sz w:val="17"/>
              </w:rPr>
              <w:t>100% Compliant. Fully updated for 2011-12.</w:t>
            </w:r>
          </w:p>
        </w:tc>
      </w:tr>
      <w:tr>
        <w:tc>
          <w:tcPr>
            <w:tcW w:type="dxa" w:w="1872"/>
            <w:shd w:fill="F4F7FA"/>
          </w:tcPr>
          <w:p>
            <w:pPr>
              <w:jc w:val="left"/>
            </w:pPr>
            <w:r>
              <w:rPr>
                <w:sz w:val="17"/>
              </w:rPr>
              <w:t>Gujarat High Court</w:t>
            </w:r>
          </w:p>
        </w:tc>
        <w:tc>
          <w:tcPr>
            <w:tcW w:type="dxa" w:w="1872"/>
            <w:shd w:fill="F4F7FA"/>
          </w:tcPr>
          <w:p>
            <w:pPr>
              <w:jc w:val="center"/>
            </w:pPr>
            <w:r>
              <w:rPr>
                <w:sz w:val="17"/>
              </w:rPr>
              <w:t>42</w:t>
            </w:r>
          </w:p>
        </w:tc>
        <w:tc>
          <w:tcPr>
            <w:tcW w:type="dxa" w:w="1872"/>
            <w:shd w:fill="F4F7FA"/>
          </w:tcPr>
          <w:p>
            <w:pPr>
              <w:jc w:val="center"/>
            </w:pPr>
            <w:r>
              <w:rPr>
                <w:sz w:val="17"/>
              </w:rPr>
              <w:t>29</w:t>
            </w:r>
          </w:p>
        </w:tc>
        <w:tc>
          <w:tcPr>
            <w:tcW w:type="dxa" w:w="1872"/>
            <w:shd w:fill="F4F7FA"/>
          </w:tcPr>
          <w:p>
            <w:pPr>
              <w:jc w:val="center"/>
            </w:pPr>
            <w:r>
              <w:rPr>
                <w:sz w:val="17"/>
              </w:rPr>
              <w:t>29 Envelopes Received</w:t>
            </w:r>
          </w:p>
        </w:tc>
        <w:tc>
          <w:tcPr>
            <w:tcW w:type="dxa" w:w="1872"/>
            <w:shd w:fill="F4F7FA"/>
          </w:tcPr>
          <w:p>
            <w:pPr>
              <w:jc w:val="left"/>
            </w:pPr>
            <w:r>
              <w:rPr>
                <w:sz w:val="17"/>
              </w:rPr>
              <w:t>100% Compliant. Complete records verified.</w:t>
            </w:r>
          </w:p>
        </w:tc>
      </w:tr>
    </w:tbl>
    <w:p>
      <w:pPr>
        <w:spacing w:before="280" w:after="120"/>
      </w:pPr>
      <w:r>
        <w:rPr>
          <w:b/>
          <w:color w:val="002B49"/>
          <w:sz w:val="24"/>
        </w:rPr>
        <w:t>3. CORRESPONDENCE AND RECORDS EXCHANGED WITH HIGH COURT CHIEF JUSTICES</w:t>
      </w:r>
    </w:p>
    <w:p>
      <w:r>
        <w:t>3.1 File Ref CJI/HC-CORR/2011/14: Confidential correspondence received from the Chief Justice of Delhi High Court regarding the procedure for handling third-party applications seeking disclosure of asset records. The Delhi High Court Registrar General was advised that asset declarations are submitted purely in a confidential capacity under the 1997 Resolution and do not constitute public register records.</w:t>
      </w:r>
    </w:p>
    <w:p>
      <w:r>
        <w:t>3.2 Communication Ref CJI/BOM-MISC/2011/88: Note on consultation between CJI and Chief Justice of Bombay High Court regarding allegations of non-disclosure against a sitting judicial officer. The matter was examined internally by a committee of senior judges pursuant to the 'In-House Procedure' adopted in 1999.</w:t>
      </w:r>
    </w:p>
    <w:p>
      <w:pPr>
        <w:spacing w:before="280" w:after="120"/>
      </w:pPr>
      <w:r>
        <w:rPr>
          <w:b/>
          <w:color w:val="002B49"/>
          <w:sz w:val="24"/>
        </w:rPr>
        <w:t>4. ROUTINE JUDICIAL ADMINISTRATION &amp; LEAVE RECORDS</w:t>
      </w:r>
    </w:p>
    <w:p>
      <w:r>
        <w:t>4.1 Judicial Leave Tracking (FY 2011-12): The Protocol &amp; Administration Cell logs earned leave, casual leave, and medical leave sanctioned to Hon'ble Judges. During the current financial year, 42 leave applications were processed and sanctioned by the Chief Justice of India in accordance with Supreme Court Judges (Salaries and Conditions of Service) Act, 1958.</w:t>
      </w:r>
    </w:p>
    <w:p>
      <w:r>
        <w:t>4.2 Medical Reimbursement &amp; Bungalow Maintenance: Audit of administrative sanctions issued for official bungalow repairs (Motilal Nehru Marg, Akbar Road, Krishna Menon Marg residences) and medical reimbursements for sitting and retired judges, totaling ₹ 1.48 Crores for FY 2011-12.</w:t>
      </w:r>
    </w:p>
    <w:p>
      <w:pPr>
        <w:spacing w:before="280" w:after="120"/>
      </w:pPr>
      <w:r>
        <w:rPr>
          <w:b/>
          <w:color w:val="002B49"/>
          <w:sz w:val="24"/>
        </w:rPr>
        <w:t>5. PROTOCOL &amp; FOREIGN DELEGATION VISITS</w:t>
      </w:r>
    </w:p>
    <w:p>
      <w:r>
        <w:t>5.1 International Judicial Exchange Program: Details of expenditure and logistics for hosting judicial delegations from the Supreme Court of the United Kingdom and the Constitutional Court of South Africa in November 2011.</w:t>
      </w:r>
    </w:p>
    <w:p>
      <w:pPr>
        <w:spacing w:before="400"/>
      </w:pPr>
      <w:r>
        <w:rPr>
          <w:i/>
        </w:rPr>
        <w:t>Submitted by:</w:t>
        <w:br/>
        <w:br/>
        <w:br/>
      </w:r>
      <w:r>
        <w:rPr>
          <w:b/>
        </w:rPr>
        <w:t>(P. S. NARASIMHA / R. R. TRIPATHI)</w:t>
        <w:br/>
      </w:r>
      <w:r>
        <w:t>Secretary to the Chief Justice of India</w:t>
        <w:br/>
      </w:r>
      <w:r>
        <w:t>Supreme Court of India, New Delhi</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