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judicial_admin_resolutions</w:t>
      </w:r>
    </w:p>
    <w:p>
      <w:pPr>
        <w:jc w:val="center"/>
      </w:pPr>
      <w:r>
        <w:rPr>
          <w:b/>
          <w:color w:val="002B49"/>
          <w:sz w:val="28"/>
        </w:rPr>
        <w:t>SUPREME COURT OF INDIA</w:t>
        <w:br/>
      </w:r>
      <w:r>
        <w:rPr>
          <w:color w:val="555555"/>
          <w:sz w:val="20"/>
        </w:rPr>
        <w:t>OFFICE OF THE REGISTRAR GENERAL &amp; JUDICIAL ADMINISTRATION BRANCH</w:t>
        <w:br/>
      </w:r>
      <w:r>
        <w:rPr>
          <w:b/>
          <w:sz w:val="19"/>
        </w:rPr>
        <w:t>TILAK MARG, NEW DELHI - 110201</w:t>
        <w:br/>
      </w:r>
    </w:p>
    <w:p>
      <w:r>
        <w:rPr>
          <w:b/>
        </w:rPr>
        <w:t>File Ref. No.: F.1/FC-RES/2011/SCA-ADMIN</w:t>
      </w:r>
      <w:r>
        <w:tab/>
        <w:tab/>
        <w:tab/>
        <w:tab/>
        <w:tab/>
        <w:t>Dated: 15th December 2011</w:t>
      </w:r>
    </w:p>
    <w:p>
      <w:pPr>
        <w:spacing w:after="240"/>
      </w:pPr>
      <w:r>
        <w:rPr>
          <w:color w:val="999999"/>
        </w:rPr>
        <w:t>――――――――――――――――――――――――――――――――――――――――――――――――――――――――――</w:t>
      </w:r>
    </w:p>
    <w:p>
      <w:r>
        <w:rPr>
          <w:b/>
          <w:color w:val="002B49"/>
          <w:sz w:val="26"/>
        </w:rPr>
        <w:t>COMPILATION OF FULL COURT RESOLUTIONS, JUDICIAL ETHICS STANDARDS, ASSET DECLARATION FRAMEWORKS, AND REGISTRY ADMINISTRATIVE DIRECTIVES</w:t>
        <w:br/>
      </w:r>
      <w:r>
        <w:rPr>
          <w:i/>
          <w:sz w:val="21"/>
        </w:rPr>
        <w:t>SUBJECT: Administrative Record of Decisions Adopted in Full Court Meetings (1997-2011), 'Restatement of Values of Judicial Life', Cadre Restructuring of Registry Officers, E-Courts Infrastructure Committee Allocations, and Custody Protocols for Confidential Declarations.</w:t>
      </w:r>
    </w:p>
    <w:p>
      <w:pPr>
        <w:spacing w:before="280" w:after="120"/>
      </w:pPr>
      <w:r>
        <w:rPr>
          <w:b/>
          <w:color w:val="002B49"/>
          <w:sz w:val="24"/>
        </w:rPr>
        <w:t>1. PREAMBLE &amp; HISTORICAL CONTEXT OF FULL COURT RESOLUTIONS</w:t>
      </w:r>
    </w:p>
    <w:p>
      <w:r>
        <w:t>1.1 The Supreme Court of India, as the apex judicial institution of the Republic, periodically convenes meetings of the Full Court comprising the Chief Justice of India and all Sitting Judges to deliberate upon matters of judicial administration, internal governance, professional standards, and procedural reforms. Resolutions passed in Full Court meetings constitute binding administrative norms for the functioning of the Supreme Court Registry and provide normative guidance to High Courts across the country.</w:t>
      </w:r>
    </w:p>
    <w:p>
      <w:r>
        <w:t>1.2 Over the past two decades, Full Court resolutions have progressively addressed judicial accountability, institutional transparency, infrastructure modernization, electronic court management, library expansions, and judicial officer cadre management. This official compendium consolidates key administrative resolutions adopted between 1997 and 2011 for internal registry guidance.</w:t>
      </w:r>
    </w:p>
    <w:p>
      <w:pPr>
        <w:spacing w:before="280" w:after="120"/>
      </w:pPr>
      <w:r>
        <w:rPr>
          <w:b/>
          <w:color w:val="002B49"/>
          <w:sz w:val="24"/>
        </w:rPr>
        <w:t>2. THE 1997 FULL COURT RESOLUTION: 'RESTATEMENT OF VALUES OF JUDICIAL LIFE'</w:t>
      </w:r>
    </w:p>
    <w:p>
      <w:r>
        <w:t>2.1 On May 7, 1997, a landmark Full Court meeting of the Supreme Court of India unanimously adopted a 16-point code of judicial ethics titled 'Restatement of Values of Judicial Life'. This resolution served to reaffirm and formalize pre-existing conventions of judicial propriety, independence, and impartiality.</w:t>
      </w:r>
    </w:p>
    <w:p>
      <w:r>
        <w:t>2.2 Key Clauses of the 1997 Restatement of Values:</w:t>
        <w:br/>
        <w:t>a) Clause 1: Justice must not merely be done but must also be seen to be done. A Judge should not contest any election to any office of a Club, Society or Association, or hold any elective office therein.</w:t>
        <w:br/>
        <w:t>b) Clause 4: A Judge should not hear or decide a matter in which a member of his immediate family (spouse, son, daughter, son-in-law, daughter-in-law) is concerned or practicing before the same court.</w:t>
        <w:br/>
        <w:t>c) Clause 8: A Judge shall not engage directly or indirectly in trade, business, or commercial activities, nor shall hold any investments that may embarrass or influence the discharge of official judicial duties.</w:t>
        <w:br/>
        <w:t>d) Clause 13: A Judge should not seek financial contributions, gifts, or hospitality from litigating parties, advocate groups, or commercial entities.</w:t>
      </w:r>
    </w:p>
    <w:p>
      <w:r>
        <w:t>2.3 Asset Declaration Resolution (May 7, 1997): In conjunction with the Restatement of Values, the Full Court resolved that every Judge of the Supreme Court and High Courts shall make a declaration of all assets—real estate, financial investments, bank deposits, and valuable movable property—held in their own name or in the name of their spouse or dependent children. Such declarations were resolved to be submitted confidentially to the Chief Justice of India (in the case of Supreme Court Judges) or the Chief Justice of the respective High Court (in the case of High Court Judges) within a reasonable period of assuming office and periodically thereafter.</w:t>
      </w:r>
    </w:p>
    <w:p>
      <w:pPr>
        <w:spacing w:before="280" w:after="120"/>
      </w:pPr>
      <w:r>
        <w:rPr>
          <w:b/>
          <w:color w:val="002B49"/>
          <w:sz w:val="24"/>
        </w:rPr>
        <w:t>3. IMPLEMENTATION MACHINERY &amp; CONFIDENTIALITY SAFEGUARDS</w:t>
      </w:r>
    </w:p>
    <w:p>
      <w:r>
        <w:t>3.1 Under the procedural framework established pursuant to the May 7, 1997 Full Court Resolution, asset declarations submitted by Hon'ble Judges are placed in sealed envelopes and handed over to the Secretary to the Chief Justice of India. These documents are stored in a dedicated confidential fireproof safe maintained in the Chief Justice's Secretariat.</w:t>
      </w:r>
    </w:p>
    <w:p>
      <w:r>
        <w:t>3.2 The 1997 Resolution explicitly provided that declarations of assets are purely voluntary institutional mechanisms designed to uphold judicial integrity internally, and that information contained in such sealed envelopes remains strictly confidential within the personal custody of the Chief Justice of India, inaccessible to general registry personnel or external applicants.</w:t>
      </w:r>
    </w:p>
    <w:p>
      <w:pPr>
        <w:spacing w:before="280" w:after="120"/>
      </w:pPr>
      <w:r>
        <w:rPr>
          <w:b/>
          <w:color w:val="002B49"/>
          <w:sz w:val="24"/>
        </w:rPr>
        <w:t>4. COMPREHENSIVE ALLOCATION OF REGISTRY COMMITTEES &amp; ADMINISTRATIVE RESPONSIBILITIES</w:t>
      </w:r>
    </w:p>
    <w:p>
      <w:r>
        <w:t>4.1 In addition to ethical guidelines, Full Court meetings periodically reconstitute Standing Committees of Hon'ble Judges to oversee key registry operational divisions. The table below outlines the committee allocations and administrative functions approved in the Full Court meeting dated October 18, 2010: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2B49"/>
          </w:tcPr>
          <w:p>
            <w:pPr>
              <w:jc w:val="center"/>
            </w:pPr>
            <w:r>
              <w:rPr>
                <w:b/>
                <w:color w:val="FFFFFF"/>
                <w:sz w:val="18"/>
              </w:rPr>
              <w:t>Committee Title</w:t>
            </w:r>
          </w:p>
        </w:tc>
        <w:tc>
          <w:tcPr>
            <w:tcW w:type="dxa" w:w="1872"/>
            <w:shd w:fill="002B49"/>
          </w:tcPr>
          <w:p>
            <w:pPr>
              <w:jc w:val="center"/>
            </w:pPr>
            <w:r>
              <w:rPr>
                <w:b/>
                <w:color w:val="FFFFFF"/>
                <w:sz w:val="18"/>
              </w:rPr>
              <w:t>Composition (Hon'ble Judges)</w:t>
            </w:r>
          </w:p>
        </w:tc>
        <w:tc>
          <w:tcPr>
            <w:tcW w:type="dxa" w:w="1872"/>
            <w:shd w:fill="002B49"/>
          </w:tcPr>
          <w:p>
            <w:pPr>
              <w:jc w:val="center"/>
            </w:pPr>
            <w:r>
              <w:rPr>
                <w:b/>
                <w:color w:val="FFFFFF"/>
                <w:sz w:val="18"/>
              </w:rPr>
              <w:t>Primary Administrative Mandate</w:t>
            </w:r>
          </w:p>
        </w:tc>
        <w:tc>
          <w:tcPr>
            <w:tcW w:type="dxa" w:w="1872"/>
            <w:shd w:fill="002B49"/>
          </w:tcPr>
          <w:p>
            <w:pPr>
              <w:jc w:val="center"/>
            </w:pPr>
            <w:r>
              <w:rPr>
                <w:b/>
                <w:color w:val="FFFFFF"/>
                <w:sz w:val="18"/>
              </w:rPr>
              <w:t>Frequency of Meetings</w:t>
            </w:r>
          </w:p>
        </w:tc>
        <w:tc>
          <w:tcPr>
            <w:tcW w:type="dxa" w:w="1872"/>
            <w:shd w:fill="002B49"/>
          </w:tcPr>
          <w:p>
            <w:pPr>
              <w:jc w:val="center"/>
            </w:pPr>
            <w:r>
              <w:rPr>
                <w:b/>
                <w:color w:val="FFFFFF"/>
                <w:sz w:val="18"/>
              </w:rPr>
              <w:t>Reporting Line</w:t>
            </w:r>
          </w:p>
        </w:tc>
      </w:tr>
      <w:tr>
        <w:tc>
          <w:tcPr>
            <w:tcW w:type="dxa" w:w="1872"/>
            <w:shd w:fill="F4F7FA"/>
          </w:tcPr>
          <w:p>
            <w:pPr>
              <w:jc w:val="left"/>
            </w:pPr>
            <w:r>
              <w:rPr>
                <w:sz w:val="17"/>
              </w:rPr>
              <w:t>e-Committee &amp; IT Reforms</w:t>
            </w:r>
          </w:p>
        </w:tc>
        <w:tc>
          <w:tcPr>
            <w:tcW w:type="dxa" w:w="1872"/>
            <w:shd w:fill="F4F7FA"/>
          </w:tcPr>
          <w:p>
            <w:pPr>
              <w:jc w:val="left"/>
            </w:pPr>
            <w:r>
              <w:rPr>
                <w:sz w:val="17"/>
              </w:rPr>
              <w:t>Senior Bench Judge (Chair) + 3 SC Judges</w:t>
            </w:r>
          </w:p>
        </w:tc>
        <w:tc>
          <w:tcPr>
            <w:tcW w:type="dxa" w:w="1872"/>
            <w:shd w:fill="F4F7FA"/>
          </w:tcPr>
          <w:p>
            <w:pPr>
              <w:jc w:val="left"/>
            </w:pPr>
            <w:r>
              <w:rPr>
                <w:sz w:val="17"/>
              </w:rPr>
              <w:t>Implementation of e-Courts Phase-I, digitizing court records, online filing</w:t>
            </w:r>
          </w:p>
        </w:tc>
        <w:tc>
          <w:tcPr>
            <w:tcW w:type="dxa" w:w="1872"/>
            <w:shd w:fill="F4F7FA"/>
          </w:tcPr>
          <w:p>
            <w:pPr>
              <w:jc w:val="left"/>
            </w:pPr>
            <w:r>
              <w:rPr>
                <w:sz w:val="17"/>
              </w:rPr>
              <w:t>Bi-monthly</w:t>
            </w:r>
          </w:p>
        </w:tc>
        <w:tc>
          <w:tcPr>
            <w:tcW w:type="dxa" w:w="1872"/>
            <w:shd w:fill="F4F7FA"/>
          </w:tcPr>
          <w:p>
            <w:pPr>
              <w:jc w:val="left"/>
            </w:pPr>
            <w:r>
              <w:rPr>
                <w:sz w:val="17"/>
              </w:rPr>
              <w:t>Full Court / CJI</w:t>
            </w:r>
          </w:p>
        </w:tc>
      </w:tr>
      <w:tr>
        <w:tc>
          <w:tcPr>
            <w:tcW w:type="dxa" w:w="1872"/>
            <w:shd w:fill="FFFFFF"/>
          </w:tcPr>
          <w:p>
            <w:pPr>
              <w:jc w:val="left"/>
            </w:pPr>
            <w:r>
              <w:rPr>
                <w:sz w:val="17"/>
              </w:rPr>
              <w:t>Library &amp; Publication Committee</w:t>
            </w:r>
          </w:p>
        </w:tc>
        <w:tc>
          <w:tcPr>
            <w:tcW w:type="dxa" w:w="1872"/>
            <w:shd w:fill="FFFFFF"/>
          </w:tcPr>
          <w:p>
            <w:pPr>
              <w:jc w:val="left"/>
            </w:pPr>
            <w:r>
              <w:rPr>
                <w:sz w:val="17"/>
              </w:rPr>
              <w:t>3 Sitting Judges</w:t>
            </w:r>
          </w:p>
        </w:tc>
        <w:tc>
          <w:tcPr>
            <w:tcW w:type="dxa" w:w="1872"/>
            <w:shd w:fill="FFFFFF"/>
          </w:tcPr>
          <w:p>
            <w:pPr>
              <w:jc w:val="left"/>
            </w:pPr>
            <w:r>
              <w:rPr>
                <w:sz w:val="17"/>
              </w:rPr>
              <w:t>Procurement of legal subscriptions, rare law books, digitizing Supreme Court Reports (SCR)</w:t>
            </w:r>
          </w:p>
        </w:tc>
        <w:tc>
          <w:tcPr>
            <w:tcW w:type="dxa" w:w="1872"/>
            <w:shd w:fill="FFFFFF"/>
          </w:tcPr>
          <w:p>
            <w:pPr>
              <w:jc w:val="left"/>
            </w:pPr>
            <w:r>
              <w:rPr>
                <w:sz w:val="17"/>
              </w:rPr>
              <w:t>Quarterly</w:t>
            </w:r>
          </w:p>
        </w:tc>
        <w:tc>
          <w:tcPr>
            <w:tcW w:type="dxa" w:w="1872"/>
            <w:shd w:fill="FFFFFF"/>
          </w:tcPr>
          <w:p>
            <w:pPr>
              <w:jc w:val="left"/>
            </w:pPr>
            <w:r>
              <w:rPr>
                <w:sz w:val="17"/>
              </w:rPr>
              <w:t>Registrar (Library)</w:t>
            </w:r>
          </w:p>
        </w:tc>
      </w:tr>
      <w:tr>
        <w:tc>
          <w:tcPr>
            <w:tcW w:type="dxa" w:w="1872"/>
            <w:shd w:fill="F4F7FA"/>
          </w:tcPr>
          <w:p>
            <w:pPr>
              <w:jc w:val="left"/>
            </w:pPr>
            <w:r>
              <w:rPr>
                <w:sz w:val="17"/>
              </w:rPr>
              <w:t>Building &amp; Infrastructure Committee</w:t>
            </w:r>
          </w:p>
        </w:tc>
        <w:tc>
          <w:tcPr>
            <w:tcW w:type="dxa" w:w="1872"/>
            <w:shd w:fill="F4F7FA"/>
          </w:tcPr>
          <w:p>
            <w:pPr>
              <w:jc w:val="left"/>
            </w:pPr>
            <w:r>
              <w:rPr>
                <w:sz w:val="17"/>
              </w:rPr>
              <w:t>2 Sitting Judges + CPWD Chief Engineer</w:t>
            </w:r>
          </w:p>
        </w:tc>
        <w:tc>
          <w:tcPr>
            <w:tcW w:type="dxa" w:w="1872"/>
            <w:shd w:fill="F4F7FA"/>
          </w:tcPr>
          <w:p>
            <w:pPr>
              <w:jc w:val="left"/>
            </w:pPr>
            <w:r>
              <w:rPr>
                <w:sz w:val="17"/>
              </w:rPr>
              <w:t>Expansion of Supreme Court complex, new lawyers' chambers, security upgrades</w:t>
            </w:r>
          </w:p>
        </w:tc>
        <w:tc>
          <w:tcPr>
            <w:tcW w:type="dxa" w:w="1872"/>
            <w:shd w:fill="F4F7FA"/>
          </w:tcPr>
          <w:p>
            <w:pPr>
              <w:jc w:val="left"/>
            </w:pPr>
            <w:r>
              <w:rPr>
                <w:sz w:val="17"/>
              </w:rPr>
              <w:t>Monthly</w:t>
            </w:r>
          </w:p>
        </w:tc>
        <w:tc>
          <w:tcPr>
            <w:tcW w:type="dxa" w:w="1872"/>
            <w:shd w:fill="F4F7FA"/>
          </w:tcPr>
          <w:p>
            <w:pPr>
              <w:jc w:val="left"/>
            </w:pPr>
            <w:r>
              <w:rPr>
                <w:sz w:val="17"/>
              </w:rPr>
              <w:t>Registrar General</w:t>
            </w:r>
          </w:p>
        </w:tc>
      </w:tr>
      <w:tr>
        <w:tc>
          <w:tcPr>
            <w:tcW w:type="dxa" w:w="1872"/>
            <w:shd w:fill="FFFFFF"/>
          </w:tcPr>
          <w:p>
            <w:pPr>
              <w:jc w:val="left"/>
            </w:pPr>
            <w:r>
              <w:rPr>
                <w:sz w:val="17"/>
              </w:rPr>
              <w:t>Judicial Cadre &amp; Staff Promotion</w:t>
            </w:r>
          </w:p>
        </w:tc>
        <w:tc>
          <w:tcPr>
            <w:tcW w:type="dxa" w:w="1872"/>
            <w:shd w:fill="FFFFFF"/>
          </w:tcPr>
          <w:p>
            <w:pPr>
              <w:jc w:val="left"/>
            </w:pPr>
            <w:r>
              <w:rPr>
                <w:sz w:val="17"/>
              </w:rPr>
              <w:t>2 Sitting Judges</w:t>
            </w:r>
          </w:p>
        </w:tc>
        <w:tc>
          <w:tcPr>
            <w:tcW w:type="dxa" w:w="1872"/>
            <w:shd w:fill="FFFFFF"/>
          </w:tcPr>
          <w:p>
            <w:pPr>
              <w:jc w:val="left"/>
            </w:pPr>
            <w:r>
              <w:rPr>
                <w:sz w:val="17"/>
              </w:rPr>
              <w:t>Reviewing cadre strength, promotions of Judicial Registrars and Executive Officers</w:t>
            </w:r>
          </w:p>
        </w:tc>
        <w:tc>
          <w:tcPr>
            <w:tcW w:type="dxa" w:w="1872"/>
            <w:shd w:fill="FFFFFF"/>
          </w:tcPr>
          <w:p>
            <w:pPr>
              <w:jc w:val="left"/>
            </w:pPr>
            <w:r>
              <w:rPr>
                <w:sz w:val="17"/>
              </w:rPr>
              <w:t>Bi-annually</w:t>
            </w:r>
          </w:p>
        </w:tc>
        <w:tc>
          <w:tcPr>
            <w:tcW w:type="dxa" w:w="1872"/>
            <w:shd w:fill="FFFFFF"/>
          </w:tcPr>
          <w:p>
            <w:pPr>
              <w:jc w:val="left"/>
            </w:pPr>
            <w:r>
              <w:rPr>
                <w:sz w:val="17"/>
              </w:rPr>
              <w:t>CJI Secretariat</w:t>
            </w:r>
          </w:p>
        </w:tc>
      </w:tr>
      <w:tr>
        <w:tc>
          <w:tcPr>
            <w:tcW w:type="dxa" w:w="1872"/>
            <w:shd w:fill="F4F7FA"/>
          </w:tcPr>
          <w:p>
            <w:pPr>
              <w:jc w:val="left"/>
            </w:pPr>
            <w:r>
              <w:rPr>
                <w:sz w:val="17"/>
              </w:rPr>
              <w:t>Rules &amp; Practice Committee</w:t>
            </w:r>
          </w:p>
        </w:tc>
        <w:tc>
          <w:tcPr>
            <w:tcW w:type="dxa" w:w="1872"/>
            <w:shd w:fill="F4F7FA"/>
          </w:tcPr>
          <w:p>
            <w:pPr>
              <w:jc w:val="left"/>
            </w:pPr>
            <w:r>
              <w:rPr>
                <w:sz w:val="17"/>
              </w:rPr>
              <w:t>3 Senior Judges</w:t>
            </w:r>
          </w:p>
        </w:tc>
        <w:tc>
          <w:tcPr>
            <w:tcW w:type="dxa" w:w="1872"/>
            <w:shd w:fill="F4F7FA"/>
          </w:tcPr>
          <w:p>
            <w:pPr>
              <w:jc w:val="left"/>
            </w:pPr>
            <w:r>
              <w:rPr>
                <w:sz w:val="17"/>
              </w:rPr>
              <w:t>Reviewing Supreme Court Rules, 1966, PIL guidelines, and fee structure revisions</w:t>
            </w:r>
          </w:p>
        </w:tc>
        <w:tc>
          <w:tcPr>
            <w:tcW w:type="dxa" w:w="1872"/>
            <w:shd w:fill="F4F7FA"/>
          </w:tcPr>
          <w:p>
            <w:pPr>
              <w:jc w:val="left"/>
            </w:pPr>
            <w:r>
              <w:rPr>
                <w:sz w:val="17"/>
              </w:rPr>
              <w:t>Ad-hoc / Need basis</w:t>
            </w:r>
          </w:p>
        </w:tc>
        <w:tc>
          <w:tcPr>
            <w:tcW w:type="dxa" w:w="1872"/>
            <w:shd w:fill="F4F7FA"/>
          </w:tcPr>
          <w:p>
            <w:pPr>
              <w:jc w:val="left"/>
            </w:pPr>
            <w:r>
              <w:rPr>
                <w:sz w:val="17"/>
              </w:rPr>
              <w:t>Full Court</w:t>
            </w:r>
          </w:p>
        </w:tc>
      </w:tr>
    </w:tbl>
    <w:p>
      <w:pPr>
        <w:spacing w:before="280" w:after="120"/>
      </w:pPr>
      <w:r>
        <w:rPr>
          <w:b/>
          <w:color w:val="002B49"/>
          <w:sz w:val="24"/>
        </w:rPr>
        <w:t>5. REGISTRY CADRE RESTRUCTURING AND ADMINISTRATIVE ORDERS</w:t>
      </w:r>
    </w:p>
    <w:p>
      <w:r>
        <w:t>5.1 Resolution on Staff Promotion Rules (August 2009): The Full Court approved the revised cadre structure for officers of the Supreme Court Registry, introducing new promotional avenues for Assistant Registrars (Selection Grade), Senior Court Masters, and Branch Officers. The total sanctioned cadre strength of the Registry was enhanced from 1,850 to 2,120 personnel across administrative, judicial, editorial, and library streams.</w:t>
      </w:r>
    </w:p>
    <w:p>
      <w:r>
        <w:t>5.2 Legal Research Assistantship Scheme (2010): To assist Hon'ble Judges in legal research and case analysis, the Full Court sanctioned the engagement of Law Clerk-cum-Research Assistants on short-term contractual stipends. The guidelines specify selection criteria based on academic merit and interviews conducted by a Designated Bench.</w:t>
      </w:r>
    </w:p>
    <w:p>
      <w:pPr>
        <w:spacing w:before="280" w:after="120"/>
      </w:pPr>
      <w:r>
        <w:rPr>
          <w:b/>
          <w:color w:val="002B49"/>
          <w:sz w:val="24"/>
        </w:rPr>
        <w:t>6. REVISED ROSTER GUIDELINES &amp; COURT TIMINGS</w:t>
      </w:r>
    </w:p>
    <w:p>
      <w:r>
        <w:t>6.1 Roster Formulation Power: Reaffirming long-standing constitutional convention, the Full Court reiterated that the Chief Justice of India is the sole 'Master of the Roster' possessed of exclusive prerogative to allocate cases, constitute Benches (Division Benches, Three-Judge Benches, and Constitution Benches), and direct special sittings.</w:t>
      </w:r>
    </w:p>
    <w:p>
      <w:r>
        <w:t>6.2 Vacation Bench Directives: Detailed administrative rules were promulgated governing the functioning of Vacation Benches during the Summer and Winter recesses, restricting urgent hearings to habeas corpus petitions, bail applications, and matters involving imminent eviction or demolition.</w:t>
      </w:r>
    </w:p>
    <w:p>
      <w:pPr>
        <w:spacing w:before="400"/>
      </w:pPr>
      <w:r>
        <w:rPr>
          <w:i/>
        </w:rPr>
        <w:t>By Order of the Full Court:</w:t>
        <w:br/>
        <w:br/>
        <w:br/>
      </w:r>
      <w:r>
        <w:rPr>
          <w:b/>
        </w:rPr>
        <w:t>(A. I. S. CHEEMA / DE दीपक GUPTA)</w:t>
        <w:br/>
      </w:r>
      <w:r>
        <w:t>Registrar General, Supreme Court of India</w:t>
        <w:br/>
      </w:r>
      <w:r>
        <w:t>Tilak Marg, New Delhi - 110201</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