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Policy — Customer Support</w:t>
      </w:r>
    </w:p>
    <w:p>
      <w:r>
        <w:t>Purpose: This document defines the company policy for handling customer support requests, response SLAs, escalation procedures, and data handling guidelines.</w:t>
      </w:r>
    </w:p>
    <w:p>
      <w:pPr>
        <w:pStyle w:val="Heading2"/>
      </w:pPr>
      <w:r>
        <w:t>1. Scope</w:t>
      </w:r>
    </w:p>
    <w:p>
      <w:r>
        <w:t>This policy applies to all customer-facing support channels including chat, email, and phone.</w:t>
      </w:r>
    </w:p>
    <w:p>
      <w:pPr>
        <w:pStyle w:val="Heading2"/>
      </w:pPr>
      <w:r>
        <w:t>2. Response Times</w:t>
      </w:r>
    </w:p>
    <w:p>
      <w:r>
        <w:t>Priority 1 (Critical): initial response within 1 hour.</w:t>
        <w:br/>
        <w:t>Priority 2 (High): initial response within 4 hours.</w:t>
        <w:br/>
        <w:t>Priority 3 (Normal): initial response within 24 hours.</w:t>
      </w:r>
    </w:p>
    <w:p>
      <w:pPr>
        <w:pStyle w:val="Heading2"/>
      </w:pPr>
      <w:r>
        <w:t>3. Escalation</w:t>
      </w:r>
    </w:p>
    <w:p>
      <w:r>
        <w:t>If an issue is unresolved after 48 hours, escalate to Level 2 Support and notify the support manager.</w:t>
      </w:r>
    </w:p>
    <w:p>
      <w:pPr>
        <w:pStyle w:val="Heading2"/>
      </w:pPr>
      <w:r>
        <w:t>4. Data Handling</w:t>
      </w:r>
    </w:p>
    <w:p>
      <w:r>
        <w:t>Do not request or store sensitive personal data in chat logs. Use secure ticketing system for PII.</w:t>
      </w:r>
    </w:p>
    <w:p>
      <w:r>
        <w:br/>
        <w:t>Last updated: 2026-08-28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