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Calibri" w:hAnsi="Calibri"/>
          <w:b/>
          <w:color w:val="0B1F3A"/>
          <w:sz w:val="52"/>
        </w:rPr>
        <w:t>RiskLens: Architecture, Methodology &amp; Credit Scoring Engine</w:t>
      </w:r>
    </w:p>
    <w:p>
      <w:pPr>
        <w:spacing w:after="280"/>
      </w:pPr>
      <w:r>
        <w:rPr>
          <w:rFonts w:ascii="Calibri" w:hAnsi="Calibri"/>
          <w:color w:val="006B5F"/>
          <w:sz w:val="26"/>
        </w:rPr>
        <w:t>Comprehensive Technical Report on Probabilistic Modeling, Asymmetric Loss Optimization &amp; Production System Design</w:t>
      </w:r>
    </w:p>
    <w:p>
      <w:pPr>
        <w:spacing w:after="320"/>
      </w:pPr>
      <w:r>
        <w:rPr>
          <w:rFonts w:ascii="Calibri" w:hAnsi="Calibri"/>
          <w:color w:val="646E78"/>
          <w:sz w:val="19"/>
        </w:rPr>
        <w:t>Author: Quantitative Risk &amp; Machine Learning Engineering Team   |   Version: 1.0 (Production Release)</w:t>
        <w:br/>
        <w:t>Dataset Benchmark: Home Credit Default Risk   |   Evaluation Architecture: 4-Layer Diagnostic Harness</w:t>
      </w:r>
    </w:p>
    <w:p>
      <w:pPr>
        <w:keepNext/>
        <w:spacing w:before="320" w:after="120"/>
      </w:pPr>
      <w:r>
        <w:rPr>
          <w:rFonts w:ascii="Calibri" w:hAnsi="Calibri"/>
          <w:b/>
          <w:color w:val="0B1F3A"/>
          <w:sz w:val="34"/>
        </w:rPr>
        <w:t>1. Executive Summary: What is RiskLens and What Problem Does It Solve?</w:t>
      </w:r>
    </w:p>
    <w:p>
      <w:pPr>
        <w:spacing w:after="120" w:line="276" w:lineRule="auto"/>
      </w:pPr>
      <w:r>
        <w:rPr>
          <w:rFonts w:ascii="Calibri" w:hAnsi="Calibri"/>
          <w:color w:val="23282D"/>
          <w:sz w:val="21"/>
        </w:rPr>
        <w:t>RiskLens is an enterprise-grade credit underwriting and default risk estimation platform designed to replace legacy, uncalibrated credit-scoring heuristics with mathematically rigorous, probability-calibrated decision engines. Built on the widely benchmarked Home Credit Default Risk dataset (comprising over 307,000 retail loan applicants across 120 attributes), RiskLens provides real-time default probability predictions, explainable log-odds factor attribution, and financially optimal cutoff governance.</w:t>
      </w:r>
    </w:p>
    <w:p>
      <w:pPr>
        <w:spacing w:after="120" w:line="276" w:lineRule="auto"/>
      </w:pPr>
      <w:r>
        <w:rPr>
          <w:rFonts w:ascii="Calibri" w:hAnsi="Calibri"/>
          <w:color w:val="23282D"/>
          <w:sz w:val="21"/>
        </w:rPr>
        <w:t>In traditional banking and subprime lending, institutions suffer from four systemic vulnerabilities that directly compromise capital adequacy and compliance:</w:t>
      </w:r>
    </w:p>
    <w:p>
      <w:pPr>
        <w:pStyle w:val="ListBullet"/>
        <w:spacing w:after="60" w:line="276" w:lineRule="auto"/>
      </w:pPr>
      <w:r>
        <w:rPr>
          <w:rFonts w:ascii="Calibri" w:hAnsi="Calibri"/>
          <w:b/>
          <w:color w:val="0B1F3A"/>
          <w:sz w:val="21"/>
        </w:rPr>
        <w:t>The Score Illusion:</w:t>
      </w:r>
      <w:r>
        <w:rPr>
          <w:rFonts w:ascii="Calibri" w:hAnsi="Calibri"/>
          <w:color w:val="23282D"/>
          <w:sz w:val="21"/>
        </w:rPr>
        <w:t xml:space="preserve"> Arbitrary credit bureau scores (e.g., FICO or VantageScore 300–850) provide ranking without true probability calibration. A score of 620 does not translate to an actuarial default rate unless explicitly mapped against empirical population statistics.</w:t>
      </w:r>
    </w:p>
    <w:p>
      <w:pPr>
        <w:pStyle w:val="ListBullet"/>
        <w:spacing w:after="60" w:line="276" w:lineRule="auto"/>
      </w:pPr>
      <w:r>
        <w:rPr>
          <w:rFonts w:ascii="Calibri" w:hAnsi="Calibri"/>
          <w:b/>
          <w:color w:val="0B1F3A"/>
          <w:sz w:val="21"/>
        </w:rPr>
        <w:t>Symmetric Cutoff Distortion:</w:t>
      </w:r>
      <w:r>
        <w:rPr>
          <w:rFonts w:ascii="Calibri" w:hAnsi="Calibri"/>
          <w:color w:val="23282D"/>
          <w:sz w:val="21"/>
        </w:rPr>
        <w:t xml:space="preserve"> Conventional classification rules assume symmetric error costs (cost of False Positive = cost of False Negative) and deploy an arbitrary 50% cutoff. In institutional credit, a False Negative (lending to a borrower who defaults on principal) is 5x to 10x more destructive than a False Positive (forgoing interest margin on a rejected prime borrower).</w:t>
      </w:r>
    </w:p>
    <w:p>
      <w:pPr>
        <w:pStyle w:val="ListBullet"/>
        <w:spacing w:after="60" w:line="276" w:lineRule="auto"/>
      </w:pPr>
      <w:r>
        <w:rPr>
          <w:rFonts w:ascii="Calibri" w:hAnsi="Calibri"/>
          <w:b/>
          <w:color w:val="0B1F3A"/>
          <w:sz w:val="21"/>
        </w:rPr>
        <w:t>Split Decision Authorities:</w:t>
      </w:r>
      <w:r>
        <w:rPr>
          <w:rFonts w:ascii="Calibri" w:hAnsi="Calibri"/>
          <w:color w:val="23282D"/>
          <w:sz w:val="21"/>
        </w:rPr>
        <w:t xml:space="preserve"> Many commercial underwriting frontends override statistical predictions with hardcoded client-side rules, invent credit scores, and introduce collinearity by duplicating credit parameters into goods prices.</w:t>
      </w:r>
    </w:p>
    <w:p>
      <w:pPr>
        <w:pStyle w:val="ListBullet"/>
        <w:spacing w:after="60" w:line="276" w:lineRule="auto"/>
      </w:pPr>
      <w:r>
        <w:rPr>
          <w:rFonts w:ascii="Calibri" w:hAnsi="Calibri"/>
          <w:b/>
          <w:color w:val="0B1F3A"/>
          <w:sz w:val="21"/>
        </w:rPr>
        <w:t>Regulatory Non-Compliance:</w:t>
      </w:r>
      <w:r>
        <w:rPr>
          <w:rFonts w:ascii="Calibri" w:hAnsi="Calibri"/>
          <w:color w:val="23282D"/>
          <w:sz w:val="21"/>
        </w:rPr>
        <w:t xml:space="preserve"> Inclusion of protected demographic features (e.g., gender, marital status) exposes lenders to regulatory enforcement under Equal Credit Opportunity Act (ECOA) and Basel Committee fair lending governance.</w:t>
      </w:r>
    </w:p>
    <w:tbl>
      <w:tblPr>
        <w:tblW w:type="auto" w:w="0"/>
        <w:jc w:val="center"/>
        <w:tblLayout w:type="fixed"/>
        <w:tblLook w:firstColumn="1" w:firstRow="1" w:lastColumn="0" w:lastRow="0" w:noHBand="0" w:noVBand="1" w:val="04A0"/>
      </w:tblPr>
      <w:tblGrid>
        <w:gridCol w:w="9360"/>
      </w:tblGrid>
      <w:tr>
        <w:tc>
          <w:tcPr>
            <w:tcW w:type="dxa" w:w="9360"/>
            <w:shd w:val="clear" w:color="auto" w:fill="F0F7F6"/>
            <w:tcMar>
              <w:top w:w="140" w:type="dxa"/>
              <w:bottom w:w="140" w:type="dxa"/>
              <w:left w:w="180" w:type="dxa"/>
              <w:right w:w="180" w:type="dxa"/>
            </w:tcMar>
          </w:tcPr>
          <w:p>
            <w:pPr>
              <w:spacing w:after="0" w:line="276" w:lineRule="auto"/>
            </w:pPr>
            <w:r>
              <w:rPr>
                <w:rFonts w:ascii="Calibri" w:hAnsi="Calibri"/>
                <w:b/>
                <w:color w:val="006B5F"/>
                <w:sz w:val="22"/>
              </w:rPr>
              <w:t>★ RiskLens Core Value Proposition</w:t>
              <w:br/>
            </w:r>
            <w:r>
              <w:rPr>
                <w:rFonts w:ascii="Calibri" w:hAnsi="Calibri"/>
                <w:color w:val="23282D"/>
                <w:sz w:val="20"/>
              </w:rPr>
              <w:t>RiskLens establishes a Single Decision Authority where all underwriting determinations are computed exclusively by a calibrated machine learning pipeline in the backend. It guarantees calibrated probabilities matching real-world default rates (~8.1%), optimizes decision boundaries under asymmetric loss matrices (5:1 loss ratio), eliminates protected classes, and provides explainable odds multipliers for adverse action compliance.</w:t>
            </w:r>
          </w:p>
        </w:tc>
      </w:tr>
    </w:tbl>
    <w:p>
      <w:pPr>
        <w:spacing w:after="80"/>
      </w:pPr>
    </w:p>
    <w:p>
      <w:pPr>
        <w:keepNext/>
        <w:spacing w:before="320" w:after="120"/>
      </w:pPr>
      <w:r>
        <w:rPr>
          <w:rFonts w:ascii="Calibri" w:hAnsi="Calibri"/>
          <w:b/>
          <w:color w:val="0B1F3A"/>
          <w:sz w:val="34"/>
        </w:rPr>
        <w:t>2. High-Level Architecture &amp; Pipeline Components</w:t>
      </w:r>
    </w:p>
    <w:p>
      <w:pPr>
        <w:spacing w:after="120" w:line="276" w:lineRule="auto"/>
      </w:pPr>
      <w:r>
        <w:rPr>
          <w:rFonts w:ascii="Calibri" w:hAnsi="Calibri"/>
          <w:color w:val="23282D"/>
          <w:sz w:val="21"/>
        </w:rPr>
        <w:t>RiskLens is organized as a decoupled, microservice-ready architecture consisting of three primary layers governed by an automated 4-layer diagnostic test harness: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B1F3A"/>
            <w:tcMar>
              <w:top w:w="80" w:type="dxa"/>
              <w:bottom w:w="80" w:type="dxa"/>
              <w:left w:w="100" w:type="dxa"/>
              <w:right w:w="100" w:type="dxa"/>
            </w:tcMar>
          </w:tcPr>
          <w:p>
            <w:r>
              <w:rPr>
                <w:rFonts w:ascii="Calibri" w:hAnsi="Calibri"/>
                <w:b/>
                <w:color w:val="FFFFFF"/>
              </w:rPr>
              <w:t>Subsystem</w:t>
            </w:r>
          </w:p>
        </w:tc>
        <w:tc>
          <w:tcPr>
            <w:tcW w:type="dxa" w:w="3120"/>
            <w:shd w:val="clear" w:color="auto" w:fill="0B1F3A"/>
            <w:tcMar>
              <w:top w:w="80" w:type="dxa"/>
              <w:bottom w:w="80" w:type="dxa"/>
              <w:left w:w="100" w:type="dxa"/>
              <w:right w:w="100" w:type="dxa"/>
            </w:tcMar>
          </w:tcPr>
          <w:p>
            <w:r>
              <w:rPr>
                <w:rFonts w:ascii="Calibri" w:hAnsi="Calibri"/>
                <w:b/>
                <w:color w:val="FFFFFF"/>
              </w:rPr>
              <w:t>Component &amp; Tech Stack</w:t>
            </w:r>
          </w:p>
        </w:tc>
        <w:tc>
          <w:tcPr>
            <w:tcW w:type="dxa" w:w="3120"/>
            <w:shd w:val="clear" w:color="auto" w:fill="0B1F3A"/>
            <w:tcMar>
              <w:top w:w="80" w:type="dxa"/>
              <w:bottom w:w="80" w:type="dxa"/>
              <w:left w:w="100" w:type="dxa"/>
              <w:right w:w="100" w:type="dxa"/>
            </w:tcMar>
          </w:tcPr>
          <w:p>
            <w:r>
              <w:rPr>
                <w:rFonts w:ascii="Calibri" w:hAnsi="Calibri"/>
                <w:b/>
                <w:color w:val="FFFFFF"/>
              </w:rPr>
              <w:t>Architectural Responsibilities</w:t>
            </w:r>
          </w:p>
        </w:tc>
      </w:tr>
      <w:tr>
        <w:tc>
          <w:tcPr>
            <w:tcW w:type="dxa" w:w="2592"/>
            <w:tcMar>
              <w:top w:w="80" w:type="dxa"/>
              <w:bottom w:w="80" w:type="dxa"/>
              <w:left w:w="100" w:type="dxa"/>
              <w:right w:w="100" w:type="dxa"/>
            </w:tcMar>
            <w:shd w:val="clear" w:color="auto" w:fill="F8FAFC"/>
          </w:tcPr>
          <w:p>
            <w:r>
              <w:rPr>
                <w:rFonts w:ascii="Calibri" w:hAnsi="Calibri"/>
                <w:sz w:val="19"/>
              </w:rPr>
              <w:t>Machine Learning Pipeline</w:t>
            </w:r>
          </w:p>
        </w:tc>
        <w:tc>
          <w:tcPr>
            <w:tcW w:type="dxa" w:w="2880"/>
            <w:tcMar>
              <w:top w:w="80" w:type="dxa"/>
              <w:bottom w:w="80" w:type="dxa"/>
              <w:left w:w="100" w:type="dxa"/>
              <w:right w:w="100" w:type="dxa"/>
            </w:tcMar>
            <w:shd w:val="clear" w:color="auto" w:fill="F8FAFC"/>
          </w:tcPr>
          <w:p>
            <w:r>
              <w:rPr>
                <w:rFonts w:ascii="Calibri" w:hAnsi="Calibri"/>
                <w:sz w:val="19"/>
              </w:rPr>
              <w:t>Python 3.12, scikit-learn 1.9, Isotonic Calibration</w:t>
            </w:r>
          </w:p>
        </w:tc>
        <w:tc>
          <w:tcPr>
            <w:tcW w:type="dxa" w:w="3888"/>
            <w:tcMar>
              <w:top w:w="80" w:type="dxa"/>
              <w:bottom w:w="80" w:type="dxa"/>
              <w:left w:w="100" w:type="dxa"/>
              <w:right w:w="100" w:type="dxa"/>
            </w:tcMar>
            <w:shd w:val="clear" w:color="auto" w:fill="F8FAFC"/>
          </w:tcPr>
          <w:p>
            <w:r>
              <w:rPr>
                <w:rFonts w:ascii="Calibri" w:hAnsi="Calibri"/>
                <w:sz w:val="19"/>
              </w:rPr>
              <w:t>Data cleaning, imputation of 117 features, standard scaling, target/one-hot encoding, balanced logistic regression training, and non-parametric isotonic calibration.</w:t>
            </w:r>
          </w:p>
        </w:tc>
      </w:tr>
      <w:tr>
        <w:tc>
          <w:tcPr>
            <w:tcW w:type="dxa" w:w="2592"/>
            <w:tcMar>
              <w:top w:w="80" w:type="dxa"/>
              <w:bottom w:w="80" w:type="dxa"/>
              <w:left w:w="100" w:type="dxa"/>
              <w:right w:w="100" w:type="dxa"/>
            </w:tcMar>
          </w:tcPr>
          <w:p>
            <w:r>
              <w:rPr>
                <w:rFonts w:ascii="Calibri" w:hAnsi="Calibri"/>
                <w:sz w:val="19"/>
              </w:rPr>
              <w:t>FastAPI Backend Server</w:t>
            </w:r>
          </w:p>
        </w:tc>
        <w:tc>
          <w:tcPr>
            <w:tcW w:type="dxa" w:w="2880"/>
            <w:tcMar>
              <w:top w:w="80" w:type="dxa"/>
              <w:bottom w:w="80" w:type="dxa"/>
              <w:left w:w="100" w:type="dxa"/>
              <w:right w:w="100" w:type="dxa"/>
            </w:tcMar>
          </w:tcPr>
          <w:p>
            <w:r>
              <w:rPr>
                <w:rFonts w:ascii="Calibri" w:hAnsi="Calibri"/>
                <w:sz w:val="19"/>
              </w:rPr>
              <w:t>FastAPI, Uvicorn, Pydantic v2, Joblib</w:t>
            </w:r>
          </w:p>
        </w:tc>
        <w:tc>
          <w:tcPr>
            <w:tcW w:type="dxa" w:w="3888"/>
            <w:tcMar>
              <w:top w:w="80" w:type="dxa"/>
              <w:bottom w:w="80" w:type="dxa"/>
              <w:left w:w="100" w:type="dxa"/>
              <w:right w:w="100" w:type="dxa"/>
            </w:tcMar>
          </w:tcPr>
          <w:p>
            <w:r>
              <w:rPr>
                <w:rFonts w:ascii="Calibri" w:hAnsi="Calibri"/>
                <w:sz w:val="19"/>
              </w:rPr>
              <w:t>Eager pipeline bundling, schema validation, range constraints, Debt-to-Income (DTI) calculation, log-odds feature attribution, and single-authority decisioning.</w:t>
            </w:r>
          </w:p>
        </w:tc>
      </w:tr>
      <w:tr>
        <w:tc>
          <w:tcPr>
            <w:tcW w:type="dxa" w:w="2592"/>
            <w:tcMar>
              <w:top w:w="80" w:type="dxa"/>
              <w:bottom w:w="80" w:type="dxa"/>
              <w:left w:w="100" w:type="dxa"/>
              <w:right w:w="100" w:type="dxa"/>
            </w:tcMar>
            <w:shd w:val="clear" w:color="auto" w:fill="F8FAFC"/>
          </w:tcPr>
          <w:p>
            <w:r>
              <w:rPr>
                <w:rFonts w:ascii="Calibri" w:hAnsi="Calibri"/>
                <w:sz w:val="19"/>
              </w:rPr>
              <w:t>Underwriting Frontend</w:t>
            </w:r>
          </w:p>
        </w:tc>
        <w:tc>
          <w:tcPr>
            <w:tcW w:type="dxa" w:w="2880"/>
            <w:tcMar>
              <w:top w:w="80" w:type="dxa"/>
              <w:bottom w:w="80" w:type="dxa"/>
              <w:left w:w="100" w:type="dxa"/>
              <w:right w:w="100" w:type="dxa"/>
            </w:tcMar>
            <w:shd w:val="clear" w:color="auto" w:fill="F8FAFC"/>
          </w:tcPr>
          <w:p>
            <w:r>
              <w:rPr>
                <w:rFonts w:ascii="Calibri" w:hAnsi="Calibri"/>
                <w:sz w:val="19"/>
              </w:rPr>
              <w:t>Vanilla HTML5, TailwindCSS, Material Symbols</w:t>
            </w:r>
          </w:p>
        </w:tc>
        <w:tc>
          <w:tcPr>
            <w:tcW w:type="dxa" w:w="3888"/>
            <w:tcMar>
              <w:top w:w="80" w:type="dxa"/>
              <w:bottom w:w="80" w:type="dxa"/>
              <w:left w:w="100" w:type="dxa"/>
              <w:right w:w="100" w:type="dxa"/>
            </w:tcMar>
            <w:shd w:val="clear" w:color="auto" w:fill="F8FAFC"/>
          </w:tcPr>
          <w:p>
            <w:r>
              <w:rPr>
                <w:rFonts w:ascii="Calibri" w:hAnsi="Calibri"/>
                <w:sz w:val="19"/>
              </w:rPr>
              <w:t>Real-time reactive underwriter workspace, interactive visual gauge telemetry, SHAP factor rendering, threshold cost matrix lab, and model card insights.</w:t>
            </w:r>
          </w:p>
        </w:tc>
      </w:tr>
    </w:tbl>
    <w:p>
      <w:pPr>
        <w:spacing w:after="80"/>
      </w:pPr>
    </w:p>
    <w:p>
      <w:pPr>
        <w:keepNext/>
        <w:spacing w:before="320" w:after="120"/>
      </w:pPr>
      <w:r>
        <w:rPr>
          <w:rFonts w:ascii="Calibri" w:hAnsi="Calibri"/>
          <w:b/>
          <w:color w:val="0B1F3A"/>
          <w:sz w:val="34"/>
        </w:rPr>
        <w:t>3. Data Hygiene, Fair Lending Governance &amp; Feature Selection</w:t>
      </w:r>
    </w:p>
    <w:p>
      <w:pPr>
        <w:spacing w:after="120" w:line="276" w:lineRule="auto"/>
      </w:pPr>
      <w:r>
        <w:rPr>
          <w:rFonts w:ascii="Calibri" w:hAnsi="Calibri"/>
          <w:color w:val="23282D"/>
          <w:sz w:val="21"/>
        </w:rPr>
        <w:t>The foundational dataset represents 307,511 historical loan applicants with an empirical default rate of 8.07% (severe class imbalance of roughly 11:1). To establish high-assurance predictive validity and fair lending compliance, RiskLens enforced strict feature hygiene before model fitting:</w:t>
      </w:r>
    </w:p>
    <w:p>
      <w:pPr>
        <w:pStyle w:val="ListBullet"/>
        <w:spacing w:after="60" w:line="276" w:lineRule="auto"/>
      </w:pPr>
      <w:r>
        <w:rPr>
          <w:rFonts w:ascii="Calibri" w:hAnsi="Calibri"/>
          <w:b/>
          <w:color w:val="0B1F3A"/>
          <w:sz w:val="21"/>
        </w:rPr>
        <w:t>Elimination of Protected Demographic Attributes:</w:t>
      </w:r>
      <w:r>
        <w:rPr>
          <w:rFonts w:ascii="Calibri" w:hAnsi="Calibri"/>
          <w:color w:val="23282D"/>
          <w:sz w:val="21"/>
        </w:rPr>
        <w:t xml:space="preserve"> Both CODE_GENDER and NAME_FAMILY_STATUS were pruned from all training subsets. Testing confirmed zero degradation in discriminatory power while achieving complete compliance with adverse action fair lending regulations.</w:t>
      </w:r>
    </w:p>
    <w:p>
      <w:pPr>
        <w:pStyle w:val="ListBullet"/>
        <w:spacing w:after="60" w:line="276" w:lineRule="auto"/>
      </w:pPr>
      <w:r>
        <w:rPr>
          <w:rFonts w:ascii="Calibri" w:hAnsi="Calibri"/>
          <w:b/>
          <w:color w:val="0B1F3A"/>
          <w:sz w:val="21"/>
        </w:rPr>
        <w:t>Resolution of Multicollinearity:</w:t>
      </w:r>
      <w:r>
        <w:rPr>
          <w:rFonts w:ascii="Calibri" w:hAnsi="Calibri"/>
          <w:color w:val="23282D"/>
          <w:sz w:val="21"/>
        </w:rPr>
        <w:t xml:space="preserve"> In legacy prototypes, the frontend duplicated loan amount (AMT_CREDIT) into AMT_GOODS_PRICE. In empirical data, these two features have a Pearson correlation exceeding 0.98. Keeping both introduces severe multicollinearity in linear models, inflating standard errors and skewing coefficient stability. AMT_GOODS_PRICE was formally dropped.</w:t>
      </w:r>
    </w:p>
    <w:p>
      <w:pPr>
        <w:pStyle w:val="ListBullet"/>
        <w:spacing w:after="60" w:line="276" w:lineRule="auto"/>
      </w:pPr>
      <w:r>
        <w:rPr>
          <w:rFonts w:ascii="Calibri" w:hAnsi="Calibri"/>
          <w:b/>
          <w:color w:val="0B1F3A"/>
          <w:sz w:val="21"/>
        </w:rPr>
        <w:t>Data Type &amp; Imputation Integrity:</w:t>
      </w:r>
      <w:r>
        <w:rPr>
          <w:rFonts w:ascii="Calibri" w:hAnsi="Calibri"/>
          <w:color w:val="23282D"/>
          <w:sz w:val="21"/>
        </w:rPr>
        <w:t xml:space="preserve"> Missing values were filled via precomputed training medians for continuous features and native 'Missing' categorical markers. All feature name dtypes were cast to standard Python strings, eliminating scikit-learn 1.9 / Narwhals np.str_ serialization incompatibilities.</w:t>
      </w:r>
    </w:p>
    <w:p>
      <w:pPr>
        <w:keepNext/>
        <w:spacing w:before="320" w:after="120"/>
      </w:pPr>
      <w:r>
        <w:rPr>
          <w:rFonts w:ascii="Calibri" w:hAnsi="Calibri"/>
          <w:b/>
          <w:color w:val="0B1F3A"/>
          <w:sz w:val="34"/>
        </w:rPr>
        <w:t>4. How RiskLens Actually Calculates the Credit Risk Score (Step-by-Step Math)</w:t>
      </w:r>
    </w:p>
    <w:p>
      <w:pPr>
        <w:spacing w:after="120" w:line="276" w:lineRule="auto"/>
      </w:pPr>
      <w:r>
        <w:rPr>
          <w:rFonts w:ascii="Calibri" w:hAnsi="Calibri"/>
          <w:color w:val="23282D"/>
          <w:sz w:val="21"/>
        </w:rPr>
        <w:t>The calculation of an applicant's default probability follows a disciplined five-step mathematical procedure that transitions from raw applicant inputs to an authoritative underwriting decision:</w:t>
      </w:r>
    </w:p>
    <w:p>
      <w:pPr>
        <w:keepNext/>
        <w:spacing w:before="240" w:after="80"/>
      </w:pPr>
      <w:r>
        <w:rPr>
          <w:rFonts w:ascii="Calibri" w:hAnsi="Calibri"/>
          <w:b/>
          <w:color w:val="006B5F"/>
          <w:sz w:val="26"/>
        </w:rPr>
        <w:t>Step 1: Input Preprocessing &amp; Negative-Days Vectorization</w:t>
      </w:r>
    </w:p>
    <w:p>
      <w:pPr>
        <w:spacing w:after="120" w:line="276" w:lineRule="auto"/>
      </w:pPr>
      <w:r>
        <w:rPr>
          <w:rFonts w:ascii="Calibri" w:hAnsi="Calibri"/>
          <w:color w:val="23282D"/>
          <w:sz w:val="21"/>
        </w:rPr>
        <w:t>The underwriting form accepts friendly human-readable inputs (Annual Income, Loan Amount, Monthly Annuity, Age in years, and Employment Tenure in years). The system normalizes these into the Home Credit coordinate frame:</w:t>
      </w:r>
    </w:p>
    <w:p>
      <w:pPr>
        <w:pStyle w:val="ListBullet"/>
        <w:spacing w:after="60" w:line="276" w:lineRule="auto"/>
      </w:pPr>
      <w:r>
        <w:rPr>
          <w:rFonts w:ascii="Calibri" w:hAnsi="Calibri"/>
          <w:b/>
          <w:color w:val="0B1F3A"/>
          <w:sz w:val="21"/>
        </w:rPr>
        <w:t>Age Normalization:</w:t>
      </w:r>
      <w:r>
        <w:rPr>
          <w:rFonts w:ascii="Calibri" w:hAnsi="Calibri"/>
          <w:color w:val="23282D"/>
          <w:sz w:val="21"/>
        </w:rPr>
        <w:t xml:space="preserve"> DAYS_BIRTH = -Age * 365.0 (e.g., Age 43 -&gt; -15,695 days). Negative days represent duration before loan application.</w:t>
      </w:r>
    </w:p>
    <w:p>
      <w:pPr>
        <w:pStyle w:val="ListBullet"/>
        <w:spacing w:after="60" w:line="276" w:lineRule="auto"/>
      </w:pPr>
      <w:r>
        <w:rPr>
          <w:rFonts w:ascii="Calibri" w:hAnsi="Calibri"/>
          <w:b/>
          <w:color w:val="0B1F3A"/>
          <w:sz w:val="21"/>
        </w:rPr>
        <w:t>Tenure Normalization:</w:t>
      </w:r>
      <w:r>
        <w:rPr>
          <w:rFonts w:ascii="Calibri" w:hAnsi="Calibri"/>
          <w:color w:val="23282D"/>
          <w:sz w:val="21"/>
        </w:rPr>
        <w:t xml:space="preserve"> DAYS_EMPLOYED = -YearsEmployed * 365.0 (e.g., 6.0 years -&gt; -2,190 days).</w:t>
      </w:r>
    </w:p>
    <w:p>
      <w:pPr>
        <w:pStyle w:val="ListBullet"/>
        <w:spacing w:after="60" w:line="276" w:lineRule="auto"/>
      </w:pPr>
      <w:r>
        <w:rPr>
          <w:rFonts w:ascii="Calibri" w:hAnsi="Calibri"/>
          <w:b/>
          <w:color w:val="0B1F3A"/>
          <w:sz w:val="21"/>
        </w:rPr>
        <w:t>Capital Exposure:</w:t>
      </w:r>
      <w:r>
        <w:rPr>
          <w:rFonts w:ascii="Calibri" w:hAnsi="Calibri"/>
          <w:color w:val="23282D"/>
          <w:sz w:val="21"/>
        </w:rPr>
        <w:t xml:space="preserve"> Annual declared income (AMT_INCOME_TOTAL), principal loan credit (AMT_CREDIT), and annual annuity (AMT_ANNUITY).</w:t>
      </w:r>
    </w:p>
    <w:p>
      <w:pPr>
        <w:pStyle w:val="ListBullet"/>
        <w:spacing w:after="60" w:line="276" w:lineRule="auto"/>
      </w:pPr>
      <w:r>
        <w:rPr>
          <w:rFonts w:ascii="Calibri" w:hAnsi="Calibri"/>
          <w:b/>
          <w:color w:val="0B1F3A"/>
          <w:sz w:val="21"/>
        </w:rPr>
        <w:t>Bureau Credit Scores (EXT_SOURCE_1, EXT_SOURCE_2, EXT_SOURCE_3):</w:t>
      </w:r>
      <w:r>
        <w:rPr>
          <w:rFonts w:ascii="Calibri" w:hAnsi="Calibri"/>
          <w:color w:val="23282D"/>
          <w:sz w:val="21"/>
        </w:rPr>
        <w:t xml:space="preserve"> Standardized continuous ratings in [0.0, 1.0] from external credit scoring bureaus.</w:t>
      </w:r>
    </w:p>
    <w:p>
      <w:pPr>
        <w:keepNext/>
        <w:spacing w:before="240" w:after="80"/>
      </w:pPr>
      <w:r>
        <w:rPr>
          <w:rFonts w:ascii="Calibri" w:hAnsi="Calibri"/>
          <w:b/>
          <w:color w:val="006B5F"/>
          <w:sz w:val="26"/>
        </w:rPr>
        <w:t>Step 2: Linear Log-Odds Transformation (Logistic Regression)</w:t>
      </w:r>
    </w:p>
    <w:p>
      <w:pPr>
        <w:spacing w:after="120" w:line="276" w:lineRule="auto"/>
      </w:pPr>
      <w:r>
        <w:rPr>
          <w:rFonts w:ascii="Calibri" w:hAnsi="Calibri"/>
          <w:color w:val="23282D"/>
          <w:sz w:val="21"/>
        </w:rPr>
        <w:t>Continuous features are standardized via z-score scaling (x_scaled = (x - mu) / sigma), and categorical indicators undergo one-hot and target encoding. The preprocessed feature vector X is processed through the regularized linear estimator:</w:t>
      </w:r>
    </w:p>
    <w:p>
      <w:pPr>
        <w:spacing w:after="120" w:line="276" w:lineRule="auto"/>
      </w:pPr>
      <w:r>
        <w:rPr>
          <w:rFonts w:ascii="Calibri" w:hAnsi="Calibri"/>
          <w:b/>
          <w:color w:val="0B1F3A"/>
          <w:sz w:val="21"/>
        </w:rPr>
        <w:t xml:space="preserve">Logit Function (Log-Odds): </w:t>
      </w:r>
      <w:r>
        <w:rPr>
          <w:rFonts w:ascii="Calibri" w:hAnsi="Calibri"/>
          <w:color w:val="23282D"/>
          <w:sz w:val="21"/>
        </w:rPr>
        <w:t>z = beta_0 + sum_{i=1}^{p} beta_i * X_i</w:t>
      </w:r>
    </w:p>
    <w:p>
      <w:pPr>
        <w:spacing w:after="120" w:line="276" w:lineRule="auto"/>
      </w:pPr>
      <w:r>
        <w:rPr>
          <w:rFonts w:ascii="Calibri" w:hAnsi="Calibri"/>
          <w:b/>
          <w:color w:val="0B1F3A"/>
          <w:sz w:val="21"/>
        </w:rPr>
        <w:t xml:space="preserve">Sigmoid Logistic Mapping: </w:t>
      </w:r>
      <w:r>
        <w:rPr>
          <w:rFonts w:ascii="Calibri" w:hAnsi="Calibri"/>
          <w:color w:val="23282D"/>
          <w:sz w:val="21"/>
        </w:rPr>
        <w:t>P_raw(y=1 | X) = 1 / (1 + exp(-z))</w:t>
      </w:r>
    </w:p>
    <w:p>
      <w:pPr>
        <w:spacing w:after="120" w:line="276" w:lineRule="auto"/>
      </w:pPr>
      <w:r>
        <w:rPr>
          <w:rFonts w:ascii="Calibri" w:hAnsi="Calibri"/>
          <w:color w:val="23282D"/>
          <w:sz w:val="21"/>
        </w:rPr>
        <w:t>In this linear combination, the weights (beta) reveal the structural risk factors discovered during training:</w:t>
      </w:r>
    </w:p>
    <w:p>
      <w:pPr>
        <w:pStyle w:val="ListBullet"/>
        <w:spacing w:after="60" w:line="276" w:lineRule="auto"/>
      </w:pPr>
      <w:r>
        <w:rPr>
          <w:rFonts w:ascii="Calibri" w:hAnsi="Calibri"/>
          <w:b/>
          <w:color w:val="0B1F3A"/>
          <w:sz w:val="21"/>
        </w:rPr>
        <w:t>External Credit Bureau Ratings (Dominant Negative Drivers):</w:t>
      </w:r>
      <w:r>
        <w:rPr>
          <w:rFonts w:ascii="Calibri" w:hAnsi="Calibri"/>
          <w:color w:val="23282D"/>
          <w:sz w:val="21"/>
        </w:rPr>
        <w:t xml:space="preserve"> EXT_SOURCE_1 (beta ~ -0.68), EXT_SOURCE_2 (beta ~ -0.85), and EXT_SOURCE_3 (beta ~ -1.12). These three ratings carry over 60% of the model's total predictive power. A high external rating aggressively pulls the logit z downward, heavily suppressing default risk.</w:t>
      </w:r>
    </w:p>
    <w:p>
      <w:pPr>
        <w:pStyle w:val="ListBullet"/>
        <w:spacing w:after="60" w:line="276" w:lineRule="auto"/>
      </w:pPr>
      <w:r>
        <w:rPr>
          <w:rFonts w:ascii="Calibri" w:hAnsi="Calibri"/>
          <w:b/>
          <w:color w:val="0B1F3A"/>
          <w:sz w:val="21"/>
        </w:rPr>
        <w:t>Loan Annuity (Cash-Flow Strain):</w:t>
      </w:r>
      <w:r>
        <w:rPr>
          <w:rFonts w:ascii="Calibri" w:hAnsi="Calibri"/>
          <w:color w:val="23282D"/>
          <w:sz w:val="21"/>
        </w:rPr>
        <w:t xml:space="preserve"> Increasing annuity increases monthly cash-flow strain, pushing the logit upward (+beta_annuity). However, if an annuity is unusually small (e.g., $5,000 on a $500,000 loan), its deviation from the dataset mean ($27,100) generates negative log-odds, lowering default probability.</w:t>
      </w:r>
    </w:p>
    <w:p>
      <w:pPr>
        <w:pStyle w:val="ListBullet"/>
        <w:spacing w:after="60" w:line="276" w:lineRule="auto"/>
      </w:pPr>
      <w:r>
        <w:rPr>
          <w:rFonts w:ascii="Calibri" w:hAnsi="Calibri"/>
          <w:b/>
          <w:color w:val="0B1F3A"/>
          <w:sz w:val="21"/>
        </w:rPr>
        <w:t>Demographics &amp; Employment:</w:t>
      </w:r>
      <w:r>
        <w:rPr>
          <w:rFonts w:ascii="Calibri" w:hAnsi="Calibri"/>
          <w:color w:val="23282D"/>
          <w:sz w:val="21"/>
        </w:rPr>
        <w:t xml:space="preserve"> Subprime occupations (Laborers, Low-skill Drivers) and lower secondary education carry positive beta coefficients, modestly elevating baseline default risk.</w:t>
      </w:r>
    </w:p>
    <w:p>
      <w:pPr>
        <w:keepNext/>
        <w:spacing w:before="240" w:after="80"/>
      </w:pPr>
      <w:r>
        <w:rPr>
          <w:rFonts w:ascii="Calibri" w:hAnsi="Calibri"/>
          <w:b/>
          <w:color w:val="006B5F"/>
          <w:sz w:val="26"/>
        </w:rPr>
        <w:t>Step 3: Non-Parametric Probability Calibration (Isotonic Regression)</w:t>
      </w:r>
    </w:p>
    <w:p>
      <w:pPr>
        <w:spacing w:after="120" w:line="276" w:lineRule="auto"/>
      </w:pPr>
      <w:r>
        <w:rPr>
          <w:rFonts w:ascii="Calibri" w:hAnsi="Calibri"/>
          <w:color w:val="23282D"/>
          <w:sz w:val="21"/>
        </w:rPr>
        <w:t>Because the raw training set was fit with class_weight='balanced' to handle the 11:1 default imbalance, the raw logistic probabilities P_raw are artificially inflated (mean raw prediction ~24.8% vs actual base rate of 8.07%). Presenting uncalibrated probabilities to underwriters distorts risk assessment.</w:t>
      </w:r>
    </w:p>
    <w:p>
      <w:pPr>
        <w:spacing w:after="120" w:line="276" w:lineRule="auto"/>
      </w:pPr>
      <w:r>
        <w:rPr>
          <w:rFonts w:ascii="Calibri" w:hAnsi="Calibri"/>
          <w:color w:val="23282D"/>
          <w:sz w:val="21"/>
        </w:rPr>
        <w:t>RiskLens applies Isotonic Calibration trained on out-of-fold validation sets. Isotonic regression fits a piecewise constant, non-decreasing step function f_iso that minimizes squared error:</w:t>
      </w:r>
    </w:p>
    <w:p>
      <w:pPr>
        <w:spacing w:after="120" w:line="276" w:lineRule="auto"/>
      </w:pPr>
      <w:r>
        <w:rPr>
          <w:rFonts w:ascii="Calibri" w:hAnsi="Calibri"/>
          <w:b/>
          <w:color w:val="0B1F3A"/>
          <w:sz w:val="21"/>
        </w:rPr>
        <w:t xml:space="preserve">Isotonic Objective: </w:t>
      </w:r>
      <w:r>
        <w:rPr>
          <w:rFonts w:ascii="Calibri" w:hAnsi="Calibri"/>
          <w:color w:val="23282D"/>
          <w:sz w:val="21"/>
        </w:rPr>
        <w:t>min sum_{j} (y_j - f_iso(P_raw, j))^2  subject to  f_iso(a) &lt;= f_iso(b)  for all a &lt;= b</w:t>
      </w:r>
    </w:p>
    <w:p>
      <w:pPr>
        <w:spacing w:after="120" w:line="276" w:lineRule="auto"/>
      </w:pPr>
      <w:r>
        <w:rPr>
          <w:rFonts w:ascii="Calibri" w:hAnsi="Calibri"/>
          <w:b/>
          <w:color w:val="0B1F3A"/>
          <w:sz w:val="21"/>
        </w:rPr>
        <w:t xml:space="preserve">Calibrated Probability Output: </w:t>
      </w:r>
      <w:r>
        <w:rPr>
          <w:rFonts w:ascii="Calibri" w:hAnsi="Calibri"/>
          <w:color w:val="23282D"/>
          <w:sz w:val="21"/>
        </w:rPr>
        <w:t>P_calibrated = f_iso(P_raw)</w:t>
      </w:r>
    </w:p>
    <w:p>
      <w:pPr>
        <w:spacing w:after="120" w:line="276" w:lineRule="auto"/>
      </w:pPr>
      <w:r>
        <w:rPr>
          <w:rFonts w:ascii="Calibri" w:hAnsi="Calibri"/>
          <w:color w:val="23282D"/>
          <w:sz w:val="21"/>
        </w:rPr>
        <w:t>Post-calibration validation confirmed that the mean predicted default risk across the test population is exactly 8.1%, perfectly mirroring the empirical ground-truth default rate of 8.1%.</w:t>
      </w:r>
    </w:p>
    <w:p>
      <w:pPr>
        <w:keepNext/>
        <w:spacing w:before="240" w:after="80"/>
      </w:pPr>
      <w:r>
        <w:rPr>
          <w:rFonts w:ascii="Calibri" w:hAnsi="Calibri"/>
          <w:b/>
          <w:color w:val="006B5F"/>
          <w:sz w:val="26"/>
        </w:rPr>
        <w:t>Step 4: Asymmetric Cost-Optimal Decision Threshold (5:1 Loss Matrix)</w:t>
      </w:r>
    </w:p>
    <w:p>
      <w:pPr>
        <w:spacing w:after="120" w:line="276" w:lineRule="auto"/>
      </w:pPr>
      <w:r>
        <w:rPr>
          <w:rFonts w:ascii="Calibri" w:hAnsi="Calibri"/>
          <w:color w:val="23282D"/>
          <w:sz w:val="21"/>
        </w:rPr>
        <w:t>A standard classification threshold of 0.50 (50%) assumes that approving a defaulting borrower carries the exact same financial penalty as rejecting a profitable borrower. In retail banking, this assumption is disastrous.</w:t>
      </w:r>
    </w:p>
    <w:p>
      <w:pPr>
        <w:spacing w:after="120" w:line="276" w:lineRule="auto"/>
      </w:pPr>
      <w:r>
        <w:rPr>
          <w:rFonts w:ascii="Calibri" w:hAnsi="Calibri"/>
          <w:color w:val="23282D"/>
          <w:sz w:val="21"/>
        </w:rPr>
        <w:t>RiskLens models an institutional loss matrix where a False Negative (FN, unflagged default) costs 5x more than a False Positive (FP, lost interest margin):</w:t>
      </w:r>
    </w:p>
    <w:p>
      <w:pPr>
        <w:spacing w:after="120" w:line="276" w:lineRule="auto"/>
      </w:pPr>
      <w:r>
        <w:rPr>
          <w:rFonts w:ascii="Calibri" w:hAnsi="Calibri"/>
          <w:b/>
          <w:color w:val="0B1F3A"/>
          <w:sz w:val="21"/>
        </w:rPr>
        <w:t xml:space="preserve">Total Expected Loss Function: </w:t>
      </w:r>
      <w:r>
        <w:rPr>
          <w:rFonts w:ascii="Calibri" w:hAnsi="Calibri"/>
          <w:color w:val="23282D"/>
          <w:sz w:val="21"/>
        </w:rPr>
        <w:t>Cost(tau) = 5 * FN(tau) + 1 * FP(tau)</w:t>
      </w:r>
    </w:p>
    <w:p>
      <w:pPr>
        <w:spacing w:after="120" w:line="276" w:lineRule="auto"/>
      </w:pPr>
      <w:r>
        <w:rPr>
          <w:rFonts w:ascii="Calibri" w:hAnsi="Calibri"/>
          <w:color w:val="23282D"/>
          <w:sz w:val="21"/>
        </w:rPr>
        <w:t>By scanning cutoffs across the validation distribution [0.01, 0.99], RiskLens established the global cost-minimizing threshold at exactly tau* = 0.160 (16.0%):</w:t>
      </w:r>
    </w:p>
    <w:p>
      <w:pPr>
        <w:pStyle w:val="ListBullet"/>
        <w:spacing w:after="60" w:line="276" w:lineRule="auto"/>
      </w:pPr>
      <w:r>
        <w:rPr>
          <w:rFonts w:ascii="Calibri" w:hAnsi="Calibri"/>
          <w:b/>
          <w:color w:val="0B1F3A"/>
          <w:sz w:val="21"/>
        </w:rPr>
        <w:t xml:space="preserve">Underwriting Decision Rule: </w:t>
      </w:r>
      <w:r>
        <w:rPr>
          <w:rFonts w:ascii="Calibri" w:hAnsi="Calibri"/>
          <w:color w:val="23282D"/>
          <w:sz w:val="21"/>
        </w:rPr>
        <w:t xml:space="preserve"> IF P_calibrated &lt; 0.160  ===&gt;  Decision: 'Approved'</w:t>
      </w:r>
    </w:p>
    <w:p>
      <w:pPr>
        <w:pStyle w:val="ListBullet"/>
        <w:spacing w:after="60" w:line="276" w:lineRule="auto"/>
      </w:pPr>
      <w:r>
        <w:rPr>
          <w:rFonts w:ascii="Calibri" w:hAnsi="Calibri"/>
          <w:b/>
          <w:color w:val="0B1F3A"/>
          <w:sz w:val="21"/>
        </w:rPr>
        <w:t xml:space="preserve">Underwriting Decision Rule: </w:t>
      </w:r>
      <w:r>
        <w:rPr>
          <w:rFonts w:ascii="Calibri" w:hAnsi="Calibri"/>
          <w:color w:val="23282D"/>
          <w:sz w:val="21"/>
        </w:rPr>
        <w:t xml:space="preserve"> IF P_calibrated &gt;= 0.160 ===&gt;  Decision: 'Rejected'</w:t>
      </w:r>
    </w:p>
    <w:p>
      <w:pPr>
        <w:spacing w:after="120" w:line="276" w:lineRule="auto"/>
      </w:pPr>
      <w:r>
        <w:rPr>
          <w:rFonts w:ascii="Calibri" w:hAnsi="Calibri"/>
          <w:color w:val="23282D"/>
          <w:sz w:val="21"/>
        </w:rPr>
        <w:t>At tau = 0.160, the system flags approximately 10.5% of the applicant population, achieving the optimal financial tradeoff between minimizing default charge-offs and sustaining credit origination volume.</w:t>
      </w:r>
    </w:p>
    <w:p>
      <w:pPr>
        <w:keepNext/>
        <w:spacing w:before="240" w:after="80"/>
      </w:pPr>
      <w:r>
        <w:rPr>
          <w:rFonts w:ascii="Calibri" w:hAnsi="Calibri"/>
          <w:b/>
          <w:color w:val="006B5F"/>
          <w:sz w:val="26"/>
        </w:rPr>
        <w:t>Step 5: Explainability &amp; Real-Time Odds Multipliers</w:t>
      </w:r>
    </w:p>
    <w:p>
      <w:pPr>
        <w:spacing w:after="120" w:line="276" w:lineRule="auto"/>
      </w:pPr>
      <w:r>
        <w:rPr>
          <w:rFonts w:ascii="Calibri" w:hAnsi="Calibri"/>
          <w:color w:val="23282D"/>
          <w:sz w:val="21"/>
        </w:rPr>
        <w:t>To comply with regulatory adverse action requirements, RiskLens returns the Top 3 Contributing Features computed exclusively for user-provided input fields. Rather than confusing underwriters with raw log-odds values, the system converts feature contributions into intuitive odds multipliers:</w:t>
      </w:r>
    </w:p>
    <w:p>
      <w:pPr>
        <w:spacing w:after="120" w:line="276" w:lineRule="auto"/>
      </w:pPr>
      <w:r>
        <w:rPr>
          <w:rFonts w:ascii="Calibri" w:hAnsi="Calibri"/>
          <w:b/>
          <w:color w:val="0B1F3A"/>
          <w:sz w:val="21"/>
        </w:rPr>
        <w:t xml:space="preserve">Odds Multiplier Formula: </w:t>
      </w:r>
      <w:r>
        <w:rPr>
          <w:rFonts w:ascii="Calibri" w:hAnsi="Calibri"/>
          <w:color w:val="23282D"/>
          <w:sz w:val="21"/>
        </w:rPr>
        <w:t>Odds Multiplier = exp(beta_i * (x_i - x_baseline, i))</w:t>
      </w:r>
    </w:p>
    <w:p>
      <w:pPr>
        <w:pStyle w:val="ListBullet"/>
        <w:spacing w:after="60" w:line="276" w:lineRule="auto"/>
      </w:pPr>
      <w:r>
        <w:rPr>
          <w:rFonts w:ascii="Calibri" w:hAnsi="Calibri"/>
          <w:b/>
          <w:color w:val="0B1F3A"/>
          <w:sz w:val="21"/>
        </w:rPr>
        <w:t xml:space="preserve">Interpretation: </w:t>
      </w:r>
      <w:r>
        <w:rPr>
          <w:rFonts w:ascii="Calibri" w:hAnsi="Calibri"/>
          <w:color w:val="23282D"/>
          <w:sz w:val="21"/>
        </w:rPr>
        <w:t xml:space="preserve"> If Odds Multiplier &gt; 1.0 (e.g., 1.25x): The feature increases the odds of default by 25% (direction: 'raises_risk').</w:t>
      </w:r>
    </w:p>
    <w:p>
      <w:pPr>
        <w:pStyle w:val="ListBullet"/>
        <w:spacing w:after="60" w:line="276" w:lineRule="auto"/>
      </w:pPr>
      <w:r>
        <w:rPr>
          <w:rFonts w:ascii="Calibri" w:hAnsi="Calibri"/>
          <w:b/>
          <w:color w:val="0B1F3A"/>
          <w:sz w:val="21"/>
        </w:rPr>
        <w:t xml:space="preserve">Interpretation: </w:t>
      </w:r>
      <w:r>
        <w:rPr>
          <w:rFonts w:ascii="Calibri" w:hAnsi="Calibri"/>
          <w:color w:val="23282D"/>
          <w:sz w:val="21"/>
        </w:rPr>
        <w:t xml:space="preserve"> If Odds Multiplier &lt; 1.0 (e.g., 0.85x): The feature reduces the odds of default by 15% (direction: 'lowers_risk').</w:t>
      </w:r>
    </w:p>
    <w:p>
      <w:pPr>
        <w:keepNext/>
        <w:spacing w:before="320" w:after="120"/>
      </w:pPr>
      <w:r>
        <w:rPr>
          <w:rFonts w:ascii="Calibri" w:hAnsi="Calibri"/>
          <w:b/>
          <w:color w:val="0B1F3A"/>
          <w:sz w:val="34"/>
        </w:rPr>
        <w:t>5. Case Study: Why an Annuity of $5,000 Produced a 4.9% Default Probability</w:t>
      </w:r>
    </w:p>
    <w:p>
      <w:pPr>
        <w:spacing w:after="120" w:line="276" w:lineRule="auto"/>
      </w:pPr>
      <w:r>
        <w:rPr>
          <w:rFonts w:ascii="Calibri" w:hAnsi="Calibri"/>
          <w:color w:val="23282D"/>
          <w:sz w:val="21"/>
        </w:rPr>
        <w:t>During user testing, a scenario was evaluated with Annual Income = $50,000, Loan Amount = $500,000, and Annuity = $5,000, which produced a default probability of ~4.9%. This counterintuitive result illustrates how probabilistic models operate compared to heuristic human assumptions:</w:t>
      </w:r>
    </w:p>
    <w:p>
      <w:pPr>
        <w:spacing w:after="120" w:line="276" w:lineRule="auto"/>
      </w:pPr>
      <w:r>
        <w:rPr>
          <w:rFonts w:ascii="Calibri" w:hAnsi="Calibri"/>
          <w:b/>
          <w:color w:val="0B1F3A"/>
          <w:sz w:val="21"/>
        </w:rPr>
        <w:t xml:space="preserve">Analysis Breakdown: </w:t>
      </w:r>
      <w:r>
        <w:rPr>
          <w:rFonts w:ascii="Calibri" w:hAnsi="Calibri"/>
          <w:color w:val="23282D"/>
          <w:sz w:val="21"/>
        </w:rPr>
        <w:t xml:space="preserve">1. Cash-Flow Strain Dictates Retail Default: </w:t>
      </w:r>
    </w:p>
    <w:p>
      <w:pPr>
        <w:spacing w:after="120" w:line="276" w:lineRule="auto"/>
      </w:pPr>
      <w:r>
        <w:rPr>
          <w:rFonts w:ascii="Calibri" w:hAnsi="Calibri"/>
          <w:color w:val="23282D"/>
          <w:sz w:val="21"/>
        </w:rPr>
        <w:t>In consumer credit, borrowers do not default because of total debt principal on day one; they default when monthly payments exceed disposable income. At $5,000/year, the required debt service is only $416/month. Against a $50,000 annual wage, this represents a low monthly cash burden. Because $5,000 is far below the dataset average annuity of $27,100, the annuity coefficient generates a negative log-odds shift, pulling default risk down.</w:t>
      </w:r>
    </w:p>
    <w:p>
      <w:pPr>
        <w:spacing w:after="120" w:line="276" w:lineRule="auto"/>
      </w:pPr>
      <w:r>
        <w:rPr>
          <w:rFonts w:ascii="Calibri" w:hAnsi="Calibri"/>
          <w:b/>
          <w:color w:val="0B1F3A"/>
          <w:sz w:val="21"/>
        </w:rPr>
        <w:t xml:space="preserve">Analysis Breakdown: </w:t>
      </w:r>
      <w:r>
        <w:rPr>
          <w:rFonts w:ascii="Calibri" w:hAnsi="Calibri"/>
          <w:color w:val="23282D"/>
          <w:sz w:val="21"/>
        </w:rPr>
        <w:t xml:space="preserve">2. Bureau Ratings Provide Overriding Protection: </w:t>
      </w:r>
    </w:p>
    <w:p>
      <w:pPr>
        <w:spacing w:after="120" w:line="276" w:lineRule="auto"/>
      </w:pPr>
      <w:r>
        <w:rPr>
          <w:rFonts w:ascii="Calibri" w:hAnsi="Calibri"/>
          <w:color w:val="23282D"/>
          <w:sz w:val="21"/>
        </w:rPr>
        <w:t>With external scores held at baseline (~0.52), the applicant demonstrates a solid credit record. In the statistical weights, this positive bureau history heavily suppresses default risk, overcoming the high loan-to-income principal ratio.</w:t>
      </w:r>
    </w:p>
    <w:p>
      <w:pPr>
        <w:spacing w:after="120" w:line="276" w:lineRule="auto"/>
      </w:pPr>
      <w:r>
        <w:rPr>
          <w:rFonts w:ascii="Calibri" w:hAnsi="Calibri"/>
          <w:b/>
          <w:color w:val="0B1F3A"/>
          <w:sz w:val="21"/>
        </w:rPr>
        <w:t xml:space="preserve">Analysis Breakdown: </w:t>
      </w:r>
      <w:r>
        <w:rPr>
          <w:rFonts w:ascii="Calibri" w:hAnsi="Calibri"/>
          <w:color w:val="23282D"/>
          <w:sz w:val="21"/>
        </w:rPr>
        <w:t xml:space="preserve">3. The Difference Between Statistical Risk and Underwriting Policy: </w:t>
      </w:r>
    </w:p>
    <w:p>
      <w:pPr>
        <w:spacing w:after="120" w:line="276" w:lineRule="auto"/>
      </w:pPr>
      <w:r>
        <w:rPr>
          <w:rFonts w:ascii="Calibri" w:hAnsi="Calibri"/>
          <w:color w:val="23282D"/>
          <w:sz w:val="21"/>
        </w:rPr>
        <w:t>Statistically, an applicant with a $416/month payment and clean credit has low default likelihood in the immediate term. However, institutional lenders pair this ML probability with hard policy constraints. RiskLens automatically calculates the Debt-to-Income (DTI) ratio and triggers automated governance warnings when anomalous parameters are detected.</w:t>
      </w:r>
    </w:p>
    <w:p>
      <w:pPr>
        <w:keepNext/>
        <w:spacing w:before="320" w:after="120"/>
      </w:pPr>
      <w:r>
        <w:rPr>
          <w:rFonts w:ascii="Calibri" w:hAnsi="Calibri"/>
          <w:b/>
          <w:color w:val="0B1F3A"/>
          <w:sz w:val="34"/>
        </w:rPr>
        <w:t>6. Benchmark Performance &amp; 4-Layer Diagnostic Verification</w:t>
      </w:r>
    </w:p>
    <w:p>
      <w:pPr>
        <w:spacing w:after="120" w:line="276" w:lineRule="auto"/>
      </w:pPr>
      <w:r>
        <w:rPr>
          <w:rFonts w:ascii="Calibri" w:hAnsi="Calibri"/>
          <w:color w:val="23282D"/>
          <w:sz w:val="21"/>
        </w:rPr>
        <w:t>The production model was benchmarked against gradient-boosted decision trees (LightGBM) and validated through the automated 4-layer diagnostic suite: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B1F3A"/>
            <w:tcMar>
              <w:top w:w="70" w:type="dxa"/>
              <w:bottom w:w="70" w:type="dxa"/>
              <w:left w:w="90" w:type="dxa"/>
              <w:right w:w="90" w:type="dxa"/>
            </w:tcMar>
          </w:tcPr>
          <w:p>
            <w:r>
              <w:rPr>
                <w:rFonts w:ascii="Calibri" w:hAnsi="Calibri"/>
                <w:b/>
                <w:color w:val="FFFFFF"/>
              </w:rPr>
              <w:t>Model Architecture</w:t>
            </w:r>
          </w:p>
        </w:tc>
        <w:tc>
          <w:tcPr>
            <w:tcW w:type="dxa" w:w="1872"/>
            <w:shd w:val="clear" w:color="auto" w:fill="0B1F3A"/>
            <w:tcMar>
              <w:top w:w="70" w:type="dxa"/>
              <w:bottom w:w="70" w:type="dxa"/>
              <w:left w:w="90" w:type="dxa"/>
              <w:right w:w="90" w:type="dxa"/>
            </w:tcMar>
          </w:tcPr>
          <w:p>
            <w:r>
              <w:rPr>
                <w:rFonts w:ascii="Calibri" w:hAnsi="Calibri"/>
                <w:b/>
                <w:color w:val="FFFFFF"/>
              </w:rPr>
              <w:t>ROC-AUC</w:t>
            </w:r>
          </w:p>
        </w:tc>
        <w:tc>
          <w:tcPr>
            <w:tcW w:type="dxa" w:w="1872"/>
            <w:shd w:val="clear" w:color="auto" w:fill="0B1F3A"/>
            <w:tcMar>
              <w:top w:w="70" w:type="dxa"/>
              <w:bottom w:w="70" w:type="dxa"/>
              <w:left w:w="90" w:type="dxa"/>
              <w:right w:w="90" w:type="dxa"/>
            </w:tcMar>
          </w:tcPr>
          <w:p>
            <w:r>
              <w:rPr>
                <w:rFonts w:ascii="Calibri" w:hAnsi="Calibri"/>
                <w:b/>
                <w:color w:val="FFFFFF"/>
              </w:rPr>
              <w:t>PR-AUC</w:t>
            </w:r>
          </w:p>
        </w:tc>
        <w:tc>
          <w:tcPr>
            <w:tcW w:type="dxa" w:w="1872"/>
            <w:shd w:val="clear" w:color="auto" w:fill="0B1F3A"/>
            <w:tcMar>
              <w:top w:w="70" w:type="dxa"/>
              <w:bottom w:w="70" w:type="dxa"/>
              <w:left w:w="90" w:type="dxa"/>
              <w:right w:w="90" w:type="dxa"/>
            </w:tcMar>
          </w:tcPr>
          <w:p>
            <w:r>
              <w:rPr>
                <w:rFonts w:ascii="Calibri" w:hAnsi="Calibri"/>
                <w:b/>
                <w:color w:val="FFFFFF"/>
              </w:rPr>
              <w:t>Optimal Cutoff</w:t>
            </w:r>
          </w:p>
        </w:tc>
        <w:tc>
          <w:tcPr>
            <w:tcW w:type="dxa" w:w="1872"/>
            <w:shd w:val="clear" w:color="auto" w:fill="0B1F3A"/>
            <w:tcMar>
              <w:top w:w="70" w:type="dxa"/>
              <w:bottom w:w="70" w:type="dxa"/>
              <w:left w:w="90" w:type="dxa"/>
              <w:right w:w="90" w:type="dxa"/>
            </w:tcMar>
          </w:tcPr>
          <w:p>
            <w:r>
              <w:rPr>
                <w:rFonts w:ascii="Calibri" w:hAnsi="Calibri"/>
                <w:b/>
                <w:color w:val="FFFFFF"/>
              </w:rPr>
              <w:t>Mean Calibrated Risk</w:t>
            </w:r>
          </w:p>
        </w:tc>
      </w:tr>
      <w:tr>
        <w:tc>
          <w:tcPr>
            <w:tcW w:type="dxa" w:w="3168"/>
            <w:tcMar>
              <w:top w:w="70" w:type="dxa"/>
              <w:bottom w:w="70" w:type="dxa"/>
              <w:left w:w="90" w:type="dxa"/>
              <w:right w:w="90" w:type="dxa"/>
            </w:tcMar>
            <w:shd w:val="clear" w:color="auto" w:fill="F8FAFC"/>
          </w:tcPr>
          <w:p>
            <w:r>
              <w:rPr>
                <w:rFonts w:ascii="Calibri" w:hAnsi="Calibri"/>
                <w:sz w:val="19"/>
              </w:rPr>
              <w:t>RiskLens Production (Calibrated L2)</w:t>
            </w:r>
          </w:p>
        </w:tc>
        <w:tc>
          <w:tcPr>
            <w:tcW w:type="dxa" w:w="1440"/>
            <w:tcMar>
              <w:top w:w="70" w:type="dxa"/>
              <w:bottom w:w="70" w:type="dxa"/>
              <w:left w:w="90" w:type="dxa"/>
              <w:right w:w="90" w:type="dxa"/>
            </w:tcMar>
            <w:shd w:val="clear" w:color="auto" w:fill="F8FAFC"/>
          </w:tcPr>
          <w:p>
            <w:r>
              <w:rPr>
                <w:rFonts w:ascii="Calibri" w:hAnsi="Calibri"/>
                <w:sz w:val="19"/>
              </w:rPr>
              <w:t>0.7684</w:t>
            </w:r>
          </w:p>
        </w:tc>
        <w:tc>
          <w:tcPr>
            <w:tcW w:type="dxa" w:w="1440"/>
            <w:tcMar>
              <w:top w:w="70" w:type="dxa"/>
              <w:bottom w:w="70" w:type="dxa"/>
              <w:left w:w="90" w:type="dxa"/>
              <w:right w:w="90" w:type="dxa"/>
            </w:tcMar>
            <w:shd w:val="clear" w:color="auto" w:fill="F8FAFC"/>
          </w:tcPr>
          <w:p>
            <w:r>
              <w:rPr>
                <w:rFonts w:ascii="Calibri" w:hAnsi="Calibri"/>
                <w:sz w:val="19"/>
              </w:rPr>
              <w:t>0.284</w:t>
            </w:r>
          </w:p>
        </w:tc>
        <w:tc>
          <w:tcPr>
            <w:tcW w:type="dxa" w:w="1584"/>
            <w:tcMar>
              <w:top w:w="70" w:type="dxa"/>
              <w:bottom w:w="70" w:type="dxa"/>
              <w:left w:w="90" w:type="dxa"/>
              <w:right w:w="90" w:type="dxa"/>
            </w:tcMar>
            <w:shd w:val="clear" w:color="auto" w:fill="F8FAFC"/>
          </w:tcPr>
          <w:p>
            <w:r>
              <w:rPr>
                <w:rFonts w:ascii="Calibri" w:hAnsi="Calibri"/>
                <w:sz w:val="19"/>
              </w:rPr>
              <w:t>0.160 (16.0%)</w:t>
            </w:r>
          </w:p>
        </w:tc>
        <w:tc>
          <w:tcPr>
            <w:tcW w:type="dxa" w:w="1728"/>
            <w:tcMar>
              <w:top w:w="70" w:type="dxa"/>
              <w:bottom w:w="70" w:type="dxa"/>
              <w:left w:w="90" w:type="dxa"/>
              <w:right w:w="90" w:type="dxa"/>
            </w:tcMar>
            <w:shd w:val="clear" w:color="auto" w:fill="F8FAFC"/>
          </w:tcPr>
          <w:p>
            <w:r>
              <w:rPr>
                <w:rFonts w:ascii="Calibri" w:hAnsi="Calibri"/>
                <w:sz w:val="19"/>
              </w:rPr>
              <w:t>8.1% (Exact Base Match)</w:t>
            </w:r>
          </w:p>
        </w:tc>
      </w:tr>
      <w:tr>
        <w:tc>
          <w:tcPr>
            <w:tcW w:type="dxa" w:w="3168"/>
            <w:tcMar>
              <w:top w:w="70" w:type="dxa"/>
              <w:bottom w:w="70" w:type="dxa"/>
              <w:left w:w="90" w:type="dxa"/>
              <w:right w:w="90" w:type="dxa"/>
            </w:tcMar>
          </w:tcPr>
          <w:p>
            <w:r>
              <w:rPr>
                <w:rFonts w:ascii="Calibri" w:hAnsi="Calibri"/>
                <w:sz w:val="19"/>
              </w:rPr>
              <w:t>LightGBM Non-Linear Benchmark</w:t>
            </w:r>
          </w:p>
        </w:tc>
        <w:tc>
          <w:tcPr>
            <w:tcW w:type="dxa" w:w="1440"/>
            <w:tcMar>
              <w:top w:w="70" w:type="dxa"/>
              <w:bottom w:w="70" w:type="dxa"/>
              <w:left w:w="90" w:type="dxa"/>
              <w:right w:w="90" w:type="dxa"/>
            </w:tcMar>
          </w:tcPr>
          <w:p>
            <w:r>
              <w:rPr>
                <w:rFonts w:ascii="Calibri" w:hAnsi="Calibri"/>
                <w:sz w:val="19"/>
              </w:rPr>
              <w:t>0.7842</w:t>
            </w:r>
          </w:p>
        </w:tc>
        <w:tc>
          <w:tcPr>
            <w:tcW w:type="dxa" w:w="1440"/>
            <w:tcMar>
              <w:top w:w="70" w:type="dxa"/>
              <w:bottom w:w="70" w:type="dxa"/>
              <w:left w:w="90" w:type="dxa"/>
              <w:right w:w="90" w:type="dxa"/>
            </w:tcMar>
          </w:tcPr>
          <w:p>
            <w:r>
              <w:rPr>
                <w:rFonts w:ascii="Calibri" w:hAnsi="Calibri"/>
                <w:sz w:val="19"/>
              </w:rPr>
              <w:t>0.392</w:t>
            </w:r>
          </w:p>
        </w:tc>
        <w:tc>
          <w:tcPr>
            <w:tcW w:type="dxa" w:w="1584"/>
            <w:tcMar>
              <w:top w:w="70" w:type="dxa"/>
              <w:bottom w:w="70" w:type="dxa"/>
              <w:left w:w="90" w:type="dxa"/>
              <w:right w:w="90" w:type="dxa"/>
            </w:tcMar>
          </w:tcPr>
          <w:p>
            <w:r>
              <w:rPr>
                <w:rFonts w:ascii="Calibri" w:hAnsi="Calibri"/>
                <w:sz w:val="19"/>
              </w:rPr>
              <w:t>0.145 (14.5%)</w:t>
            </w:r>
          </w:p>
        </w:tc>
        <w:tc>
          <w:tcPr>
            <w:tcW w:type="dxa" w:w="1728"/>
            <w:tcMar>
              <w:top w:w="70" w:type="dxa"/>
              <w:bottom w:w="70" w:type="dxa"/>
              <w:left w:w="90" w:type="dxa"/>
              <w:right w:w="90" w:type="dxa"/>
            </w:tcMar>
          </w:tcPr>
          <w:p>
            <w:r>
              <w:rPr>
                <w:rFonts w:ascii="Calibri" w:hAnsi="Calibri"/>
                <w:sz w:val="19"/>
              </w:rPr>
              <w:t>8.2% (Calibrated)</w:t>
            </w:r>
          </w:p>
        </w:tc>
      </w:tr>
    </w:tbl>
    <w:p>
      <w:pPr>
        <w:spacing w:after="120"/>
      </w:pPr>
    </w:p>
    <w:p>
      <w:pPr>
        <w:spacing w:after="120" w:line="276" w:lineRule="auto"/>
      </w:pPr>
      <w:r>
        <w:rPr>
          <w:rFonts w:ascii="Calibri" w:hAnsi="Calibri"/>
          <w:color w:val="23282D"/>
          <w:sz w:val="21"/>
        </w:rPr>
        <w:t>All 4 layers of the diagnostic test suite pass with 100% compliance:</w:t>
      </w:r>
    </w:p>
    <w:p>
      <w:pPr>
        <w:pStyle w:val="ListBullet"/>
        <w:spacing w:after="60" w:line="276" w:lineRule="auto"/>
      </w:pPr>
      <w:r>
        <w:rPr>
          <w:rFonts w:ascii="Calibri" w:hAnsi="Calibri"/>
          <w:b/>
          <w:color w:val="0B1F3A"/>
          <w:sz w:val="21"/>
        </w:rPr>
        <w:t>Layer 0 (Static Source Code Scan): PASS —</w:t>
      </w:r>
      <w:r>
        <w:rPr>
          <w:rFonts w:ascii="Calibri" w:hAnsi="Calibri"/>
          <w:color w:val="23282D"/>
          <w:sz w:val="21"/>
        </w:rPr>
        <w:t xml:space="preserve"> Zero mock leftovers or banned tokens found across all frontend assets.</w:t>
      </w:r>
    </w:p>
    <w:p>
      <w:pPr>
        <w:pStyle w:val="ListBullet"/>
        <w:spacing w:after="60" w:line="276" w:lineRule="auto"/>
      </w:pPr>
      <w:r>
        <w:rPr>
          <w:rFonts w:ascii="Calibri" w:hAnsi="Calibri"/>
          <w:b/>
          <w:color w:val="0B1F3A"/>
          <w:sz w:val="21"/>
        </w:rPr>
        <w:t>Layer 1 (ML Model Direct): PASS —</w:t>
      </w:r>
      <w:r>
        <w:rPr>
          <w:rFonts w:ascii="Calibri" w:hAnsi="Calibri"/>
          <w:color w:val="23282D"/>
          <w:sz w:val="21"/>
        </w:rPr>
        <w:t xml:space="preserve"> Flag rate 10.5%, calibration ratio 1.00 (8.1% vs 8.1%), 5:1 cost threshold at 0.160.</w:t>
      </w:r>
    </w:p>
    <w:p>
      <w:pPr>
        <w:pStyle w:val="ListBullet"/>
        <w:spacing w:after="60" w:line="276" w:lineRule="auto"/>
      </w:pPr>
      <w:r>
        <w:rPr>
          <w:rFonts w:ascii="Calibri" w:hAnsi="Calibri"/>
          <w:b/>
          <w:color w:val="0B1F3A"/>
          <w:sz w:val="21"/>
        </w:rPr>
        <w:t>Layer 2 (FastAPI REST Endpoints): PASS —</w:t>
      </w:r>
      <w:r>
        <w:rPr>
          <w:rFonts w:ascii="Calibri" w:hAnsi="Calibri"/>
          <w:color w:val="23282D"/>
          <w:sz w:val="21"/>
        </w:rPr>
        <w:t xml:space="preserve"> Single threshold consistency, clean schema validation, monotonic external score response.</w:t>
      </w:r>
    </w:p>
    <w:p>
      <w:pPr>
        <w:pStyle w:val="ListBullet"/>
        <w:spacing w:after="60" w:line="276" w:lineRule="auto"/>
      </w:pPr>
      <w:r>
        <w:rPr>
          <w:rFonts w:ascii="Calibri" w:hAnsi="Calibri"/>
          <w:b/>
          <w:color w:val="0B1F3A"/>
          <w:sz w:val="21"/>
        </w:rPr>
        <w:t>Layer 3 (Playwright UI Wiring): PASS —</w:t>
      </w:r>
      <w:r>
        <w:rPr>
          <w:rFonts w:ascii="Calibri" w:hAnsi="Calibri"/>
          <w:color w:val="23282D"/>
          <w:sz w:val="21"/>
        </w:rPr>
        <w:t xml:space="preserve"> Live browser automation, typed == sent values, Sentinel value match, and zero unexplained numbers in results.</w:t>
      </w:r>
    </w:p>
    <w:p>
      <w:pPr>
        <w:keepNext/>
        <w:spacing w:before="320" w:after="120"/>
      </w:pPr>
      <w:r>
        <w:rPr>
          <w:rFonts w:ascii="Calibri" w:hAnsi="Calibri"/>
          <w:b/>
          <w:color w:val="0B1F3A"/>
          <w:sz w:val="34"/>
        </w:rPr>
        <w:t>7. Conclusion &amp; Operational Summary</w:t>
      </w:r>
    </w:p>
    <w:p>
      <w:pPr>
        <w:spacing w:after="120" w:line="276" w:lineRule="auto"/>
      </w:pPr>
      <w:r>
        <w:rPr>
          <w:rFonts w:ascii="Calibri" w:hAnsi="Calibri"/>
          <w:color w:val="23282D"/>
          <w:sz w:val="21"/>
        </w:rPr>
        <w:t>RiskLens provides a blueprint for high-assurance machine learning in financial services. By unifying calibrated probabilistic inference, fair lending feature elimination, and asymmetric loss matrix optimization, the system bridges the gap between academic data science models and institutional credit decision engines.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Technical Architecture &amp; Scoring Methodology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RiskLens Analytics — High-Assurance Probabilistic Credit Underwriting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828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82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