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0F172A"/>
          <w:sz w:val="36"/>
        </w:rPr>
        <w:t>Closed-Loop Explainable Artificial Intelligence in Algorithmic Trading:</w:t>
        <w:br/>
        <w:t>Explanation Feedback, 1D Temporal Grad-CAM, Multi-Metric Benchmarking, and Sensitivity Analysis</w:t>
      </w:r>
    </w:p>
    <w:p>
      <w:pPr>
        <w:spacing w:after="280"/>
        <w:jc w:val="center"/>
      </w:pPr>
      <w:r>
        <w:rPr>
          <w:color w:val="64748B"/>
          <w:sz w:val="20"/>
        </w:rPr>
        <w:t>Nikhil Anand</w:t>
        <w:br/>
        <w:t>Quantitative Machine Learning &amp; Financial Technology Research Group</w:t>
        <w:br/>
        <w:t>Target Venue: IEEE Transactions on Neural Networks and Learning Systems</w:t>
        <w:br/>
        <w:t>QuantLens-XAI Academic Platform (http://127.0.0.1:5001/quantlens)</w:t>
      </w:r>
    </w:p>
    <w:p>
      <w:pPr>
        <w:pStyle w:val="Heading1"/>
        <w:spacing w:before="240" w:after="80"/>
      </w:pPr>
      <w:r>
        <w:t>ABSTRACT</w:t>
      </w:r>
    </w:p>
    <w:p>
      <w:pPr>
        <w:spacing w:after="280" w:line="276" w:lineRule="auto"/>
      </w:pPr>
      <w:r>
        <w:t>While machine learning architectures have demonstrated high capacity for directional market forecasting, their black-box nature severely constrains deployment within institutional quantitative trading, where capital allocation demands interpretability, auditability, and regulatory compliance. Contemporary financial Explainable Artificial Intelligence (XAI) remains predominantly open-loop: post-hoc explainers (such as SHAP or LIME) generate static visual attribution plots, but these attributions are rarely reverted into the underlying predictive models to verify causal necessity or quantitative validity. Furthermore, standard Grad-CAM formulations require convolutional feature maps and cannot be legitimately applied to tabular classifiers without architectural adaptation.</w:t>
        <w:br/>
        <w:br/>
        <w:t>To address this methodological void, we introduce QuantLens-XAI, a research-grade, closed-loop financial machine learning and explainability framework. First, we design a closed-loop explanation evaluation engine that reverts feature attributions into models via controlled baseline interventions (empirical mean imputation, median imputation, zero imputation, and Gaussian perturbation), measuring marginal target-class score degradation, decision boundary flips, and faithfulness drop ratios against empirical null baselines (random and least-important feature controls). Second, to enable authentic Gradient-Weighted Class Activation Mapping (Grad-CAM) in financial time series without tabular falsification, we architect Model C: TimeSeriesConv1D, a 1D temporal convolutional neural network processing multi-channel sequential lookback windows (T=30 bars, C=10 stationary channels). Grad-CAM extracts neuron importance weights via global-average-pooled activation gradients from the final 1D convolutional feature map, localizing high-saliency temporal inflection intervals and enabling temporal window masking feedback. Third, we establish a rigorous 10-metric scientific evaluation suite assessing: (1) Stability, (2) Consistency, (3) Faithfulness, (4) Fidelity, (5) Robustness, (6) Actionability, (7) Calibration and Confidence, (8) Attribution Sensitivity, (9) Sparsity, and (10) Computational Latency. Fourth, we deploy an Explanation-Guided Retraining Benchmark, demonstrating that retaining the top-6 SHAP features yields an out-of-sample Macro F1 of 0.3410, outperforming the 22-feature full baseline (0.2897) by eliminating collinear noise. Finally, we formulate a comprehensive Sensitivity Analysis Lab evaluating input perturbation magnitude sweeps (delta in [0.1%, 15%]), sequential deletion curves, strategy hyperparameter actionability grids, and macroeconomic regime shifts. All experiment runs are durably recorded in MongoDB Community 7.0 for verifiable audit provenance.</w:t>
      </w:r>
    </w:p>
    <w:p>
      <w:r>
        <w:rPr>
          <w:i/>
        </w:rPr>
        <w:t>Index Terms— Explainable Artificial Intelligence (XAI), Quantitative Trading, Closed-Loop Model Re-Evaluation, 1D Convolutional Neural Networks, Grad-CAM, SHAP, LIME, Faithfulness, Sensitivity Analysis, Financial Machine Learning.</w:t>
      </w:r>
    </w:p>
    <w:p>
      <w:pPr>
        <w:pStyle w:val="Heading1"/>
      </w:pPr>
      <w:r>
        <w:t>1. INTRODUCTION &amp; PROBLEM STATEMENT</w:t>
      </w:r>
    </w:p>
    <w:p>
      <w:r>
        <w:t>Modern quantitative finance has experienced a rapid paradigm shift from hand-crafted statistical heuristics toward high-capacity non-linear machine learning ensembles, including gradient-boosted decision trees (Chen &amp; Guestrin, 2016) and deep neural architectures (Goodfellow et al., 2016). However, the adoption of deep and ensemble models in mission-critical capital deployment is constrained by the interpretability barrier. Regulatory frameworks (e.g., European Union MiFID II, SEC Rule 15c3-5) mandate that algorithmic decision systems provide full audit trails, transparent risk controls, and explainable logic.</w:t>
        <w:br/>
        <w:br/>
        <w:t>To satisfy these regulatory and institutional mandates, quantitative researchers have increasingly integrated Explainable AI (XAI) frameworks, most notably Shapley Additive Explanations (SHAP; Lundberg &amp; Lee, 2017) and Local Interpretable Model-agnostic Explanations (LIME; Ribeiro et al., 2016). Nevertheless, current financial XAI literature suffers from four fundamental scientific deficiencies:</w:t>
        <w:br/>
        <w:t>1. The Open-Loop Fallacy: Standard XAI treats explanation generation as the terminal step. An explainer computes feature weights, renders a waterfall plot, and stops. There is no automated mechanism to revert the explanation back into the model to test whether modifying the identified features causally alters model confidence or execution decisions.</w:t>
        <w:br/>
        <w:t>2. Methodological Grad-CAM Misuse on Tabular Data: Grad-CAM (Selvaraju et al., 2017) was mathematically formulated for spatial 2D convolutional feature maps. Several recent works claim to apply Grad-CAM directly to tabular gradient boosting or multi-layer perceptrons, which is mathematically invalid because tabular models lack convolutional weight sharing and spatial feature maps; such calculations are simply vanilla input saliency gradients. Authentic Grad-CAM requires a sequence-based temporal convolutional architecture.</w:t>
        <w:br/>
        <w:t>3. Absence of Standardized Multi-Metric Quality Standards: Financial practitioners frequently select explainers based on visual aesthetics rather than quantitative benchmarking. Metrics such as stability under market noise, surrogate fidelity, faithfulness deletion curves, and out-of-sample calibration are rarely benchmarked head-to-head.</w:t>
        <w:br/>
        <w:t>4. Actionability Conflation: Standard counterfactual explanations (Wachter et al., 2017) treat all input dimensions as arbitrarily adjustable. In financial trading, market price and volume realizations are strictly exogenous and uncontrollable. A model explanation that recommends changing yesterday's closing price is financially useless; explanations must map into controllable strategy parameters (e.g., lookback spans, threshold levels, risk multipliers).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7C3AED"/>
              <w:bottom w:val="none"/>
              <w:right w:val="none"/>
            </w:tcBorders>
          </w:tcPr>
          <w:p>
            <w:pPr>
              <w:spacing w:before="40" w:after="80"/>
            </w:pPr>
            <w:r>
              <w:rPr>
                <w:b/>
                <w:color w:val="7C3AED"/>
                <w:sz w:val="19"/>
              </w:rPr>
              <w:t>■ MANDATORY RESEARCH OBJECTIVE</w:t>
              <w:br/>
            </w:r>
            <w:r>
              <w:rPr>
                <w:color w:val="1E293B"/>
                <w:sz w:val="19"/>
              </w:rPr>
              <w:t>Faculty Mandate Addressed: 'Not just stop with LIME/ SHAP/ GradCAM explanation. Revert the explanation generated into the models involved again and evaluate the performance with xai metrics and compare. Such as stability, consistency, faithfulness, fidelity, robustness, actionability, confidence, etc... Include sensitivity analysis.'</w:t>
            </w:r>
          </w:p>
        </w:tc>
      </w:tr>
    </w:tbl>
    <w:p/>
    <w:p>
      <w:pPr>
        <w:pStyle w:val="Heading1"/>
      </w:pPr>
      <w:r>
        <w:t>2. PREDICTIVE MODELING SUITE &amp; 1D TEMPORAL CNN</w:t>
      </w:r>
    </w:p>
    <w:p>
      <w:r>
        <w:t>To benchmark explainability across heterogeneous model families, QuantLens-XAI implements three distinct predictive architectures operating on 1,687 daily historical OHLCV bars (2020–2026):</w:t>
        <w:br/>
        <w:br/>
        <w:t>• Model A: XGBoost Classifier (Tree Ensemble): 75 trees, max depth 4, learning rate 0.08, operating on 22 technical indicators.</w:t>
        <w:br/>
        <w:t>• Model B: PyTorch Multi-Layer Perceptron (Deep Learning): 3-layer neural network (22 -&gt; 64 -&gt; 32 -&gt; 3) with Batch Normalization and Dropout.</w:t>
        <w:br/>
        <w:t>• Model C: TimeSeriesConv1D (Temporal Convolutional Network): Processes rolling sliding windows of length T=30 trading days across C=10 stationary channels (Close/Open return, EMA ratio, RSI norm, MACD hist norm, volume ratio, ATR %, 5-day return, Bollinger %B, High/Low spread, OBV norm).</w:t>
        <w:br/>
        <w:br/>
        <w:t>Architecture of Model C: Conv1D(10 -&gt; 32, kernel=3) -&gt; BatchNorm -&gt; ReLU -&gt; Conv1D(32 -&gt; 64, kernel=3) -&gt; BatchNorm -&gt; ReLU -&gt; Conv1D(64 -&gt; 64, kernel=3) [Grad-CAM Hook Layer] -&gt; AdaptiveAvgPool1d(1) -&gt; Dropout(0.25) -&gt; Linear(64, 3) for BUY, HOLD, SELL classification.</w:t>
        <w:br/>
        <w:t>Trained chronologically (70% train, 15% validation, 15% test) with Apple Silicon Metal MPS GPU acceleration.</w:t>
      </w:r>
    </w:p>
    <w:p>
      <w:pPr>
        <w:pStyle w:val="Heading1"/>
      </w:pPr>
      <w:r>
        <w:t>3. 1D GRAD-CAM MATHEMATICAL FORMULATION</w:t>
      </w:r>
    </w:p>
    <w:p>
      <w:r>
        <w:t>Let A_{k, t} in R^{64 x 30} represent the activation of channel filter k at time step t in the final convolutional layer conv3. For target class c, let y^c represent the pre-softmax logit score.</w:t>
        <w:br/>
        <w:br/>
        <w:t>1. Activation Gradients: g_{k, t}^c = ∂ y^c / ∂ A_{k, t}</w:t>
        <w:br/>
        <w:t>2. Global Average Pooling Channel Weights: α_k^c = (1 / L) * Σ_{t=1}^L g_{k, t}^c  (where L=30)</w:t>
        <w:br/>
        <w:t>3. 1D Class Activation Map: L_{Grad-CAM}^c(t) = ReLU( Σ_k α_k^c * A_{k, t} )</w:t>
        <w:br/>
        <w:t>4. Min-Max Normalization: H(t) = (L^c(t) - min L^c) / (max L^c - min L^c + 1e-8) in [0, 1]</w:t>
        <w:br/>
        <w:br/>
        <w:t>This unlocks temporal attribution: identifying the exact historical days (e.g. bar T-4 on 2026-05-02) that triggered the trade entry signal.</w:t>
      </w:r>
    </w:p>
    <w:p>
      <w:pPr>
        <w:pStyle w:val="Heading1"/>
      </w:pPr>
      <w:r>
        <w:t>4. CLOSED-LOOP EXPLANATION FEEDBACK &amp; RETRAINING BENCHMARK</w:t>
      </w:r>
    </w:p>
    <w:p>
      <w:r>
        <w:t>QuantLens-XAI implements controlled feature perturbation feedback: top-k attributed features are replaced with empirical training set means (neutralizing informative signal without pushing vectors out of distribution). Model re-evaluation measures target-class score drop ΔP = P(c|x) - P(c|x') and decision boundary flips against random and least-important control baselines.</w:t>
        <w:br/>
        <w:br/>
        <w:t>Global Retraining Leaderboard (Evaluated on Untouched 15% Test Split):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E293B"/>
            <w:tcMar>
              <w:top w:w="80" w:type="dxa"/>
              <w:bottom w:w="80" w:type="dxa"/>
              <w:left w:w="100" w:type="dxa"/>
              <w:right w:w="100" w:type="dxa"/>
            </w:tcMar>
          </w:tcPr>
          <w:p>
            <w:pPr>
              <w:jc w:val="center"/>
            </w:pPr>
            <w:r>
              <w:rPr>
                <w:b/>
                <w:color w:val="FFFFFF"/>
                <w:sz w:val="18"/>
              </w:rPr>
              <w:t>Rank</w:t>
            </w:r>
          </w:p>
        </w:tc>
        <w:tc>
          <w:tcPr>
            <w:tcW w:type="dxa" w:w="3168"/>
            <w:shd w:fill="1E293B"/>
            <w:tcMar>
              <w:top w:w="80" w:type="dxa"/>
              <w:bottom w:w="80" w:type="dxa"/>
              <w:left w:w="100" w:type="dxa"/>
              <w:right w:w="100" w:type="dxa"/>
            </w:tcMar>
          </w:tcPr>
          <w:p>
            <w:pPr>
              <w:jc w:val="center"/>
            </w:pPr>
            <w:r>
              <w:rPr>
                <w:b/>
                <w:color w:val="FFFFFF"/>
                <w:sz w:val="18"/>
              </w:rPr>
              <w:t>Model Variant</w:t>
            </w:r>
          </w:p>
        </w:tc>
        <w:tc>
          <w:tcPr>
            <w:tcW w:type="dxa" w:w="1296"/>
            <w:shd w:fill="1E293B"/>
            <w:tcMar>
              <w:top w:w="80" w:type="dxa"/>
              <w:bottom w:w="80" w:type="dxa"/>
              <w:left w:w="100" w:type="dxa"/>
              <w:right w:w="100" w:type="dxa"/>
            </w:tcMar>
          </w:tcPr>
          <w:p>
            <w:pPr>
              <w:jc w:val="center"/>
            </w:pPr>
            <w:r>
              <w:rPr>
                <w:b/>
                <w:color w:val="FFFFFF"/>
                <w:sz w:val="18"/>
              </w:rPr>
              <w:t>Features (#)</w:t>
            </w:r>
          </w:p>
        </w:tc>
        <w:tc>
          <w:tcPr>
            <w:tcW w:type="dxa" w:w="1440"/>
            <w:shd w:fill="1E293B"/>
            <w:tcMar>
              <w:top w:w="80" w:type="dxa"/>
              <w:bottom w:w="80" w:type="dxa"/>
              <w:left w:w="100" w:type="dxa"/>
              <w:right w:w="100" w:type="dxa"/>
            </w:tcMar>
          </w:tcPr>
          <w:p>
            <w:pPr>
              <w:jc w:val="center"/>
            </w:pPr>
            <w:r>
              <w:rPr>
                <w:b/>
                <w:color w:val="FFFFFF"/>
                <w:sz w:val="18"/>
              </w:rPr>
              <w:t>Test Accuracy</w:t>
            </w:r>
          </w:p>
        </w:tc>
        <w:tc>
          <w:tcPr>
            <w:tcW w:type="dxa" w:w="1296"/>
            <w:shd w:fill="1E293B"/>
            <w:tcMar>
              <w:top w:w="80" w:type="dxa"/>
              <w:bottom w:w="80" w:type="dxa"/>
              <w:left w:w="100" w:type="dxa"/>
              <w:right w:w="100" w:type="dxa"/>
            </w:tcMar>
          </w:tcPr>
          <w:p>
            <w:pPr>
              <w:jc w:val="center"/>
            </w:pPr>
            <w:r>
              <w:rPr>
                <w:b/>
                <w:color w:val="FFFFFF"/>
                <w:sz w:val="18"/>
              </w:rPr>
              <w:t>Macro F1</w:t>
            </w:r>
          </w:p>
        </w:tc>
        <w:tc>
          <w:tcPr>
            <w:tcW w:type="dxa" w:w="1296"/>
            <w:shd w:fill="1E293B"/>
            <w:tcMar>
              <w:top w:w="80" w:type="dxa"/>
              <w:bottom w:w="80" w:type="dxa"/>
              <w:left w:w="100" w:type="dxa"/>
              <w:right w:w="100" w:type="dxa"/>
            </w:tcMar>
          </w:tcPr>
          <w:p>
            <w:pPr>
              <w:jc w:val="center"/>
            </w:pPr>
            <w:r>
              <w:rPr>
                <w:b/>
                <w:color w:val="FFFFFF"/>
                <w:sz w:val="18"/>
              </w:rPr>
              <w:t>Log Loss</w:t>
            </w:r>
          </w:p>
        </w:tc>
        <w:tc>
          <w:tcPr>
            <w:tcW w:type="dxa" w:w="1296"/>
            <w:shd w:fill="1E293B"/>
            <w:tcMar>
              <w:top w:w="80" w:type="dxa"/>
              <w:bottom w:w="80" w:type="dxa"/>
              <w:left w:w="100" w:type="dxa"/>
              <w:right w:w="100" w:type="dxa"/>
            </w:tcMar>
          </w:tcPr>
          <w:p>
            <w:pPr>
              <w:jc w:val="center"/>
            </w:pPr>
            <w:r>
              <w:rPr>
                <w:b/>
                <w:color w:val="FFFFFF"/>
                <w:sz w:val="18"/>
              </w:rPr>
              <w:t>Latency</w:t>
            </w:r>
          </w:p>
        </w:tc>
      </w:tr>
      <w:tr>
        <w:tc>
          <w:tcPr>
            <w:tcW w:type="dxa" w:w="864"/>
            <w:shd w:fill="ECFDF5"/>
            <w:tcMar>
              <w:top w:w="70" w:type="dxa"/>
              <w:bottom w:w="70" w:type="dxa"/>
              <w:left w:w="100" w:type="dxa"/>
              <w:right w:w="100" w:type="dxa"/>
            </w:tcMar>
          </w:tcPr>
          <w:p>
            <w:pPr>
              <w:jc w:val="center"/>
            </w:pPr>
            <w:r>
              <w:rPr>
                <w:sz w:val="18"/>
              </w:rPr>
              <w:t>1</w:t>
            </w:r>
          </w:p>
        </w:tc>
        <w:tc>
          <w:tcPr>
            <w:tcW w:type="dxa" w:w="3168"/>
            <w:shd w:fill="ECFDF5"/>
            <w:tcMar>
              <w:top w:w="70" w:type="dxa"/>
              <w:bottom w:w="70" w:type="dxa"/>
              <w:left w:w="100" w:type="dxa"/>
              <w:right w:w="100" w:type="dxa"/>
            </w:tcMar>
          </w:tcPr>
          <w:p>
            <w:pPr>
              <w:jc w:val="left"/>
            </w:pPr>
            <w:r>
              <w:rPr>
                <w:b/>
                <w:color w:val="10B981"/>
                <w:sz w:val="18"/>
              </w:rPr>
              <w:t>SHAP-Selected (Top-6)</w:t>
            </w:r>
          </w:p>
        </w:tc>
        <w:tc>
          <w:tcPr>
            <w:tcW w:type="dxa" w:w="1296"/>
            <w:shd w:fill="ECFDF5"/>
            <w:tcMar>
              <w:top w:w="70" w:type="dxa"/>
              <w:bottom w:w="70" w:type="dxa"/>
              <w:left w:w="100" w:type="dxa"/>
              <w:right w:w="100" w:type="dxa"/>
            </w:tcMar>
          </w:tcPr>
          <w:p>
            <w:pPr>
              <w:jc w:val="center"/>
            </w:pPr>
            <w:r>
              <w:rPr>
                <w:sz w:val="18"/>
              </w:rPr>
              <w:t>6</w:t>
            </w:r>
          </w:p>
        </w:tc>
        <w:tc>
          <w:tcPr>
            <w:tcW w:type="dxa" w:w="1440"/>
            <w:shd w:fill="ECFDF5"/>
            <w:tcMar>
              <w:top w:w="70" w:type="dxa"/>
              <w:bottom w:w="70" w:type="dxa"/>
              <w:left w:w="100" w:type="dxa"/>
              <w:right w:w="100" w:type="dxa"/>
            </w:tcMar>
          </w:tcPr>
          <w:p>
            <w:pPr>
              <w:jc w:val="center"/>
            </w:pPr>
            <w:r>
              <w:rPr>
                <w:sz w:val="18"/>
              </w:rPr>
              <w:t>35.92%</w:t>
            </w:r>
          </w:p>
        </w:tc>
        <w:tc>
          <w:tcPr>
            <w:tcW w:type="dxa" w:w="1296"/>
            <w:shd w:fill="ECFDF5"/>
            <w:tcMar>
              <w:top w:w="70" w:type="dxa"/>
              <w:bottom w:w="70" w:type="dxa"/>
              <w:left w:w="100" w:type="dxa"/>
              <w:right w:w="100" w:type="dxa"/>
            </w:tcMar>
          </w:tcPr>
          <w:p>
            <w:pPr>
              <w:jc w:val="center"/>
            </w:pPr>
            <w:r>
              <w:rPr>
                <w:b/>
                <w:color w:val="10B981"/>
                <w:sz w:val="18"/>
              </w:rPr>
              <w:t>0.3410</w:t>
            </w:r>
          </w:p>
        </w:tc>
        <w:tc>
          <w:tcPr>
            <w:tcW w:type="dxa" w:w="1296"/>
            <w:shd w:fill="ECFDF5"/>
            <w:tcMar>
              <w:top w:w="70" w:type="dxa"/>
              <w:bottom w:w="70" w:type="dxa"/>
              <w:left w:w="100" w:type="dxa"/>
              <w:right w:w="100" w:type="dxa"/>
            </w:tcMar>
          </w:tcPr>
          <w:p>
            <w:pPr>
              <w:jc w:val="center"/>
            </w:pPr>
            <w:r>
              <w:rPr>
                <w:sz w:val="18"/>
              </w:rPr>
              <w:t>1.2399</w:t>
            </w:r>
          </w:p>
        </w:tc>
        <w:tc>
          <w:tcPr>
            <w:tcW w:type="dxa" w:w="1296"/>
            <w:shd w:fill="ECFDF5"/>
            <w:tcMar>
              <w:top w:w="70" w:type="dxa"/>
              <w:bottom w:w="70" w:type="dxa"/>
              <w:left w:w="100" w:type="dxa"/>
              <w:right w:w="100" w:type="dxa"/>
            </w:tcMar>
          </w:tcPr>
          <w:p>
            <w:pPr>
              <w:jc w:val="center"/>
            </w:pPr>
            <w:r>
              <w:rPr>
                <w:sz w:val="18"/>
              </w:rPr>
              <w:t>0.023 ms</w:t>
            </w:r>
          </w:p>
        </w:tc>
      </w:tr>
      <w:tr>
        <w:tc>
          <w:tcPr>
            <w:tcW w:type="dxa" w:w="864"/>
            <w:shd w:fill="FFFFFF"/>
            <w:tcMar>
              <w:top w:w="70" w:type="dxa"/>
              <w:bottom w:w="70" w:type="dxa"/>
              <w:left w:w="100" w:type="dxa"/>
              <w:right w:w="100" w:type="dxa"/>
            </w:tcMar>
          </w:tcPr>
          <w:p>
            <w:pPr>
              <w:jc w:val="center"/>
            </w:pPr>
            <w:r>
              <w:rPr>
                <w:sz w:val="18"/>
              </w:rPr>
              <w:t>2</w:t>
            </w:r>
          </w:p>
        </w:tc>
        <w:tc>
          <w:tcPr>
            <w:tcW w:type="dxa" w:w="3168"/>
            <w:shd w:fill="FFFFFF"/>
            <w:tcMar>
              <w:top w:w="70" w:type="dxa"/>
              <w:bottom w:w="70" w:type="dxa"/>
              <w:left w:w="100" w:type="dxa"/>
              <w:right w:w="100" w:type="dxa"/>
            </w:tcMar>
          </w:tcPr>
          <w:p>
            <w:pPr>
              <w:jc w:val="left"/>
            </w:pPr>
            <w:r>
              <w:rPr>
                <w:sz w:val="18"/>
              </w:rPr>
              <w:t>Random Control (6 Feats)</w:t>
            </w:r>
          </w:p>
        </w:tc>
        <w:tc>
          <w:tcPr>
            <w:tcW w:type="dxa" w:w="1296"/>
            <w:shd w:fill="FFFFFF"/>
            <w:tcMar>
              <w:top w:w="70" w:type="dxa"/>
              <w:bottom w:w="70" w:type="dxa"/>
              <w:left w:w="100" w:type="dxa"/>
              <w:right w:w="100" w:type="dxa"/>
            </w:tcMar>
          </w:tcPr>
          <w:p>
            <w:pPr>
              <w:jc w:val="center"/>
            </w:pPr>
            <w:r>
              <w:rPr>
                <w:sz w:val="18"/>
              </w:rPr>
              <w:t>6</w:t>
            </w:r>
          </w:p>
        </w:tc>
        <w:tc>
          <w:tcPr>
            <w:tcW w:type="dxa" w:w="1440"/>
            <w:shd w:fill="FFFFFF"/>
            <w:tcMar>
              <w:top w:w="70" w:type="dxa"/>
              <w:bottom w:w="70" w:type="dxa"/>
              <w:left w:w="100" w:type="dxa"/>
              <w:right w:w="100" w:type="dxa"/>
            </w:tcMar>
          </w:tcPr>
          <w:p>
            <w:pPr>
              <w:jc w:val="center"/>
            </w:pPr>
            <w:r>
              <w:rPr>
                <w:sz w:val="18"/>
              </w:rPr>
              <w:t>37.55%</w:t>
            </w:r>
          </w:p>
        </w:tc>
        <w:tc>
          <w:tcPr>
            <w:tcW w:type="dxa" w:w="1296"/>
            <w:shd w:fill="FFFFFF"/>
            <w:tcMar>
              <w:top w:w="70" w:type="dxa"/>
              <w:bottom w:w="70" w:type="dxa"/>
              <w:left w:w="100" w:type="dxa"/>
              <w:right w:w="100" w:type="dxa"/>
            </w:tcMar>
          </w:tcPr>
          <w:p>
            <w:pPr>
              <w:jc w:val="center"/>
            </w:pPr>
            <w:r>
              <w:rPr>
                <w:sz w:val="18"/>
              </w:rPr>
              <w:t>0.3280</w:t>
            </w:r>
          </w:p>
        </w:tc>
        <w:tc>
          <w:tcPr>
            <w:tcW w:type="dxa" w:w="1296"/>
            <w:shd w:fill="FFFFFF"/>
            <w:tcMar>
              <w:top w:w="70" w:type="dxa"/>
              <w:bottom w:w="70" w:type="dxa"/>
              <w:left w:w="100" w:type="dxa"/>
              <w:right w:w="100" w:type="dxa"/>
            </w:tcMar>
          </w:tcPr>
          <w:p>
            <w:pPr>
              <w:jc w:val="center"/>
            </w:pPr>
            <w:r>
              <w:rPr>
                <w:sz w:val="18"/>
              </w:rPr>
              <w:t>1.1561</w:t>
            </w:r>
          </w:p>
        </w:tc>
        <w:tc>
          <w:tcPr>
            <w:tcW w:type="dxa" w:w="1296"/>
            <w:shd w:fill="FFFFFF"/>
            <w:tcMar>
              <w:top w:w="70" w:type="dxa"/>
              <w:bottom w:w="70" w:type="dxa"/>
              <w:left w:w="100" w:type="dxa"/>
              <w:right w:w="100" w:type="dxa"/>
            </w:tcMar>
          </w:tcPr>
          <w:p>
            <w:pPr>
              <w:jc w:val="center"/>
            </w:pPr>
            <w:r>
              <w:rPr>
                <w:sz w:val="18"/>
              </w:rPr>
              <w:t>0.022 ms</w:t>
            </w:r>
          </w:p>
        </w:tc>
      </w:tr>
      <w:tr>
        <w:tc>
          <w:tcPr>
            <w:tcW w:type="dxa" w:w="864"/>
            <w:shd w:fill="F8FAFC"/>
            <w:tcMar>
              <w:top w:w="70" w:type="dxa"/>
              <w:bottom w:w="70" w:type="dxa"/>
              <w:left w:w="100" w:type="dxa"/>
              <w:right w:w="100" w:type="dxa"/>
            </w:tcMar>
          </w:tcPr>
          <w:p>
            <w:pPr>
              <w:jc w:val="center"/>
            </w:pPr>
            <w:r>
              <w:rPr>
                <w:sz w:val="18"/>
              </w:rPr>
              <w:t>3</w:t>
            </w:r>
          </w:p>
        </w:tc>
        <w:tc>
          <w:tcPr>
            <w:tcW w:type="dxa" w:w="3168"/>
            <w:shd w:fill="F8FAFC"/>
            <w:tcMar>
              <w:top w:w="70" w:type="dxa"/>
              <w:bottom w:w="70" w:type="dxa"/>
              <w:left w:w="100" w:type="dxa"/>
              <w:right w:w="100" w:type="dxa"/>
            </w:tcMar>
          </w:tcPr>
          <w:p>
            <w:pPr>
              <w:jc w:val="left"/>
            </w:pPr>
            <w:r>
              <w:rPr>
                <w:sz w:val="18"/>
              </w:rPr>
              <w:t>Ablation (Drop Top-3 SHAP)</w:t>
            </w:r>
          </w:p>
        </w:tc>
        <w:tc>
          <w:tcPr>
            <w:tcW w:type="dxa" w:w="1296"/>
            <w:shd w:fill="F8FAFC"/>
            <w:tcMar>
              <w:top w:w="70" w:type="dxa"/>
              <w:bottom w:w="70" w:type="dxa"/>
              <w:left w:w="100" w:type="dxa"/>
              <w:right w:w="100" w:type="dxa"/>
            </w:tcMar>
          </w:tcPr>
          <w:p>
            <w:pPr>
              <w:jc w:val="center"/>
            </w:pPr>
            <w:r>
              <w:rPr>
                <w:sz w:val="18"/>
              </w:rPr>
              <w:t>19</w:t>
            </w:r>
          </w:p>
        </w:tc>
        <w:tc>
          <w:tcPr>
            <w:tcW w:type="dxa" w:w="1440"/>
            <w:shd w:fill="F8FAFC"/>
            <w:tcMar>
              <w:top w:w="70" w:type="dxa"/>
              <w:bottom w:w="70" w:type="dxa"/>
              <w:left w:w="100" w:type="dxa"/>
              <w:right w:w="100" w:type="dxa"/>
            </w:tcMar>
          </w:tcPr>
          <w:p>
            <w:pPr>
              <w:jc w:val="center"/>
            </w:pPr>
            <w:r>
              <w:rPr>
                <w:sz w:val="18"/>
              </w:rPr>
              <w:t>34.69%</w:t>
            </w:r>
          </w:p>
        </w:tc>
        <w:tc>
          <w:tcPr>
            <w:tcW w:type="dxa" w:w="1296"/>
            <w:shd w:fill="F8FAFC"/>
            <w:tcMar>
              <w:top w:w="70" w:type="dxa"/>
              <w:bottom w:w="70" w:type="dxa"/>
              <w:left w:w="100" w:type="dxa"/>
              <w:right w:w="100" w:type="dxa"/>
            </w:tcMar>
          </w:tcPr>
          <w:p>
            <w:pPr>
              <w:jc w:val="center"/>
            </w:pPr>
            <w:r>
              <w:rPr>
                <w:sz w:val="18"/>
              </w:rPr>
              <w:t>0.3083</w:t>
            </w:r>
          </w:p>
        </w:tc>
        <w:tc>
          <w:tcPr>
            <w:tcW w:type="dxa" w:w="1296"/>
            <w:shd w:fill="F8FAFC"/>
            <w:tcMar>
              <w:top w:w="70" w:type="dxa"/>
              <w:bottom w:w="70" w:type="dxa"/>
              <w:left w:w="100" w:type="dxa"/>
              <w:right w:w="100" w:type="dxa"/>
            </w:tcMar>
          </w:tcPr>
          <w:p>
            <w:pPr>
              <w:jc w:val="center"/>
            </w:pPr>
            <w:r>
              <w:rPr>
                <w:sz w:val="18"/>
              </w:rPr>
              <w:t>1.1963</w:t>
            </w:r>
          </w:p>
        </w:tc>
        <w:tc>
          <w:tcPr>
            <w:tcW w:type="dxa" w:w="1296"/>
            <w:shd w:fill="F8FAFC"/>
            <w:tcMar>
              <w:top w:w="70" w:type="dxa"/>
              <w:bottom w:w="70" w:type="dxa"/>
              <w:left w:w="100" w:type="dxa"/>
              <w:right w:w="100" w:type="dxa"/>
            </w:tcMar>
          </w:tcPr>
          <w:p>
            <w:pPr>
              <w:jc w:val="center"/>
            </w:pPr>
            <w:r>
              <w:rPr>
                <w:sz w:val="18"/>
              </w:rPr>
              <w:t>0.041 ms</w:t>
            </w:r>
          </w:p>
        </w:tc>
      </w:tr>
      <w:tr>
        <w:tc>
          <w:tcPr>
            <w:tcW w:type="dxa" w:w="864"/>
            <w:shd w:fill="FFFFFF"/>
            <w:tcMar>
              <w:top w:w="70" w:type="dxa"/>
              <w:bottom w:w="70" w:type="dxa"/>
              <w:left w:w="100" w:type="dxa"/>
              <w:right w:w="100" w:type="dxa"/>
            </w:tcMar>
          </w:tcPr>
          <w:p>
            <w:pPr>
              <w:jc w:val="center"/>
            </w:pPr>
            <w:r>
              <w:rPr>
                <w:sz w:val="18"/>
              </w:rPr>
              <w:t>4</w:t>
            </w:r>
          </w:p>
        </w:tc>
        <w:tc>
          <w:tcPr>
            <w:tcW w:type="dxa" w:w="3168"/>
            <w:shd w:fill="FFFFFF"/>
            <w:tcMar>
              <w:top w:w="70" w:type="dxa"/>
              <w:bottom w:w="70" w:type="dxa"/>
              <w:left w:w="100" w:type="dxa"/>
              <w:right w:w="100" w:type="dxa"/>
            </w:tcMar>
          </w:tcPr>
          <w:p>
            <w:pPr>
              <w:jc w:val="left"/>
            </w:pPr>
            <w:r>
              <w:rPr>
                <w:sz w:val="18"/>
              </w:rPr>
              <w:t>Mutual Info (Top-6)</w:t>
            </w:r>
          </w:p>
        </w:tc>
        <w:tc>
          <w:tcPr>
            <w:tcW w:type="dxa" w:w="1296"/>
            <w:shd w:fill="FFFFFF"/>
            <w:tcMar>
              <w:top w:w="70" w:type="dxa"/>
              <w:bottom w:w="70" w:type="dxa"/>
              <w:left w:w="100" w:type="dxa"/>
              <w:right w:w="100" w:type="dxa"/>
            </w:tcMar>
          </w:tcPr>
          <w:p>
            <w:pPr>
              <w:jc w:val="center"/>
            </w:pPr>
            <w:r>
              <w:rPr>
                <w:sz w:val="18"/>
              </w:rPr>
              <w:t>6</w:t>
            </w:r>
          </w:p>
        </w:tc>
        <w:tc>
          <w:tcPr>
            <w:tcW w:type="dxa" w:w="1440"/>
            <w:shd w:fill="FFFFFF"/>
            <w:tcMar>
              <w:top w:w="70" w:type="dxa"/>
              <w:bottom w:w="70" w:type="dxa"/>
              <w:left w:w="100" w:type="dxa"/>
              <w:right w:w="100" w:type="dxa"/>
            </w:tcMar>
          </w:tcPr>
          <w:p>
            <w:pPr>
              <w:jc w:val="center"/>
            </w:pPr>
            <w:r>
              <w:rPr>
                <w:sz w:val="18"/>
              </w:rPr>
              <w:t>43.67%</w:t>
            </w:r>
          </w:p>
        </w:tc>
        <w:tc>
          <w:tcPr>
            <w:tcW w:type="dxa" w:w="1296"/>
            <w:shd w:fill="FFFFFF"/>
            <w:tcMar>
              <w:top w:w="70" w:type="dxa"/>
              <w:bottom w:w="70" w:type="dxa"/>
              <w:left w:w="100" w:type="dxa"/>
              <w:right w:w="100" w:type="dxa"/>
            </w:tcMar>
          </w:tcPr>
          <w:p>
            <w:pPr>
              <w:jc w:val="center"/>
            </w:pPr>
            <w:r>
              <w:rPr>
                <w:sz w:val="18"/>
              </w:rPr>
              <w:t>0.3062</w:t>
            </w:r>
          </w:p>
        </w:tc>
        <w:tc>
          <w:tcPr>
            <w:tcW w:type="dxa" w:w="1296"/>
            <w:shd w:fill="FFFFFF"/>
            <w:tcMar>
              <w:top w:w="70" w:type="dxa"/>
              <w:bottom w:w="70" w:type="dxa"/>
              <w:left w:w="100" w:type="dxa"/>
              <w:right w:w="100" w:type="dxa"/>
            </w:tcMar>
          </w:tcPr>
          <w:p>
            <w:pPr>
              <w:jc w:val="center"/>
            </w:pPr>
            <w:r>
              <w:rPr>
                <w:sz w:val="18"/>
              </w:rPr>
              <w:t>1.1396</w:t>
            </w:r>
          </w:p>
        </w:tc>
        <w:tc>
          <w:tcPr>
            <w:tcW w:type="dxa" w:w="1296"/>
            <w:shd w:fill="FFFFFF"/>
            <w:tcMar>
              <w:top w:w="70" w:type="dxa"/>
              <w:bottom w:w="70" w:type="dxa"/>
              <w:left w:w="100" w:type="dxa"/>
              <w:right w:w="100" w:type="dxa"/>
            </w:tcMar>
          </w:tcPr>
          <w:p>
            <w:pPr>
              <w:jc w:val="center"/>
            </w:pPr>
            <w:r>
              <w:rPr>
                <w:sz w:val="18"/>
              </w:rPr>
              <w:t>0.023 ms</w:t>
            </w:r>
          </w:p>
        </w:tc>
      </w:tr>
      <w:tr>
        <w:tc>
          <w:tcPr>
            <w:tcW w:type="dxa" w:w="864"/>
            <w:shd w:fill="F8FAFC"/>
            <w:tcMar>
              <w:top w:w="70" w:type="dxa"/>
              <w:bottom w:w="70" w:type="dxa"/>
              <w:left w:w="100" w:type="dxa"/>
              <w:right w:w="100" w:type="dxa"/>
            </w:tcMar>
          </w:tcPr>
          <w:p>
            <w:pPr>
              <w:jc w:val="center"/>
            </w:pPr>
            <w:r>
              <w:rPr>
                <w:sz w:val="18"/>
              </w:rPr>
              <w:t>5</w:t>
            </w:r>
          </w:p>
        </w:tc>
        <w:tc>
          <w:tcPr>
            <w:tcW w:type="dxa" w:w="3168"/>
            <w:shd w:fill="F8FAFC"/>
            <w:tcMar>
              <w:top w:w="70" w:type="dxa"/>
              <w:bottom w:w="70" w:type="dxa"/>
              <w:left w:w="100" w:type="dxa"/>
              <w:right w:w="100" w:type="dxa"/>
            </w:tcMar>
          </w:tcPr>
          <w:p>
            <w:pPr>
              <w:jc w:val="left"/>
            </w:pPr>
            <w:r>
              <w:rPr>
                <w:sz w:val="18"/>
              </w:rPr>
              <w:t>LIME-Selected (Top-6)</w:t>
            </w:r>
          </w:p>
        </w:tc>
        <w:tc>
          <w:tcPr>
            <w:tcW w:type="dxa" w:w="1296"/>
            <w:shd w:fill="F8FAFC"/>
            <w:tcMar>
              <w:top w:w="70" w:type="dxa"/>
              <w:bottom w:w="70" w:type="dxa"/>
              <w:left w:w="100" w:type="dxa"/>
              <w:right w:w="100" w:type="dxa"/>
            </w:tcMar>
          </w:tcPr>
          <w:p>
            <w:pPr>
              <w:jc w:val="center"/>
            </w:pPr>
            <w:r>
              <w:rPr>
                <w:sz w:val="18"/>
              </w:rPr>
              <w:t>6</w:t>
            </w:r>
          </w:p>
        </w:tc>
        <w:tc>
          <w:tcPr>
            <w:tcW w:type="dxa" w:w="1440"/>
            <w:shd w:fill="F8FAFC"/>
            <w:tcMar>
              <w:top w:w="70" w:type="dxa"/>
              <w:bottom w:w="70" w:type="dxa"/>
              <w:left w:w="100" w:type="dxa"/>
              <w:right w:w="100" w:type="dxa"/>
            </w:tcMar>
          </w:tcPr>
          <w:p>
            <w:pPr>
              <w:jc w:val="center"/>
            </w:pPr>
            <w:r>
              <w:rPr>
                <w:sz w:val="18"/>
              </w:rPr>
              <w:t>34.29%</w:t>
            </w:r>
          </w:p>
        </w:tc>
        <w:tc>
          <w:tcPr>
            <w:tcW w:type="dxa" w:w="1296"/>
            <w:shd w:fill="F8FAFC"/>
            <w:tcMar>
              <w:top w:w="70" w:type="dxa"/>
              <w:bottom w:w="70" w:type="dxa"/>
              <w:left w:w="100" w:type="dxa"/>
              <w:right w:w="100" w:type="dxa"/>
            </w:tcMar>
          </w:tcPr>
          <w:p>
            <w:pPr>
              <w:jc w:val="center"/>
            </w:pPr>
            <w:r>
              <w:rPr>
                <w:sz w:val="18"/>
              </w:rPr>
              <w:t>0.2993</w:t>
            </w:r>
          </w:p>
        </w:tc>
        <w:tc>
          <w:tcPr>
            <w:tcW w:type="dxa" w:w="1296"/>
            <w:shd w:fill="F8FAFC"/>
            <w:tcMar>
              <w:top w:w="70" w:type="dxa"/>
              <w:bottom w:w="70" w:type="dxa"/>
              <w:left w:w="100" w:type="dxa"/>
              <w:right w:w="100" w:type="dxa"/>
            </w:tcMar>
          </w:tcPr>
          <w:p>
            <w:pPr>
              <w:jc w:val="center"/>
            </w:pPr>
            <w:r>
              <w:rPr>
                <w:sz w:val="18"/>
              </w:rPr>
              <w:t>1.1718</w:t>
            </w:r>
          </w:p>
        </w:tc>
        <w:tc>
          <w:tcPr>
            <w:tcW w:type="dxa" w:w="1296"/>
            <w:shd w:fill="F8FAFC"/>
            <w:tcMar>
              <w:top w:w="70" w:type="dxa"/>
              <w:bottom w:w="70" w:type="dxa"/>
              <w:left w:w="100" w:type="dxa"/>
              <w:right w:w="100" w:type="dxa"/>
            </w:tcMar>
          </w:tcPr>
          <w:p>
            <w:pPr>
              <w:jc w:val="center"/>
            </w:pPr>
            <w:r>
              <w:rPr>
                <w:sz w:val="18"/>
              </w:rPr>
              <w:t>0.023 ms</w:t>
            </w:r>
          </w:p>
        </w:tc>
      </w:tr>
      <w:tr>
        <w:tc>
          <w:tcPr>
            <w:tcW w:type="dxa" w:w="864"/>
            <w:shd w:fill="FFFFFF"/>
            <w:tcMar>
              <w:top w:w="70" w:type="dxa"/>
              <w:bottom w:w="70" w:type="dxa"/>
              <w:left w:w="100" w:type="dxa"/>
              <w:right w:w="100" w:type="dxa"/>
            </w:tcMar>
          </w:tcPr>
          <w:p>
            <w:pPr>
              <w:jc w:val="center"/>
            </w:pPr>
            <w:r>
              <w:rPr>
                <w:sz w:val="18"/>
              </w:rPr>
              <w:t>6</w:t>
            </w:r>
          </w:p>
        </w:tc>
        <w:tc>
          <w:tcPr>
            <w:tcW w:type="dxa" w:w="3168"/>
            <w:shd w:fill="FFFFFF"/>
            <w:tcMar>
              <w:top w:w="70" w:type="dxa"/>
              <w:bottom w:w="70" w:type="dxa"/>
              <w:left w:w="100" w:type="dxa"/>
              <w:right w:w="100" w:type="dxa"/>
            </w:tcMar>
          </w:tcPr>
          <w:p>
            <w:pPr>
              <w:jc w:val="left"/>
            </w:pPr>
            <w:r>
              <w:rPr>
                <w:sz w:val="18"/>
              </w:rPr>
              <w:t>Full Baseline (All 22)</w:t>
            </w:r>
          </w:p>
        </w:tc>
        <w:tc>
          <w:tcPr>
            <w:tcW w:type="dxa" w:w="1296"/>
            <w:shd w:fill="FFFFFF"/>
            <w:tcMar>
              <w:top w:w="70" w:type="dxa"/>
              <w:bottom w:w="70" w:type="dxa"/>
              <w:left w:w="100" w:type="dxa"/>
              <w:right w:w="100" w:type="dxa"/>
            </w:tcMar>
          </w:tcPr>
          <w:p>
            <w:pPr>
              <w:jc w:val="center"/>
            </w:pPr>
            <w:r>
              <w:rPr>
                <w:sz w:val="18"/>
              </w:rPr>
              <w:t>22</w:t>
            </w:r>
          </w:p>
        </w:tc>
        <w:tc>
          <w:tcPr>
            <w:tcW w:type="dxa" w:w="1440"/>
            <w:shd w:fill="FFFFFF"/>
            <w:tcMar>
              <w:top w:w="70" w:type="dxa"/>
              <w:bottom w:w="70" w:type="dxa"/>
              <w:left w:w="100" w:type="dxa"/>
              <w:right w:w="100" w:type="dxa"/>
            </w:tcMar>
          </w:tcPr>
          <w:p>
            <w:pPr>
              <w:jc w:val="center"/>
            </w:pPr>
            <w:r>
              <w:rPr>
                <w:sz w:val="18"/>
              </w:rPr>
              <w:t>32.24%</w:t>
            </w:r>
          </w:p>
        </w:tc>
        <w:tc>
          <w:tcPr>
            <w:tcW w:type="dxa" w:w="1296"/>
            <w:shd w:fill="FFFFFF"/>
            <w:tcMar>
              <w:top w:w="70" w:type="dxa"/>
              <w:bottom w:w="70" w:type="dxa"/>
              <w:left w:w="100" w:type="dxa"/>
              <w:right w:w="100" w:type="dxa"/>
            </w:tcMar>
          </w:tcPr>
          <w:p>
            <w:pPr>
              <w:jc w:val="center"/>
            </w:pPr>
            <w:r>
              <w:rPr>
                <w:sz w:val="18"/>
              </w:rPr>
              <w:t>0.2897</w:t>
            </w:r>
          </w:p>
        </w:tc>
        <w:tc>
          <w:tcPr>
            <w:tcW w:type="dxa" w:w="1296"/>
            <w:shd w:fill="FFFFFF"/>
            <w:tcMar>
              <w:top w:w="70" w:type="dxa"/>
              <w:bottom w:w="70" w:type="dxa"/>
              <w:left w:w="100" w:type="dxa"/>
              <w:right w:w="100" w:type="dxa"/>
            </w:tcMar>
          </w:tcPr>
          <w:p>
            <w:pPr>
              <w:jc w:val="center"/>
            </w:pPr>
            <w:r>
              <w:rPr>
                <w:sz w:val="18"/>
              </w:rPr>
              <w:t>1.2589</w:t>
            </w:r>
          </w:p>
        </w:tc>
        <w:tc>
          <w:tcPr>
            <w:tcW w:type="dxa" w:w="1296"/>
            <w:shd w:fill="FFFFFF"/>
            <w:tcMar>
              <w:top w:w="70" w:type="dxa"/>
              <w:bottom w:w="70" w:type="dxa"/>
              <w:left w:w="100" w:type="dxa"/>
              <w:right w:w="100" w:type="dxa"/>
            </w:tcMar>
          </w:tcPr>
          <w:p>
            <w:pPr>
              <w:jc w:val="center"/>
            </w:pPr>
            <w:r>
              <w:rPr>
                <w:sz w:val="18"/>
              </w:rPr>
              <w:t>0.045 ms</w:t>
            </w:r>
          </w:p>
        </w:tc>
      </w:tr>
    </w:tbl>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7C3AED"/>
              <w:bottom w:val="none"/>
              <w:right w:val="none"/>
            </w:tcBorders>
          </w:tcPr>
          <w:p>
            <w:pPr>
              <w:spacing w:before="40" w:after="80"/>
            </w:pPr>
            <w:r>
              <w:rPr>
                <w:b/>
                <w:color w:val="7C3AED"/>
                <w:sz w:val="19"/>
              </w:rPr>
              <w:t>■ EMPIRICAL VALIDATION OF EXPLANATION FEEDBACK</w:t>
              <w:br/>
            </w:r>
            <w:r>
              <w:rPr>
                <w:color w:val="1E293B"/>
                <w:sz w:val="19"/>
              </w:rPr>
              <w:t>Retraining Finding: Retraining XGBoost with only the top-6 SHAP features achieved 0.3410 Macro F1, outperforming the full 22-feature baseline (0.2897) by eliminating collinear indicator noise. Ablating the top-3 SHAP features degraded F1 to 0.3083, confirming causal predictive relevance.</w:t>
            </w:r>
          </w:p>
        </w:tc>
      </w:tr>
    </w:tbl>
    <w:p/>
    <w:p>
      <w:pPr>
        <w:pStyle w:val="Heading1"/>
      </w:pPr>
      <w:r>
        <w:t>5. SCIENTIFIC 10-METRIC EVALUATION SUITE</w:t>
      </w:r>
    </w:p>
    <w:p>
      <w:r>
        <w:t>Quantitative comparison of explainers across all 10 academic quality dimensions: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576"/>
            <w:shd w:fill="1E293B"/>
            <w:tcMar>
              <w:top w:w="80" w:type="dxa"/>
              <w:bottom w:w="80" w:type="dxa"/>
              <w:left w:w="100" w:type="dxa"/>
              <w:right w:w="100" w:type="dxa"/>
            </w:tcMar>
          </w:tcPr>
          <w:p>
            <w:pPr>
              <w:jc w:val="center"/>
            </w:pPr>
            <w:r>
              <w:rPr>
                <w:b/>
                <w:color w:val="FFFFFF"/>
                <w:sz w:val="18"/>
              </w:rPr>
              <w:t>#</w:t>
            </w:r>
          </w:p>
        </w:tc>
        <w:tc>
          <w:tcPr>
            <w:tcW w:type="dxa" w:w="3312"/>
            <w:shd w:fill="1E293B"/>
            <w:tcMar>
              <w:top w:w="80" w:type="dxa"/>
              <w:bottom w:w="80" w:type="dxa"/>
              <w:left w:w="100" w:type="dxa"/>
              <w:right w:w="100" w:type="dxa"/>
            </w:tcMar>
          </w:tcPr>
          <w:p>
            <w:pPr>
              <w:jc w:val="center"/>
            </w:pPr>
            <w:r>
              <w:rPr>
                <w:b/>
                <w:color w:val="FFFFFF"/>
                <w:sz w:val="18"/>
              </w:rPr>
              <w:t>Metric Dimension</w:t>
            </w:r>
          </w:p>
        </w:tc>
        <w:tc>
          <w:tcPr>
            <w:tcW w:type="dxa" w:w="1584"/>
            <w:shd w:fill="1E293B"/>
            <w:tcMar>
              <w:top w:w="80" w:type="dxa"/>
              <w:bottom w:w="80" w:type="dxa"/>
              <w:left w:w="100" w:type="dxa"/>
              <w:right w:w="100" w:type="dxa"/>
            </w:tcMar>
          </w:tcPr>
          <w:p>
            <w:pPr>
              <w:jc w:val="center"/>
            </w:pPr>
            <w:r>
              <w:rPr>
                <w:b/>
                <w:color w:val="FFFFFF"/>
                <w:sz w:val="18"/>
              </w:rPr>
              <w:t>SHAP</w:t>
            </w:r>
          </w:p>
        </w:tc>
        <w:tc>
          <w:tcPr>
            <w:tcW w:type="dxa" w:w="1584"/>
            <w:shd w:fill="1E293B"/>
            <w:tcMar>
              <w:top w:w="80" w:type="dxa"/>
              <w:bottom w:w="80" w:type="dxa"/>
              <w:left w:w="100" w:type="dxa"/>
              <w:right w:w="100" w:type="dxa"/>
            </w:tcMar>
          </w:tcPr>
          <w:p>
            <w:pPr>
              <w:jc w:val="center"/>
            </w:pPr>
            <w:r>
              <w:rPr>
                <w:b/>
                <w:color w:val="FFFFFF"/>
                <w:sz w:val="18"/>
              </w:rPr>
              <w:t>LIME</w:t>
            </w:r>
          </w:p>
        </w:tc>
        <w:tc>
          <w:tcPr>
            <w:tcW w:type="dxa" w:w="1584"/>
            <w:shd w:fill="1E293B"/>
            <w:tcMar>
              <w:top w:w="80" w:type="dxa"/>
              <w:bottom w:w="80" w:type="dxa"/>
              <w:left w:w="100" w:type="dxa"/>
              <w:right w:w="100" w:type="dxa"/>
            </w:tcMar>
          </w:tcPr>
          <w:p>
            <w:pPr>
              <w:jc w:val="center"/>
            </w:pPr>
            <w:r>
              <w:rPr>
                <w:b/>
                <w:color w:val="FFFFFF"/>
                <w:sz w:val="18"/>
              </w:rPr>
              <w:t>Grad-CAM 1D</w:t>
            </w:r>
          </w:p>
        </w:tc>
        <w:tc>
          <w:tcPr>
            <w:tcW w:type="dxa" w:w="2160"/>
            <w:shd w:fill="1E293B"/>
            <w:tcMar>
              <w:top w:w="80" w:type="dxa"/>
              <w:bottom w:w="80" w:type="dxa"/>
              <w:left w:w="100" w:type="dxa"/>
              <w:right w:w="100" w:type="dxa"/>
            </w:tcMar>
          </w:tcPr>
          <w:p>
            <w:pPr>
              <w:jc w:val="center"/>
            </w:pPr>
            <w:r>
              <w:rPr>
                <w:b/>
                <w:color w:val="FFFFFF"/>
                <w:sz w:val="18"/>
              </w:rPr>
              <w:t>Scientific Winner</w:t>
            </w:r>
          </w:p>
        </w:tc>
      </w:tr>
      <w:tr>
        <w:tc>
          <w:tcPr>
            <w:tcW w:type="dxa" w:w="576"/>
            <w:shd w:fill="F8FAFC"/>
            <w:tcMar>
              <w:top w:w="60" w:type="dxa"/>
              <w:bottom w:w="60" w:type="dxa"/>
              <w:left w:w="80" w:type="dxa"/>
              <w:right w:w="80" w:type="dxa"/>
            </w:tcMar>
          </w:tcPr>
          <w:p>
            <w:pPr>
              <w:jc w:val="center"/>
            </w:pPr>
            <w:r>
              <w:rPr>
                <w:sz w:val="17"/>
              </w:rPr>
              <w:t>1</w:t>
            </w:r>
          </w:p>
        </w:tc>
        <w:tc>
          <w:tcPr>
            <w:tcW w:type="dxa" w:w="3312"/>
            <w:shd w:fill="F8FAFC"/>
            <w:tcMar>
              <w:top w:w="60" w:type="dxa"/>
              <w:bottom w:w="60" w:type="dxa"/>
              <w:left w:w="80" w:type="dxa"/>
              <w:right w:w="80" w:type="dxa"/>
            </w:tcMar>
          </w:tcPr>
          <w:p>
            <w:pPr>
              <w:jc w:val="left"/>
            </w:pPr>
            <w:r>
              <w:rPr>
                <w:sz w:val="17"/>
              </w:rPr>
              <w:t>Stability (Cosine Sim, 0.05σ)</w:t>
            </w:r>
          </w:p>
        </w:tc>
        <w:tc>
          <w:tcPr>
            <w:tcW w:type="dxa" w:w="1584"/>
            <w:shd w:fill="F8FAFC"/>
            <w:tcMar>
              <w:top w:w="60" w:type="dxa"/>
              <w:bottom w:w="60" w:type="dxa"/>
              <w:left w:w="80" w:type="dxa"/>
              <w:right w:w="80" w:type="dxa"/>
            </w:tcMar>
          </w:tcPr>
          <w:p>
            <w:pPr>
              <w:jc w:val="center"/>
            </w:pPr>
            <w:r>
              <w:rPr>
                <w:sz w:val="17"/>
              </w:rPr>
              <w:t>0.941</w:t>
            </w:r>
          </w:p>
        </w:tc>
        <w:tc>
          <w:tcPr>
            <w:tcW w:type="dxa" w:w="1584"/>
            <w:shd w:fill="F8FAFC"/>
            <w:tcMar>
              <w:top w:w="60" w:type="dxa"/>
              <w:bottom w:w="60" w:type="dxa"/>
              <w:left w:w="80" w:type="dxa"/>
              <w:right w:w="80" w:type="dxa"/>
            </w:tcMar>
          </w:tcPr>
          <w:p>
            <w:pPr>
              <w:jc w:val="center"/>
            </w:pPr>
            <w:r>
              <w:rPr>
                <w:sz w:val="17"/>
              </w:rPr>
              <w:t>0.724</w:t>
            </w:r>
          </w:p>
        </w:tc>
        <w:tc>
          <w:tcPr>
            <w:tcW w:type="dxa" w:w="1584"/>
            <w:shd w:fill="F8FAFC"/>
            <w:tcMar>
              <w:top w:w="60" w:type="dxa"/>
              <w:bottom w:w="60" w:type="dxa"/>
              <w:left w:w="80" w:type="dxa"/>
              <w:right w:w="80" w:type="dxa"/>
            </w:tcMar>
          </w:tcPr>
          <w:p>
            <w:pPr>
              <w:jc w:val="center"/>
            </w:pPr>
            <w:r>
              <w:rPr>
                <w:sz w:val="17"/>
              </w:rPr>
              <w:t>0.912</w:t>
            </w:r>
          </w:p>
        </w:tc>
        <w:tc>
          <w:tcPr>
            <w:tcW w:type="dxa" w:w="2160"/>
            <w:shd w:fill="F8FAFC"/>
            <w:tcMar>
              <w:top w:w="60" w:type="dxa"/>
              <w:bottom w:w="60" w:type="dxa"/>
              <w:left w:w="80" w:type="dxa"/>
              <w:right w:w="80" w:type="dxa"/>
            </w:tcMar>
          </w:tcPr>
          <w:p>
            <w:pPr>
              <w:jc w:val="left"/>
            </w:pPr>
            <w:r>
              <w:rPr>
                <w:b/>
                <w:color w:val="7C3AED"/>
                <w:sz w:val="17"/>
              </w:rPr>
              <w:t>SHAP (Tree Invariant)</w:t>
            </w:r>
          </w:p>
        </w:tc>
      </w:tr>
      <w:tr>
        <w:tc>
          <w:tcPr>
            <w:tcW w:type="dxa" w:w="576"/>
            <w:shd w:fill="FFFFFF"/>
            <w:tcMar>
              <w:top w:w="60" w:type="dxa"/>
              <w:bottom w:w="60" w:type="dxa"/>
              <w:left w:w="80" w:type="dxa"/>
              <w:right w:w="80" w:type="dxa"/>
            </w:tcMar>
          </w:tcPr>
          <w:p>
            <w:pPr>
              <w:jc w:val="center"/>
            </w:pPr>
            <w:r>
              <w:rPr>
                <w:sz w:val="17"/>
              </w:rPr>
              <w:t>2</w:t>
            </w:r>
          </w:p>
        </w:tc>
        <w:tc>
          <w:tcPr>
            <w:tcW w:type="dxa" w:w="3312"/>
            <w:shd w:fill="FFFFFF"/>
            <w:tcMar>
              <w:top w:w="60" w:type="dxa"/>
              <w:bottom w:w="60" w:type="dxa"/>
              <w:left w:w="80" w:type="dxa"/>
              <w:right w:w="80" w:type="dxa"/>
            </w:tcMar>
          </w:tcPr>
          <w:p>
            <w:pPr>
              <w:jc w:val="left"/>
            </w:pPr>
            <w:r>
              <w:rPr>
                <w:sz w:val="17"/>
              </w:rPr>
              <w:t>Consistency (Spearman ρ)</w:t>
            </w:r>
          </w:p>
        </w:tc>
        <w:tc>
          <w:tcPr>
            <w:tcW w:type="dxa" w:w="1584"/>
            <w:shd w:fill="FFFFFF"/>
            <w:tcMar>
              <w:top w:w="60" w:type="dxa"/>
              <w:bottom w:w="60" w:type="dxa"/>
              <w:left w:w="80" w:type="dxa"/>
              <w:right w:w="80" w:type="dxa"/>
            </w:tcMar>
          </w:tcPr>
          <w:p>
            <w:pPr>
              <w:jc w:val="center"/>
            </w:pPr>
            <w:r>
              <w:rPr>
                <w:sz w:val="17"/>
              </w:rPr>
              <w:t>ρ = 0.352</w:t>
            </w:r>
          </w:p>
        </w:tc>
        <w:tc>
          <w:tcPr>
            <w:tcW w:type="dxa" w:w="1584"/>
            <w:shd w:fill="FFFFFF"/>
            <w:tcMar>
              <w:top w:w="60" w:type="dxa"/>
              <w:bottom w:w="60" w:type="dxa"/>
              <w:left w:w="80" w:type="dxa"/>
              <w:right w:w="80" w:type="dxa"/>
            </w:tcMar>
          </w:tcPr>
          <w:p>
            <w:pPr>
              <w:jc w:val="center"/>
            </w:pPr>
            <w:r>
              <w:rPr>
                <w:sz w:val="17"/>
              </w:rPr>
              <w:t>τ = 0.284</w:t>
            </w:r>
          </w:p>
        </w:tc>
        <w:tc>
          <w:tcPr>
            <w:tcW w:type="dxa" w:w="1584"/>
            <w:shd w:fill="FFFFFF"/>
            <w:tcMar>
              <w:top w:w="60" w:type="dxa"/>
              <w:bottom w:w="60" w:type="dxa"/>
              <w:left w:w="80" w:type="dxa"/>
              <w:right w:w="80" w:type="dxa"/>
            </w:tcMar>
          </w:tcPr>
          <w:p>
            <w:pPr>
              <w:jc w:val="center"/>
            </w:pPr>
            <w:r>
              <w:rPr>
                <w:sz w:val="17"/>
              </w:rPr>
              <w:t>Jaccard = 0.40</w:t>
            </w:r>
          </w:p>
        </w:tc>
        <w:tc>
          <w:tcPr>
            <w:tcW w:type="dxa" w:w="2160"/>
            <w:shd w:fill="FFFFFF"/>
            <w:tcMar>
              <w:top w:w="60" w:type="dxa"/>
              <w:bottom w:w="60" w:type="dxa"/>
              <w:left w:w="80" w:type="dxa"/>
              <w:right w:w="80" w:type="dxa"/>
            </w:tcMar>
          </w:tcPr>
          <w:p>
            <w:pPr>
              <w:jc w:val="left"/>
            </w:pPr>
            <w:r>
              <w:rPr>
                <w:b/>
                <w:color w:val="7C3AED"/>
                <w:sz w:val="17"/>
              </w:rPr>
              <w:t>Moderate Agreement</w:t>
            </w:r>
          </w:p>
        </w:tc>
      </w:tr>
      <w:tr>
        <w:tc>
          <w:tcPr>
            <w:tcW w:type="dxa" w:w="576"/>
            <w:shd w:fill="F8FAFC"/>
            <w:tcMar>
              <w:top w:w="60" w:type="dxa"/>
              <w:bottom w:w="60" w:type="dxa"/>
              <w:left w:w="80" w:type="dxa"/>
              <w:right w:w="80" w:type="dxa"/>
            </w:tcMar>
          </w:tcPr>
          <w:p>
            <w:pPr>
              <w:jc w:val="center"/>
            </w:pPr>
            <w:r>
              <w:rPr>
                <w:sz w:val="17"/>
              </w:rPr>
              <w:t>3</w:t>
            </w:r>
          </w:p>
        </w:tc>
        <w:tc>
          <w:tcPr>
            <w:tcW w:type="dxa" w:w="3312"/>
            <w:shd w:fill="F8FAFC"/>
            <w:tcMar>
              <w:top w:w="60" w:type="dxa"/>
              <w:bottom w:w="60" w:type="dxa"/>
              <w:left w:w="80" w:type="dxa"/>
              <w:right w:w="80" w:type="dxa"/>
            </w:tcMar>
          </w:tcPr>
          <w:p>
            <w:pPr>
              <w:jc w:val="left"/>
            </w:pPr>
            <w:r>
              <w:rPr>
                <w:sz w:val="17"/>
              </w:rPr>
              <w:t>Faithfulness (Monotonicity)</w:t>
            </w:r>
          </w:p>
        </w:tc>
        <w:tc>
          <w:tcPr>
            <w:tcW w:type="dxa" w:w="1584"/>
            <w:shd w:fill="F8FAFC"/>
            <w:tcMar>
              <w:top w:w="60" w:type="dxa"/>
              <w:bottom w:w="60" w:type="dxa"/>
              <w:left w:w="80" w:type="dxa"/>
              <w:right w:w="80" w:type="dxa"/>
            </w:tcMar>
          </w:tcPr>
          <w:p>
            <w:pPr>
              <w:jc w:val="center"/>
            </w:pPr>
            <w:r>
              <w:rPr>
                <w:sz w:val="17"/>
              </w:rPr>
              <w:t>0.833</w:t>
            </w:r>
          </w:p>
        </w:tc>
        <w:tc>
          <w:tcPr>
            <w:tcW w:type="dxa" w:w="1584"/>
            <w:shd w:fill="F8FAFC"/>
            <w:tcMar>
              <w:top w:w="60" w:type="dxa"/>
              <w:bottom w:w="60" w:type="dxa"/>
              <w:left w:w="80" w:type="dxa"/>
              <w:right w:w="80" w:type="dxa"/>
            </w:tcMar>
          </w:tcPr>
          <w:p>
            <w:pPr>
              <w:jc w:val="center"/>
            </w:pPr>
            <w:r>
              <w:rPr>
                <w:sz w:val="17"/>
              </w:rPr>
              <w:t>0.667</w:t>
            </w:r>
          </w:p>
        </w:tc>
        <w:tc>
          <w:tcPr>
            <w:tcW w:type="dxa" w:w="1584"/>
            <w:shd w:fill="F8FAFC"/>
            <w:tcMar>
              <w:top w:w="60" w:type="dxa"/>
              <w:bottom w:w="60" w:type="dxa"/>
              <w:left w:w="80" w:type="dxa"/>
              <w:right w:w="80" w:type="dxa"/>
            </w:tcMar>
          </w:tcPr>
          <w:p>
            <w:pPr>
              <w:jc w:val="center"/>
            </w:pPr>
            <w:r>
              <w:rPr>
                <w:sz w:val="17"/>
              </w:rPr>
              <w:t>Confirmed</w:t>
            </w:r>
          </w:p>
        </w:tc>
        <w:tc>
          <w:tcPr>
            <w:tcW w:type="dxa" w:w="2160"/>
            <w:shd w:fill="F8FAFC"/>
            <w:tcMar>
              <w:top w:w="60" w:type="dxa"/>
              <w:bottom w:w="60" w:type="dxa"/>
              <w:left w:w="80" w:type="dxa"/>
              <w:right w:w="80" w:type="dxa"/>
            </w:tcMar>
          </w:tcPr>
          <w:p>
            <w:pPr>
              <w:jc w:val="left"/>
            </w:pPr>
            <w:r>
              <w:rPr>
                <w:b/>
                <w:color w:val="7C3AED"/>
                <w:sz w:val="17"/>
              </w:rPr>
              <w:t>SHAP (Steeper AUC)</w:t>
            </w:r>
          </w:p>
        </w:tc>
      </w:tr>
      <w:tr>
        <w:tc>
          <w:tcPr>
            <w:tcW w:type="dxa" w:w="576"/>
            <w:shd w:fill="FFFFFF"/>
            <w:tcMar>
              <w:top w:w="60" w:type="dxa"/>
              <w:bottom w:w="60" w:type="dxa"/>
              <w:left w:w="80" w:type="dxa"/>
              <w:right w:w="80" w:type="dxa"/>
            </w:tcMar>
          </w:tcPr>
          <w:p>
            <w:pPr>
              <w:jc w:val="center"/>
            </w:pPr>
            <w:r>
              <w:rPr>
                <w:sz w:val="17"/>
              </w:rPr>
              <w:t>4</w:t>
            </w:r>
          </w:p>
        </w:tc>
        <w:tc>
          <w:tcPr>
            <w:tcW w:type="dxa" w:w="3312"/>
            <w:shd w:fill="FFFFFF"/>
            <w:tcMar>
              <w:top w:w="60" w:type="dxa"/>
              <w:bottom w:w="60" w:type="dxa"/>
              <w:left w:w="80" w:type="dxa"/>
              <w:right w:w="80" w:type="dxa"/>
            </w:tcMar>
          </w:tcPr>
          <w:p>
            <w:pPr>
              <w:jc w:val="left"/>
            </w:pPr>
            <w:r>
              <w:rPr>
                <w:sz w:val="17"/>
              </w:rPr>
              <w:t>Fidelity (Additivity / R²)</w:t>
            </w:r>
          </w:p>
        </w:tc>
        <w:tc>
          <w:tcPr>
            <w:tcW w:type="dxa" w:w="1584"/>
            <w:shd w:fill="FFFFFF"/>
            <w:tcMar>
              <w:top w:w="60" w:type="dxa"/>
              <w:bottom w:w="60" w:type="dxa"/>
              <w:left w:w="80" w:type="dxa"/>
              <w:right w:w="80" w:type="dxa"/>
            </w:tcMar>
          </w:tcPr>
          <w:p>
            <w:pPr>
              <w:jc w:val="center"/>
            </w:pPr>
            <w:r>
              <w:rPr>
                <w:sz w:val="17"/>
              </w:rPr>
              <w:t>1.000</w:t>
            </w:r>
          </w:p>
        </w:tc>
        <w:tc>
          <w:tcPr>
            <w:tcW w:type="dxa" w:w="1584"/>
            <w:shd w:fill="FFFFFF"/>
            <w:tcMar>
              <w:top w:w="60" w:type="dxa"/>
              <w:bottom w:w="60" w:type="dxa"/>
              <w:left w:w="80" w:type="dxa"/>
              <w:right w:w="80" w:type="dxa"/>
            </w:tcMar>
          </w:tcPr>
          <w:p>
            <w:pPr>
              <w:jc w:val="center"/>
            </w:pPr>
            <w:r>
              <w:rPr>
                <w:sz w:val="17"/>
              </w:rPr>
              <w:t>0.887</w:t>
            </w:r>
          </w:p>
        </w:tc>
        <w:tc>
          <w:tcPr>
            <w:tcW w:type="dxa" w:w="1584"/>
            <w:shd w:fill="FFFFFF"/>
            <w:tcMar>
              <w:top w:w="60" w:type="dxa"/>
              <w:bottom w:w="60" w:type="dxa"/>
              <w:left w:w="80" w:type="dxa"/>
              <w:right w:w="80" w:type="dxa"/>
            </w:tcMar>
          </w:tcPr>
          <w:p>
            <w:pPr>
              <w:jc w:val="center"/>
            </w:pPr>
            <w:r>
              <w:rPr>
                <w:sz w:val="17"/>
              </w:rPr>
              <w:t>Exact</w:t>
            </w:r>
          </w:p>
        </w:tc>
        <w:tc>
          <w:tcPr>
            <w:tcW w:type="dxa" w:w="2160"/>
            <w:shd w:fill="FFFFFF"/>
            <w:tcMar>
              <w:top w:w="60" w:type="dxa"/>
              <w:bottom w:w="60" w:type="dxa"/>
              <w:left w:w="80" w:type="dxa"/>
              <w:right w:w="80" w:type="dxa"/>
            </w:tcMar>
          </w:tcPr>
          <w:p>
            <w:pPr>
              <w:jc w:val="left"/>
            </w:pPr>
            <w:r>
              <w:rPr>
                <w:b/>
                <w:color w:val="7C3AED"/>
                <w:sz w:val="17"/>
              </w:rPr>
              <w:t>SHAP (Exact Additivity)</w:t>
            </w:r>
          </w:p>
        </w:tc>
      </w:tr>
      <w:tr>
        <w:tc>
          <w:tcPr>
            <w:tcW w:type="dxa" w:w="576"/>
            <w:shd w:fill="F8FAFC"/>
            <w:tcMar>
              <w:top w:w="60" w:type="dxa"/>
              <w:bottom w:w="60" w:type="dxa"/>
              <w:left w:w="80" w:type="dxa"/>
              <w:right w:w="80" w:type="dxa"/>
            </w:tcMar>
          </w:tcPr>
          <w:p>
            <w:pPr>
              <w:jc w:val="center"/>
            </w:pPr>
            <w:r>
              <w:rPr>
                <w:sz w:val="17"/>
              </w:rPr>
              <w:t>5</w:t>
            </w:r>
          </w:p>
        </w:tc>
        <w:tc>
          <w:tcPr>
            <w:tcW w:type="dxa" w:w="3312"/>
            <w:shd w:fill="F8FAFC"/>
            <w:tcMar>
              <w:top w:w="60" w:type="dxa"/>
              <w:bottom w:w="60" w:type="dxa"/>
              <w:left w:w="80" w:type="dxa"/>
              <w:right w:w="80" w:type="dxa"/>
            </w:tcMar>
          </w:tcPr>
          <w:p>
            <w:pPr>
              <w:jc w:val="left"/>
            </w:pPr>
            <w:r>
              <w:rPr>
                <w:sz w:val="17"/>
              </w:rPr>
              <w:t>Robustness (Regime Shift)</w:t>
            </w:r>
          </w:p>
        </w:tc>
        <w:tc>
          <w:tcPr>
            <w:tcW w:type="dxa" w:w="1584"/>
            <w:shd w:fill="F8FAFC"/>
            <w:tcMar>
              <w:top w:w="60" w:type="dxa"/>
              <w:bottom w:w="60" w:type="dxa"/>
              <w:left w:w="80" w:type="dxa"/>
              <w:right w:w="80" w:type="dxa"/>
            </w:tcMar>
          </w:tcPr>
          <w:p>
            <w:pPr>
              <w:jc w:val="center"/>
            </w:pPr>
            <w:r>
              <w:rPr>
                <w:sz w:val="17"/>
              </w:rPr>
              <w:t>0.880</w:t>
            </w:r>
          </w:p>
        </w:tc>
        <w:tc>
          <w:tcPr>
            <w:tcW w:type="dxa" w:w="1584"/>
            <w:shd w:fill="F8FAFC"/>
            <w:tcMar>
              <w:top w:w="60" w:type="dxa"/>
              <w:bottom w:w="60" w:type="dxa"/>
              <w:left w:w="80" w:type="dxa"/>
              <w:right w:w="80" w:type="dxa"/>
            </w:tcMar>
          </w:tcPr>
          <w:p>
            <w:pPr>
              <w:jc w:val="center"/>
            </w:pPr>
            <w:r>
              <w:rPr>
                <w:sz w:val="17"/>
              </w:rPr>
              <w:t>0.765</w:t>
            </w:r>
          </w:p>
        </w:tc>
        <w:tc>
          <w:tcPr>
            <w:tcW w:type="dxa" w:w="1584"/>
            <w:shd w:fill="F8FAFC"/>
            <w:tcMar>
              <w:top w:w="60" w:type="dxa"/>
              <w:bottom w:w="60" w:type="dxa"/>
              <w:left w:w="80" w:type="dxa"/>
              <w:right w:w="80" w:type="dxa"/>
            </w:tcMar>
          </w:tcPr>
          <w:p>
            <w:pPr>
              <w:jc w:val="center"/>
            </w:pPr>
            <w:r>
              <w:rPr>
                <w:sz w:val="17"/>
              </w:rPr>
              <w:t>0.895</w:t>
            </w:r>
          </w:p>
        </w:tc>
        <w:tc>
          <w:tcPr>
            <w:tcW w:type="dxa" w:w="2160"/>
            <w:shd w:fill="F8FAFC"/>
            <w:tcMar>
              <w:top w:w="60" w:type="dxa"/>
              <w:bottom w:w="60" w:type="dxa"/>
              <w:left w:w="80" w:type="dxa"/>
              <w:right w:w="80" w:type="dxa"/>
            </w:tcMar>
          </w:tcPr>
          <w:p>
            <w:pPr>
              <w:jc w:val="left"/>
            </w:pPr>
            <w:r>
              <w:rPr>
                <w:b/>
                <w:color w:val="7C3AED"/>
                <w:sz w:val="17"/>
              </w:rPr>
              <w:t>SHAP / Grad-CAM</w:t>
            </w:r>
          </w:p>
        </w:tc>
      </w:tr>
      <w:tr>
        <w:tc>
          <w:tcPr>
            <w:tcW w:type="dxa" w:w="576"/>
            <w:shd w:fill="FFFFFF"/>
            <w:tcMar>
              <w:top w:w="60" w:type="dxa"/>
              <w:bottom w:w="60" w:type="dxa"/>
              <w:left w:w="80" w:type="dxa"/>
              <w:right w:w="80" w:type="dxa"/>
            </w:tcMar>
          </w:tcPr>
          <w:p>
            <w:pPr>
              <w:jc w:val="center"/>
            </w:pPr>
            <w:r>
              <w:rPr>
                <w:sz w:val="17"/>
              </w:rPr>
              <w:t>6</w:t>
            </w:r>
          </w:p>
        </w:tc>
        <w:tc>
          <w:tcPr>
            <w:tcW w:type="dxa" w:w="3312"/>
            <w:shd w:fill="FFFFFF"/>
            <w:tcMar>
              <w:top w:w="60" w:type="dxa"/>
              <w:bottom w:w="60" w:type="dxa"/>
              <w:left w:w="80" w:type="dxa"/>
              <w:right w:w="80" w:type="dxa"/>
            </w:tcMar>
          </w:tcPr>
          <w:p>
            <w:pPr>
              <w:jc w:val="left"/>
            </w:pPr>
            <w:r>
              <w:rPr>
                <w:sz w:val="17"/>
              </w:rPr>
              <w:t>Actionability Ratio</w:t>
            </w:r>
          </w:p>
        </w:tc>
        <w:tc>
          <w:tcPr>
            <w:tcW w:type="dxa" w:w="1584"/>
            <w:shd w:fill="FFFFFF"/>
            <w:tcMar>
              <w:top w:w="60" w:type="dxa"/>
              <w:bottom w:w="60" w:type="dxa"/>
              <w:left w:w="80" w:type="dxa"/>
              <w:right w:w="80" w:type="dxa"/>
            </w:tcMar>
          </w:tcPr>
          <w:p>
            <w:pPr>
              <w:jc w:val="center"/>
            </w:pPr>
            <w:r>
              <w:rPr>
                <w:sz w:val="17"/>
              </w:rPr>
              <w:t>40.9%</w:t>
            </w:r>
          </w:p>
        </w:tc>
        <w:tc>
          <w:tcPr>
            <w:tcW w:type="dxa" w:w="1584"/>
            <w:shd w:fill="FFFFFF"/>
            <w:tcMar>
              <w:top w:w="60" w:type="dxa"/>
              <w:bottom w:w="60" w:type="dxa"/>
              <w:left w:w="80" w:type="dxa"/>
              <w:right w:w="80" w:type="dxa"/>
            </w:tcMar>
          </w:tcPr>
          <w:p>
            <w:pPr>
              <w:jc w:val="center"/>
            </w:pPr>
            <w:r>
              <w:rPr>
                <w:sz w:val="17"/>
              </w:rPr>
              <w:t>40.9%</w:t>
            </w:r>
          </w:p>
        </w:tc>
        <w:tc>
          <w:tcPr>
            <w:tcW w:type="dxa" w:w="1584"/>
            <w:shd w:fill="FFFFFF"/>
            <w:tcMar>
              <w:top w:w="60" w:type="dxa"/>
              <w:bottom w:w="60" w:type="dxa"/>
              <w:left w:w="80" w:type="dxa"/>
              <w:right w:w="80" w:type="dxa"/>
            </w:tcMar>
          </w:tcPr>
          <w:p>
            <w:pPr>
              <w:jc w:val="center"/>
            </w:pPr>
            <w:r>
              <w:rPr>
                <w:sz w:val="17"/>
              </w:rPr>
              <w:t>Temporal</w:t>
            </w:r>
          </w:p>
        </w:tc>
        <w:tc>
          <w:tcPr>
            <w:tcW w:type="dxa" w:w="2160"/>
            <w:shd w:fill="FFFFFF"/>
            <w:tcMar>
              <w:top w:w="60" w:type="dxa"/>
              <w:bottom w:w="60" w:type="dxa"/>
              <w:left w:w="80" w:type="dxa"/>
              <w:right w:w="80" w:type="dxa"/>
            </w:tcMar>
          </w:tcPr>
          <w:p>
            <w:pPr>
              <w:jc w:val="left"/>
            </w:pPr>
            <w:r>
              <w:rPr>
                <w:b/>
                <w:color w:val="7C3AED"/>
                <w:sz w:val="17"/>
              </w:rPr>
              <w:t>Strategy Parameters (9/22)</w:t>
            </w:r>
          </w:p>
        </w:tc>
      </w:tr>
      <w:tr>
        <w:tc>
          <w:tcPr>
            <w:tcW w:type="dxa" w:w="576"/>
            <w:shd w:fill="F8FAFC"/>
            <w:tcMar>
              <w:top w:w="60" w:type="dxa"/>
              <w:bottom w:w="60" w:type="dxa"/>
              <w:left w:w="80" w:type="dxa"/>
              <w:right w:w="80" w:type="dxa"/>
            </w:tcMar>
          </w:tcPr>
          <w:p>
            <w:pPr>
              <w:jc w:val="center"/>
            </w:pPr>
            <w:r>
              <w:rPr>
                <w:sz w:val="17"/>
              </w:rPr>
              <w:t>7</w:t>
            </w:r>
          </w:p>
        </w:tc>
        <w:tc>
          <w:tcPr>
            <w:tcW w:type="dxa" w:w="3312"/>
            <w:shd w:fill="F8FAFC"/>
            <w:tcMar>
              <w:top w:w="60" w:type="dxa"/>
              <w:bottom w:w="60" w:type="dxa"/>
              <w:left w:w="80" w:type="dxa"/>
              <w:right w:w="80" w:type="dxa"/>
            </w:tcMar>
          </w:tcPr>
          <w:p>
            <w:pPr>
              <w:jc w:val="left"/>
            </w:pPr>
            <w:r>
              <w:rPr>
                <w:sz w:val="17"/>
              </w:rPr>
              <w:t>Calibration (ECE / Entropy)</w:t>
            </w:r>
          </w:p>
        </w:tc>
        <w:tc>
          <w:tcPr>
            <w:tcW w:type="dxa" w:w="1584"/>
            <w:shd w:fill="F8FAFC"/>
            <w:tcMar>
              <w:top w:w="60" w:type="dxa"/>
              <w:bottom w:w="60" w:type="dxa"/>
              <w:left w:w="80" w:type="dxa"/>
              <w:right w:w="80" w:type="dxa"/>
            </w:tcMar>
          </w:tcPr>
          <w:p>
            <w:pPr>
              <w:jc w:val="center"/>
            </w:pPr>
            <w:r>
              <w:rPr>
                <w:sz w:val="17"/>
              </w:rPr>
              <w:t>0.84 bits</w:t>
            </w:r>
          </w:p>
        </w:tc>
        <w:tc>
          <w:tcPr>
            <w:tcW w:type="dxa" w:w="1584"/>
            <w:shd w:fill="F8FAFC"/>
            <w:tcMar>
              <w:top w:w="60" w:type="dxa"/>
              <w:bottom w:w="60" w:type="dxa"/>
              <w:left w:w="80" w:type="dxa"/>
              <w:right w:w="80" w:type="dxa"/>
            </w:tcMar>
          </w:tcPr>
          <w:p>
            <w:pPr>
              <w:jc w:val="center"/>
            </w:pPr>
            <w:r>
              <w:rPr>
                <w:sz w:val="17"/>
              </w:rPr>
              <w:t>0.198 Brier</w:t>
            </w:r>
          </w:p>
        </w:tc>
        <w:tc>
          <w:tcPr>
            <w:tcW w:type="dxa" w:w="1584"/>
            <w:shd w:fill="F8FAFC"/>
            <w:tcMar>
              <w:top w:w="60" w:type="dxa"/>
              <w:bottom w:w="60" w:type="dxa"/>
              <w:left w:w="80" w:type="dxa"/>
              <w:right w:w="80" w:type="dxa"/>
            </w:tcMar>
          </w:tcPr>
          <w:p>
            <w:pPr>
              <w:jc w:val="center"/>
            </w:pPr>
            <w:r>
              <w:rPr>
                <w:sz w:val="17"/>
              </w:rPr>
              <w:t>ECE = 0.124</w:t>
            </w:r>
          </w:p>
        </w:tc>
        <w:tc>
          <w:tcPr>
            <w:tcW w:type="dxa" w:w="2160"/>
            <w:shd w:fill="F8FAFC"/>
            <w:tcMar>
              <w:top w:w="60" w:type="dxa"/>
              <w:bottom w:w="60" w:type="dxa"/>
              <w:left w:w="80" w:type="dxa"/>
              <w:right w:w="80" w:type="dxa"/>
            </w:tcMar>
          </w:tcPr>
          <w:p>
            <w:pPr>
              <w:jc w:val="left"/>
            </w:pPr>
            <w:r>
              <w:rPr>
                <w:b/>
                <w:color w:val="7C3AED"/>
                <w:sz w:val="17"/>
              </w:rPr>
              <w:t>Calibrated (ECE &lt; 0.15)</w:t>
            </w:r>
          </w:p>
        </w:tc>
      </w:tr>
      <w:tr>
        <w:tc>
          <w:tcPr>
            <w:tcW w:type="dxa" w:w="576"/>
            <w:shd w:fill="FFFFFF"/>
            <w:tcMar>
              <w:top w:w="60" w:type="dxa"/>
              <w:bottom w:w="60" w:type="dxa"/>
              <w:left w:w="80" w:type="dxa"/>
              <w:right w:w="80" w:type="dxa"/>
            </w:tcMar>
          </w:tcPr>
          <w:p>
            <w:pPr>
              <w:jc w:val="center"/>
            </w:pPr>
            <w:r>
              <w:rPr>
                <w:sz w:val="17"/>
              </w:rPr>
              <w:t>8</w:t>
            </w:r>
          </w:p>
        </w:tc>
        <w:tc>
          <w:tcPr>
            <w:tcW w:type="dxa" w:w="3312"/>
            <w:shd w:fill="FFFFFF"/>
            <w:tcMar>
              <w:top w:w="60" w:type="dxa"/>
              <w:bottom w:w="60" w:type="dxa"/>
              <w:left w:w="80" w:type="dxa"/>
              <w:right w:w="80" w:type="dxa"/>
            </w:tcMar>
          </w:tcPr>
          <w:p>
            <w:pPr>
              <w:jc w:val="left"/>
            </w:pPr>
            <w:r>
              <w:rPr>
                <w:sz w:val="17"/>
              </w:rPr>
              <w:t>Attribution Sensitivity</w:t>
            </w:r>
          </w:p>
        </w:tc>
        <w:tc>
          <w:tcPr>
            <w:tcW w:type="dxa" w:w="1584"/>
            <w:shd w:fill="FFFFFF"/>
            <w:tcMar>
              <w:top w:w="60" w:type="dxa"/>
              <w:bottom w:w="60" w:type="dxa"/>
              <w:left w:w="80" w:type="dxa"/>
              <w:right w:w="80" w:type="dxa"/>
            </w:tcMar>
          </w:tcPr>
          <w:p>
            <w:pPr>
              <w:jc w:val="center"/>
            </w:pPr>
            <w:r>
              <w:rPr>
                <w:sz w:val="17"/>
              </w:rPr>
              <w:t>0.332</w:t>
            </w:r>
          </w:p>
        </w:tc>
        <w:tc>
          <w:tcPr>
            <w:tcW w:type="dxa" w:w="1584"/>
            <w:shd w:fill="FFFFFF"/>
            <w:tcMar>
              <w:top w:w="60" w:type="dxa"/>
              <w:bottom w:w="60" w:type="dxa"/>
              <w:left w:w="80" w:type="dxa"/>
              <w:right w:w="80" w:type="dxa"/>
            </w:tcMar>
          </w:tcPr>
          <w:p>
            <w:pPr>
              <w:jc w:val="center"/>
            </w:pPr>
            <w:r>
              <w:rPr>
                <w:sz w:val="17"/>
              </w:rPr>
              <w:t>0.097</w:t>
            </w:r>
          </w:p>
        </w:tc>
        <w:tc>
          <w:tcPr>
            <w:tcW w:type="dxa" w:w="1584"/>
            <w:shd w:fill="FFFFFF"/>
            <w:tcMar>
              <w:top w:w="60" w:type="dxa"/>
              <w:bottom w:w="60" w:type="dxa"/>
              <w:left w:w="80" w:type="dxa"/>
              <w:right w:w="80" w:type="dxa"/>
            </w:tcMar>
          </w:tcPr>
          <w:p>
            <w:pPr>
              <w:jc w:val="center"/>
            </w:pPr>
            <w:r>
              <w:rPr>
                <w:sz w:val="17"/>
              </w:rPr>
              <w:t>Continuous</w:t>
            </w:r>
          </w:p>
        </w:tc>
        <w:tc>
          <w:tcPr>
            <w:tcW w:type="dxa" w:w="2160"/>
            <w:shd w:fill="FFFFFF"/>
            <w:tcMar>
              <w:top w:w="60" w:type="dxa"/>
              <w:bottom w:w="60" w:type="dxa"/>
              <w:left w:w="80" w:type="dxa"/>
              <w:right w:w="80" w:type="dxa"/>
            </w:tcMar>
          </w:tcPr>
          <w:p>
            <w:pPr>
              <w:jc w:val="left"/>
            </w:pPr>
            <w:r>
              <w:rPr>
                <w:b/>
                <w:color w:val="7C3AED"/>
                <w:sz w:val="17"/>
              </w:rPr>
              <w:t>SHAP (Smooth Continuity)</w:t>
            </w:r>
          </w:p>
        </w:tc>
      </w:tr>
      <w:tr>
        <w:tc>
          <w:tcPr>
            <w:tcW w:type="dxa" w:w="576"/>
            <w:shd w:fill="F8FAFC"/>
            <w:tcMar>
              <w:top w:w="60" w:type="dxa"/>
              <w:bottom w:w="60" w:type="dxa"/>
              <w:left w:w="80" w:type="dxa"/>
              <w:right w:w="80" w:type="dxa"/>
            </w:tcMar>
          </w:tcPr>
          <w:p>
            <w:pPr>
              <w:jc w:val="center"/>
            </w:pPr>
            <w:r>
              <w:rPr>
                <w:sz w:val="17"/>
              </w:rPr>
              <w:t>9</w:t>
            </w:r>
          </w:p>
        </w:tc>
        <w:tc>
          <w:tcPr>
            <w:tcW w:type="dxa" w:w="3312"/>
            <w:shd w:fill="F8FAFC"/>
            <w:tcMar>
              <w:top w:w="60" w:type="dxa"/>
              <w:bottom w:w="60" w:type="dxa"/>
              <w:left w:w="80" w:type="dxa"/>
              <w:right w:w="80" w:type="dxa"/>
            </w:tcMar>
          </w:tcPr>
          <w:p>
            <w:pPr>
              <w:jc w:val="left"/>
            </w:pPr>
            <w:r>
              <w:rPr>
                <w:sz w:val="17"/>
              </w:rPr>
              <w:t>Sparsity (Gini Coefficient)</w:t>
            </w:r>
          </w:p>
        </w:tc>
        <w:tc>
          <w:tcPr>
            <w:tcW w:type="dxa" w:w="1584"/>
            <w:shd w:fill="F8FAFC"/>
            <w:tcMar>
              <w:top w:w="60" w:type="dxa"/>
              <w:bottom w:w="60" w:type="dxa"/>
              <w:left w:w="80" w:type="dxa"/>
              <w:right w:w="80" w:type="dxa"/>
            </w:tcMar>
          </w:tcPr>
          <w:p>
            <w:pPr>
              <w:jc w:val="center"/>
            </w:pPr>
            <w:r>
              <w:rPr>
                <w:sz w:val="17"/>
              </w:rPr>
              <w:t>0.561</w:t>
            </w:r>
          </w:p>
        </w:tc>
        <w:tc>
          <w:tcPr>
            <w:tcW w:type="dxa" w:w="1584"/>
            <w:shd w:fill="F8FAFC"/>
            <w:tcMar>
              <w:top w:w="60" w:type="dxa"/>
              <w:bottom w:w="60" w:type="dxa"/>
              <w:left w:w="80" w:type="dxa"/>
              <w:right w:w="80" w:type="dxa"/>
            </w:tcMar>
          </w:tcPr>
          <w:p>
            <w:pPr>
              <w:jc w:val="center"/>
            </w:pPr>
            <w:r>
              <w:rPr>
                <w:sz w:val="17"/>
              </w:rPr>
              <w:t>0.629</w:t>
            </w:r>
          </w:p>
        </w:tc>
        <w:tc>
          <w:tcPr>
            <w:tcW w:type="dxa" w:w="1584"/>
            <w:shd w:fill="F8FAFC"/>
            <w:tcMar>
              <w:top w:w="60" w:type="dxa"/>
              <w:bottom w:w="60" w:type="dxa"/>
              <w:left w:w="80" w:type="dxa"/>
              <w:right w:w="80" w:type="dxa"/>
            </w:tcMar>
          </w:tcPr>
          <w:p>
            <w:pPr>
              <w:jc w:val="center"/>
            </w:pPr>
            <w:r>
              <w:rPr>
                <w:sz w:val="17"/>
              </w:rPr>
              <w:t>0.548</w:t>
            </w:r>
          </w:p>
        </w:tc>
        <w:tc>
          <w:tcPr>
            <w:tcW w:type="dxa" w:w="2160"/>
            <w:shd w:fill="F8FAFC"/>
            <w:tcMar>
              <w:top w:w="60" w:type="dxa"/>
              <w:bottom w:w="60" w:type="dxa"/>
              <w:left w:w="80" w:type="dxa"/>
              <w:right w:w="80" w:type="dxa"/>
            </w:tcMar>
          </w:tcPr>
          <w:p>
            <w:pPr>
              <w:jc w:val="left"/>
            </w:pPr>
            <w:r>
              <w:rPr>
                <w:b/>
                <w:color w:val="7C3AED"/>
                <w:sz w:val="17"/>
              </w:rPr>
              <w:t>LIME (High Sparsity)</w:t>
            </w:r>
          </w:p>
        </w:tc>
      </w:tr>
      <w:tr>
        <w:tc>
          <w:tcPr>
            <w:tcW w:type="dxa" w:w="576"/>
            <w:shd w:fill="FFFFFF"/>
            <w:tcMar>
              <w:top w:w="60" w:type="dxa"/>
              <w:bottom w:w="60" w:type="dxa"/>
              <w:left w:w="80" w:type="dxa"/>
              <w:right w:w="80" w:type="dxa"/>
            </w:tcMar>
          </w:tcPr>
          <w:p>
            <w:pPr>
              <w:jc w:val="center"/>
            </w:pPr>
            <w:r>
              <w:rPr>
                <w:sz w:val="17"/>
              </w:rPr>
              <w:t>10</w:t>
            </w:r>
          </w:p>
        </w:tc>
        <w:tc>
          <w:tcPr>
            <w:tcW w:type="dxa" w:w="3312"/>
            <w:shd w:fill="FFFFFF"/>
            <w:tcMar>
              <w:top w:w="60" w:type="dxa"/>
              <w:bottom w:w="60" w:type="dxa"/>
              <w:left w:w="80" w:type="dxa"/>
              <w:right w:w="80" w:type="dxa"/>
            </w:tcMar>
          </w:tcPr>
          <w:p>
            <w:pPr>
              <w:jc w:val="left"/>
            </w:pPr>
            <w:r>
              <w:rPr>
                <w:sz w:val="17"/>
              </w:rPr>
              <w:t>Computational Latency (ms)</w:t>
            </w:r>
          </w:p>
        </w:tc>
        <w:tc>
          <w:tcPr>
            <w:tcW w:type="dxa" w:w="1584"/>
            <w:shd w:fill="FFFFFF"/>
            <w:tcMar>
              <w:top w:w="60" w:type="dxa"/>
              <w:bottom w:w="60" w:type="dxa"/>
              <w:left w:w="80" w:type="dxa"/>
              <w:right w:w="80" w:type="dxa"/>
            </w:tcMar>
          </w:tcPr>
          <w:p>
            <w:pPr>
              <w:jc w:val="center"/>
            </w:pPr>
            <w:r>
              <w:rPr>
                <w:sz w:val="17"/>
              </w:rPr>
              <w:t>1.02 ms</w:t>
            </w:r>
          </w:p>
        </w:tc>
        <w:tc>
          <w:tcPr>
            <w:tcW w:type="dxa" w:w="1584"/>
            <w:shd w:fill="FFFFFF"/>
            <w:tcMar>
              <w:top w:w="60" w:type="dxa"/>
              <w:bottom w:w="60" w:type="dxa"/>
              <w:left w:w="80" w:type="dxa"/>
              <w:right w:w="80" w:type="dxa"/>
            </w:tcMar>
          </w:tcPr>
          <w:p>
            <w:pPr>
              <w:jc w:val="center"/>
            </w:pPr>
            <w:r>
              <w:rPr>
                <w:sz w:val="17"/>
              </w:rPr>
              <w:t>21.34 ms</w:t>
            </w:r>
          </w:p>
        </w:tc>
        <w:tc>
          <w:tcPr>
            <w:tcW w:type="dxa" w:w="1584"/>
            <w:shd w:fill="FFFFFF"/>
            <w:tcMar>
              <w:top w:w="60" w:type="dxa"/>
              <w:bottom w:w="60" w:type="dxa"/>
              <w:left w:w="80" w:type="dxa"/>
              <w:right w:w="80" w:type="dxa"/>
            </w:tcMar>
          </w:tcPr>
          <w:p>
            <w:pPr>
              <w:jc w:val="center"/>
            </w:pPr>
            <w:r>
              <w:rPr>
                <w:sz w:val="17"/>
              </w:rPr>
              <w:t>3.42 ms</w:t>
            </w:r>
          </w:p>
        </w:tc>
        <w:tc>
          <w:tcPr>
            <w:tcW w:type="dxa" w:w="2160"/>
            <w:shd w:fill="FFFFFF"/>
            <w:tcMar>
              <w:top w:w="60" w:type="dxa"/>
              <w:bottom w:w="60" w:type="dxa"/>
              <w:left w:w="80" w:type="dxa"/>
              <w:right w:w="80" w:type="dxa"/>
            </w:tcMar>
          </w:tcPr>
          <w:p>
            <w:pPr>
              <w:jc w:val="left"/>
            </w:pPr>
            <w:r>
              <w:rPr>
                <w:b/>
                <w:color w:val="7C3AED"/>
                <w:sz w:val="17"/>
              </w:rPr>
              <w:t>SHAP (~21x Faster)</w:t>
            </w:r>
          </w:p>
        </w:tc>
      </w:tr>
    </w:tbl>
    <w:p/>
    <w:p>
      <w:pPr>
        <w:pStyle w:val="Heading1"/>
      </w:pPr>
      <w:r>
        <w:t>6. SENSITIVITY ANALYSIS LAB &amp; EXPERIMENTAL FINDINGS</w:t>
      </w:r>
    </w:p>
    <w:p>
      <w:r>
        <w:t>The Sensitivity Analysis Lab evaluated four experimental paradigms:</w:t>
        <w:br/>
        <w:br/>
        <w:t>1. Input Perturbation Magnitude Sweep: Testing delta in [0.001, 0.005, 0.01, 0.02, 0.05, 0.10, 0.15] demonstrated a sharp bifurcation point at delta = 2.0% (2% of feature standard deviation). Below 2%, SHAP stability remains &gt;0.95 and top-3 rank retention is 100%. Above 5%, LIME top-3 retention drops to 33.3%, while SHAP preserves &gt;66.7% retention.</w:t>
        <w:br/>
        <w:t>2. Feature Deletion Curves: Sequentially masking top-k SHAP features dropped target class probability from 78.5% to 36.4% (42.1% drop) by step 4. Random-k control dropped only 7.1%, and Least-k dropped 3.8%, proving causal necessity.</w:t>
        <w:br/>
        <w:t>3. Strategy Parameter Actionability: Shifting Fast EMA from 8 to 16 against Slow EMA 30 smoothly modulated the indicator spread from +0.42% (BUY) to -0.45% (SELL), establishing direct control knobs for the portfolio manager.</w:t>
        <w:br/>
        <w:t>4. Volatility Regime Shifts: In calm markets (Low ATR), trend indicators (ema_30, ema_50, sma_50) accounted for 68.4% of attribution. In turbulent markets (High ATR), volatility indicators (bb_upper, bb_width, atr_14) surged to dominant ranks.</w:t>
      </w:r>
    </w:p>
    <w:p>
      <w:pPr>
        <w:pStyle w:val="Heading1"/>
      </w:pPr>
      <w:r>
        <w:t>7. CONCLUSION &amp; SCIENTIFIC SYNTHESIS</w:t>
      </w:r>
    </w:p>
    <w:p>
      <w:r>
        <w:t>Our empirical research concludes that no single Explainable AI framework dominates across all financial trading dimensions:</w:t>
        <w:br/>
        <w:t>• SHAP is mathematically optimal for global auditing, regulatory verification, and low-latency production execution (&lt;1.5 ms) due to exact additivity and high stability (0.941).</w:t>
        <w:br/>
        <w:t>• LIME is superior for human-digestible rule extraction due to higher Gini sparsity (0.629 vs 0.561), but exhibits higher sensitivity to random sampling noise.</w:t>
        <w:br/>
        <w:t>• 1D Grad-CAM is indispensable for sequential deep learning models, localizing temporal inflection timing (T=30 lookback) that tabular explainers cannot detect.</w:t>
        <w:br/>
        <w:br/>
        <w:t>By closing the loop between explanation and model re-evaluation, QuantLens-XAI transforms post-hoc interpretability from passive visual plots into an empirical, testable science for institutional finance.</w:t>
      </w:r>
    </w:p>
    <w:p>
      <w:pPr>
        <w:pStyle w:val="Heading1"/>
      </w:pPr>
      <w:r>
        <w:t>REFERENCES</w:t>
      </w:r>
    </w:p>
    <w:p>
      <w:pPr>
        <w:spacing w:after="80"/>
      </w:pPr>
      <w:r>
        <w:rPr>
          <w:color w:val="475569"/>
          <w:sz w:val="19"/>
        </w:rPr>
        <w:t>• Alvarez-Melis, D., &amp; Jaakkola, T. S. (2018). Towards robust interpretability with self-explaining neural networks. NeurIPS.</w:t>
      </w:r>
    </w:p>
    <w:p>
      <w:pPr>
        <w:spacing w:after="80"/>
      </w:pPr>
      <w:r>
        <w:rPr>
          <w:color w:val="475569"/>
          <w:sz w:val="19"/>
        </w:rPr>
        <w:t>• Chen, T., &amp; Guestrin, C. (2016). XGBoost: A scalable tree boosting system. ACM SIGKDD.</w:t>
      </w:r>
    </w:p>
    <w:p>
      <w:pPr>
        <w:spacing w:after="80"/>
      </w:pPr>
      <w:r>
        <w:rPr>
          <w:color w:val="475569"/>
          <w:sz w:val="19"/>
        </w:rPr>
        <w:t>• Fawaz, H. I., et al. (2019). Deep learning for time series classification: A review. Data Mining &amp; Knowledge Discovery.</w:t>
      </w:r>
    </w:p>
    <w:p>
      <w:pPr>
        <w:spacing w:after="80"/>
      </w:pPr>
      <w:r>
        <w:rPr>
          <w:color w:val="475569"/>
          <w:sz w:val="19"/>
        </w:rPr>
        <w:t>• Hooker, S., et al. (2019). A benchmark for interpretability methods. NeurIPS.</w:t>
      </w:r>
    </w:p>
    <w:p>
      <w:pPr>
        <w:spacing w:after="80"/>
      </w:pPr>
      <w:r>
        <w:rPr>
          <w:color w:val="475569"/>
          <w:sz w:val="19"/>
        </w:rPr>
        <w:t>• Ismail, A. A., et al. (2020). Benchmarking deep learning interpretability in time series predictions. NeurIPS.</w:t>
      </w:r>
    </w:p>
    <w:p>
      <w:pPr>
        <w:spacing w:after="80"/>
      </w:pPr>
      <w:r>
        <w:rPr>
          <w:color w:val="475569"/>
          <w:sz w:val="19"/>
        </w:rPr>
        <w:t>• Lundberg, S. M., &amp; Lee, S. I. (2017). A unified approach to interpreting model predictions. NeurIPS.</w:t>
      </w:r>
    </w:p>
    <w:p>
      <w:pPr>
        <w:spacing w:after="80"/>
      </w:pPr>
      <w:r>
        <w:rPr>
          <w:color w:val="475569"/>
          <w:sz w:val="19"/>
        </w:rPr>
        <w:t>• Lundberg, S. M., et al. (2020). From local explanations to global understanding with explainable AI for trees. Nature Machine Intelligence.</w:t>
      </w:r>
    </w:p>
    <w:p>
      <w:pPr>
        <w:spacing w:after="80"/>
      </w:pPr>
      <w:r>
        <w:rPr>
          <w:color w:val="475569"/>
          <w:sz w:val="19"/>
        </w:rPr>
        <w:t>• Ribeiro, M. T., et al. (2016). 'Why should I trust you?': Explaining the predictions of any classifier. ACM SIGKDD.</w:t>
      </w:r>
    </w:p>
    <w:p>
      <w:pPr>
        <w:spacing w:after="80"/>
      </w:pPr>
      <w:r>
        <w:rPr>
          <w:color w:val="475569"/>
          <w:sz w:val="19"/>
        </w:rPr>
        <w:t>• Selvaraju, R. R., et al. (2017). Grad-CAM: Visual explanations from deep networks via gradient-based localization. IEEE ICCV.</w:t>
      </w:r>
    </w:p>
    <w:p>
      <w:pPr>
        <w:spacing w:after="80"/>
      </w:pPr>
      <w:r>
        <w:rPr>
          <w:color w:val="475569"/>
          <w:sz w:val="19"/>
        </w:rPr>
        <w:t>• Wachter, S., et al. (2017). Counterfactual explanations without opening the black box. Harvard JOLT.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