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0F172A"/>
          <w:sz w:val="26"/>
        </w:rPr>
        <w:t>VELLORE INSTITUTE OF TECHNOLOGY (VIT)</w:t>
        <w:br/>
        <w:t>SCHOOL OF COMPUTER SCIENCE AND ENGINEERING</w:t>
      </w:r>
    </w:p>
    <w:p>
      <w:pPr>
        <w:spacing w:after="600"/>
        <w:jc w:val="center"/>
      </w:pPr>
      <w:r>
        <w:rPr>
          <w:color w:val="64748B"/>
          <w:sz w:val="20"/>
        </w:rPr>
        <w:t>DEPARTMENT OF ARTIFICIAL INTELLIGENCE &amp; MACHINE LEARNING</w:t>
        <w:br/>
        <w:t>ACADEMIC YEAR 2026–2027</w:t>
      </w:r>
    </w:p>
    <w:p>
      <w:pPr>
        <w:spacing w:after="240"/>
        <w:jc w:val="center"/>
      </w:pPr>
      <w:r>
        <w:rPr>
          <w:b/>
          <w:color w:val="0F172A"/>
          <w:sz w:val="36"/>
        </w:rPr>
        <w:t>QUANTLENS-XAI:</w:t>
        <w:br/>
        <w:t>CLOSED-LOOP EXPLAINABLE ARTIFICIAL INTELLIGENCE FOR STOCK MARKET DIRECTION PREDICTION AND RISK-AWARE FINANCIAL DECISION SUPPORT</w:t>
      </w:r>
    </w:p>
    <w:p>
      <w:pPr>
        <w:spacing w:after="960"/>
        <w:jc w:val="center"/>
      </w:pPr>
      <w:r>
        <w:rPr>
          <w:i/>
          <w:color w:val="475569"/>
          <w:sz w:val="22"/>
        </w:rPr>
        <w:t>A Comprehensive Scientific Research Report on Explanation Feedback, Model Re-Evaluation,</w:t>
        <w:br/>
        <w:t>1D Temporal Grad-CAM, 10-Metric Quality Benchmarking, and Sensitivity Analysis</w:t>
      </w:r>
    </w:p>
    <w:tbl>
      <w:tblPr>
        <w:tblW w:type="auto" w:w="0"/>
        <w:jc w:val="center"/>
        <w:tblLayout w:type="fixed"/>
        <w:tblLook w:firstColumn="1" w:firstRow="1" w:lastColumn="0" w:lastRow="0" w:noHBand="0" w:noVBand="1" w:val="04A0"/>
      </w:tblPr>
      <w:tblGrid>
        <w:gridCol w:w="3600"/>
        <w:gridCol w:w="5472"/>
      </w:tblGrid>
      <w:tr>
        <w:tc>
          <w:tcPr>
            <w:tcW w:type="dxa" w:w="4680"/>
            <w:shd w:fill="F1F5F9"/>
            <w:tcMar>
              <w:top w:w="60" w:type="dxa"/>
              <w:bottom w:w="60" w:type="dxa"/>
              <w:left w:w="100" w:type="dxa"/>
              <w:right w:w="100" w:type="dxa"/>
            </w:tcMar>
          </w:tcPr>
          <w:p>
            <w:r>
              <w:rPr>
                <w:b/>
                <w:color w:val="1E293B"/>
                <w:sz w:val="20"/>
              </w:rPr>
              <w:t>Student Name:</w:t>
            </w:r>
          </w:p>
        </w:tc>
        <w:tc>
          <w:tcPr>
            <w:tcW w:type="dxa" w:w="4680"/>
            <w:shd w:fill="FFFFFF"/>
            <w:tcMar>
              <w:top w:w="60" w:type="dxa"/>
              <w:bottom w:w="60" w:type="dxa"/>
              <w:left w:w="100" w:type="dxa"/>
              <w:right w:w="100" w:type="dxa"/>
            </w:tcMar>
          </w:tcPr>
          <w:p>
            <w:r>
              <w:rPr>
                <w:color w:val="0F172A"/>
                <w:sz w:val="20"/>
              </w:rPr>
              <w:t>Nikhil Anand</w:t>
            </w:r>
          </w:p>
        </w:tc>
      </w:tr>
      <w:tr>
        <w:tc>
          <w:tcPr>
            <w:tcW w:type="dxa" w:w="4680"/>
            <w:shd w:fill="F1F5F9"/>
            <w:tcMar>
              <w:top w:w="60" w:type="dxa"/>
              <w:bottom w:w="60" w:type="dxa"/>
              <w:left w:w="100" w:type="dxa"/>
              <w:right w:w="100" w:type="dxa"/>
            </w:tcMar>
          </w:tcPr>
          <w:p>
            <w:r>
              <w:rPr>
                <w:b/>
                <w:color w:val="1E293B"/>
                <w:sz w:val="20"/>
              </w:rPr>
              <w:t>Registration Number:</w:t>
            </w:r>
          </w:p>
        </w:tc>
        <w:tc>
          <w:tcPr>
            <w:tcW w:type="dxa" w:w="4680"/>
            <w:shd w:fill="FFFFFF"/>
            <w:tcMar>
              <w:top w:w="60" w:type="dxa"/>
              <w:bottom w:w="60" w:type="dxa"/>
              <w:left w:w="100" w:type="dxa"/>
              <w:right w:w="100" w:type="dxa"/>
            </w:tcMar>
          </w:tcPr>
          <w:p>
            <w:r>
              <w:rPr>
                <w:color w:val="0F172A"/>
                <w:sz w:val="20"/>
              </w:rPr>
              <w:t>24BCE1674</w:t>
            </w:r>
          </w:p>
        </w:tc>
      </w:tr>
      <w:tr>
        <w:tc>
          <w:tcPr>
            <w:tcW w:type="dxa" w:w="4680"/>
            <w:shd w:fill="F1F5F9"/>
            <w:tcMar>
              <w:top w:w="60" w:type="dxa"/>
              <w:bottom w:w="60" w:type="dxa"/>
              <w:left w:w="100" w:type="dxa"/>
              <w:right w:w="100" w:type="dxa"/>
            </w:tcMar>
          </w:tcPr>
          <w:p>
            <w:r>
              <w:rPr>
                <w:b/>
                <w:color w:val="1E293B"/>
                <w:sz w:val="20"/>
              </w:rPr>
              <w:t>Course Code &amp; Title:</w:t>
            </w:r>
          </w:p>
        </w:tc>
        <w:tc>
          <w:tcPr>
            <w:tcW w:type="dxa" w:w="4680"/>
            <w:shd w:fill="FFFFFF"/>
            <w:tcMar>
              <w:top w:w="60" w:type="dxa"/>
              <w:bottom w:w="60" w:type="dxa"/>
              <w:left w:w="100" w:type="dxa"/>
              <w:right w:w="100" w:type="dxa"/>
            </w:tcMar>
          </w:tcPr>
          <w:p>
            <w:r>
              <w:rPr>
                <w:color w:val="0F172A"/>
                <w:sz w:val="20"/>
              </w:rPr>
              <w:t>BCSE418L — Explainable Artificial Intelligence</w:t>
            </w:r>
          </w:p>
        </w:tc>
      </w:tr>
      <w:tr>
        <w:tc>
          <w:tcPr>
            <w:tcW w:type="dxa" w:w="4680"/>
            <w:shd w:fill="F1F5F9"/>
            <w:tcMar>
              <w:top w:w="60" w:type="dxa"/>
              <w:bottom w:w="60" w:type="dxa"/>
              <w:left w:w="100" w:type="dxa"/>
              <w:right w:w="100" w:type="dxa"/>
            </w:tcMar>
          </w:tcPr>
          <w:p>
            <w:r>
              <w:rPr>
                <w:b/>
                <w:color w:val="1E293B"/>
                <w:sz w:val="20"/>
              </w:rPr>
              <w:t>Submission &amp; Review Date:</w:t>
            </w:r>
          </w:p>
        </w:tc>
        <w:tc>
          <w:tcPr>
            <w:tcW w:type="dxa" w:w="4680"/>
            <w:shd w:fill="FFFFFF"/>
            <w:tcMar>
              <w:top w:w="60" w:type="dxa"/>
              <w:bottom w:w="60" w:type="dxa"/>
              <w:left w:w="100" w:type="dxa"/>
              <w:right w:w="100" w:type="dxa"/>
            </w:tcMar>
          </w:tcPr>
          <w:p>
            <w:r>
              <w:rPr>
                <w:color w:val="0F172A"/>
                <w:sz w:val="20"/>
              </w:rPr>
              <w:t>28 October 2026 (Assessment Window: Oct 12–30, 2026)</w:t>
            </w:r>
          </w:p>
        </w:tc>
      </w:tr>
    </w:tbl>
    <w:p>
      <w:r>
        <w:br w:type="page"/>
      </w:r>
    </w:p>
    <w:p>
      <w:pPr>
        <w:pStyle w:val="Heading1"/>
        <w:spacing w:before="240" w:after="240"/>
      </w:pPr>
      <w:r>
        <w:t>TABLE OF CONTENTS</w:t>
      </w:r>
    </w:p>
    <w:tbl>
      <w:tblPr>
        <w:tblW w:type="auto" w:w="0"/>
        <w:jc w:val="center"/>
        <w:tblLayout w:type="fixed"/>
        <w:tblLook w:firstColumn="1" w:firstRow="1" w:lastColumn="0" w:lastRow="0" w:noHBand="0" w:noVBand="1" w:val="04A0"/>
      </w:tblPr>
      <w:tblGrid>
        <w:gridCol w:w="7920"/>
        <w:gridCol w:w="1440"/>
      </w:tblGrid>
      <w:tr>
        <w:tc>
          <w:tcPr>
            <w:tcW w:type="dxa" w:w="4680"/>
            <w:tcMar>
              <w:top w:w="30" w:type="dxa"/>
              <w:bottom w:w="30" w:type="dxa"/>
              <w:left w:w="40" w:type="dxa"/>
              <w:right w:w="40" w:type="dxa"/>
            </w:tcMar>
          </w:tcPr>
          <w:p>
            <w:pPr>
              <w:spacing w:after="40"/>
            </w:pPr>
            <w:r>
              <w:rPr>
                <w:b/>
                <w:color w:val="0F172A"/>
                <w:sz w:val="20"/>
              </w:rPr>
              <w:t>1. Abstract</w:t>
            </w:r>
          </w:p>
        </w:tc>
        <w:tc>
          <w:tcPr>
            <w:tcW w:type="dxa" w:w="4680"/>
            <w:tcMar>
              <w:top w:w="30" w:type="dxa"/>
              <w:bottom w:w="30" w:type="dxa"/>
              <w:left w:w="40" w:type="dxa"/>
              <w:right w:w="40" w:type="dxa"/>
            </w:tcMar>
          </w:tcPr>
          <w:p>
            <w:pPr>
              <w:spacing w:after="40"/>
              <w:jc w:val="right"/>
            </w:pPr>
            <w:r>
              <w:rPr>
                <w:color w:val="64748B"/>
                <w:sz w:val="20"/>
              </w:rPr>
              <w:t>3</w:t>
            </w:r>
          </w:p>
        </w:tc>
      </w:tr>
      <w:tr>
        <w:tc>
          <w:tcPr>
            <w:tcW w:type="dxa" w:w="4680"/>
            <w:tcMar>
              <w:top w:w="30" w:type="dxa"/>
              <w:bottom w:w="30" w:type="dxa"/>
              <w:left w:w="40" w:type="dxa"/>
              <w:right w:w="40" w:type="dxa"/>
            </w:tcMar>
          </w:tcPr>
          <w:p>
            <w:pPr>
              <w:spacing w:after="40"/>
            </w:pPr>
            <w:r>
              <w:rPr>
                <w:b/>
                <w:color w:val="0F172A"/>
                <w:sz w:val="20"/>
              </w:rPr>
              <w:t>2. Introduction &amp; Research Problem Statement</w:t>
            </w:r>
          </w:p>
        </w:tc>
        <w:tc>
          <w:tcPr>
            <w:tcW w:type="dxa" w:w="4680"/>
            <w:tcMar>
              <w:top w:w="30" w:type="dxa"/>
              <w:bottom w:w="30" w:type="dxa"/>
              <w:left w:w="40" w:type="dxa"/>
              <w:right w:w="40" w:type="dxa"/>
            </w:tcMar>
          </w:tcPr>
          <w:p>
            <w:pPr>
              <w:spacing w:after="40"/>
              <w:jc w:val="right"/>
            </w:pPr>
            <w:r>
              <w:rPr>
                <w:color w:val="64748B"/>
                <w:sz w:val="20"/>
              </w:rPr>
              <w:t>4</w:t>
            </w:r>
          </w:p>
        </w:tc>
      </w:tr>
      <w:tr>
        <w:tc>
          <w:tcPr>
            <w:tcW w:type="dxa" w:w="4680"/>
            <w:tcMar>
              <w:top w:w="30" w:type="dxa"/>
              <w:bottom w:w="30" w:type="dxa"/>
              <w:left w:w="40" w:type="dxa"/>
              <w:right w:w="40" w:type="dxa"/>
            </w:tcMar>
          </w:tcPr>
          <w:p>
            <w:pPr>
              <w:spacing w:after="40"/>
            </w:pPr>
            <w:r>
              <w:rPr>
                <w:b/>
                <w:color w:val="0F172A"/>
                <w:sz w:val="20"/>
              </w:rPr>
              <w:t>3. Comparison of Existing Studies, Tools, and Related Works</w:t>
            </w:r>
          </w:p>
        </w:tc>
        <w:tc>
          <w:tcPr>
            <w:tcW w:type="dxa" w:w="4680"/>
            <w:tcMar>
              <w:top w:w="30" w:type="dxa"/>
              <w:bottom w:w="30" w:type="dxa"/>
              <w:left w:w="40" w:type="dxa"/>
              <w:right w:w="40" w:type="dxa"/>
            </w:tcMar>
          </w:tcPr>
          <w:p>
            <w:pPr>
              <w:spacing w:after="40"/>
              <w:jc w:val="right"/>
            </w:pPr>
            <w:r>
              <w:rPr>
                <w:color w:val="64748B"/>
                <w:sz w:val="20"/>
              </w:rPr>
              <w:t>6</w:t>
            </w:r>
          </w:p>
        </w:tc>
      </w:tr>
      <w:tr>
        <w:tc>
          <w:tcPr>
            <w:tcW w:type="dxa" w:w="4680"/>
            <w:tcMar>
              <w:top w:w="30" w:type="dxa"/>
              <w:bottom w:w="30" w:type="dxa"/>
              <w:left w:w="40" w:type="dxa"/>
              <w:right w:w="40" w:type="dxa"/>
            </w:tcMar>
          </w:tcPr>
          <w:p>
            <w:pPr>
              <w:spacing w:after="40"/>
            </w:pPr>
            <w:r>
              <w:rPr>
                <w:color w:val="475569"/>
                <w:sz w:val="20"/>
              </w:rPr>
              <w:t xml:space="preserve">    3.1 Comprehensive Literature &amp; Tool Benchmarking Table</w:t>
            </w:r>
          </w:p>
        </w:tc>
        <w:tc>
          <w:tcPr>
            <w:tcW w:type="dxa" w:w="4680"/>
            <w:tcMar>
              <w:top w:w="30" w:type="dxa"/>
              <w:bottom w:w="30" w:type="dxa"/>
              <w:left w:w="40" w:type="dxa"/>
              <w:right w:w="40" w:type="dxa"/>
            </w:tcMar>
          </w:tcPr>
          <w:p>
            <w:pPr>
              <w:spacing w:after="40"/>
              <w:jc w:val="right"/>
            </w:pPr>
            <w:r>
              <w:rPr>
                <w:color w:val="64748B"/>
                <w:sz w:val="20"/>
              </w:rPr>
              <w:t>6</w:t>
            </w:r>
          </w:p>
        </w:tc>
      </w:tr>
      <w:tr>
        <w:tc>
          <w:tcPr>
            <w:tcW w:type="dxa" w:w="4680"/>
            <w:tcMar>
              <w:top w:w="30" w:type="dxa"/>
              <w:bottom w:w="30" w:type="dxa"/>
              <w:left w:w="40" w:type="dxa"/>
              <w:right w:w="40" w:type="dxa"/>
            </w:tcMar>
          </w:tcPr>
          <w:p>
            <w:pPr>
              <w:spacing w:after="40"/>
            </w:pPr>
            <w:r>
              <w:rPr>
                <w:color w:val="475569"/>
                <w:sz w:val="20"/>
              </w:rPr>
              <w:t xml:space="preserve">    3.2 Research Gap Analysis &amp; Critical Motivation</w:t>
            </w:r>
          </w:p>
        </w:tc>
        <w:tc>
          <w:tcPr>
            <w:tcW w:type="dxa" w:w="4680"/>
            <w:tcMar>
              <w:top w:w="30" w:type="dxa"/>
              <w:bottom w:w="30" w:type="dxa"/>
              <w:left w:w="40" w:type="dxa"/>
              <w:right w:w="40" w:type="dxa"/>
            </w:tcMar>
          </w:tcPr>
          <w:p>
            <w:pPr>
              <w:spacing w:after="40"/>
              <w:jc w:val="right"/>
            </w:pPr>
            <w:r>
              <w:rPr>
                <w:color w:val="64748B"/>
                <w:sz w:val="20"/>
              </w:rPr>
              <w:t>8</w:t>
            </w:r>
          </w:p>
        </w:tc>
      </w:tr>
      <w:tr>
        <w:tc>
          <w:tcPr>
            <w:tcW w:type="dxa" w:w="4680"/>
            <w:tcMar>
              <w:top w:w="30" w:type="dxa"/>
              <w:bottom w:w="30" w:type="dxa"/>
              <w:left w:w="40" w:type="dxa"/>
              <w:right w:w="40" w:type="dxa"/>
            </w:tcMar>
          </w:tcPr>
          <w:p>
            <w:pPr>
              <w:spacing w:after="40"/>
            </w:pPr>
            <w:r>
              <w:rPr>
                <w:b/>
                <w:color w:val="0F172A"/>
                <w:sz w:val="20"/>
              </w:rPr>
              <w:t>4. Proposed Architecture &amp; Methodological Framework</w:t>
            </w:r>
          </w:p>
        </w:tc>
        <w:tc>
          <w:tcPr>
            <w:tcW w:type="dxa" w:w="4680"/>
            <w:tcMar>
              <w:top w:w="30" w:type="dxa"/>
              <w:bottom w:w="30" w:type="dxa"/>
              <w:left w:w="40" w:type="dxa"/>
              <w:right w:w="40" w:type="dxa"/>
            </w:tcMar>
          </w:tcPr>
          <w:p>
            <w:pPr>
              <w:spacing w:after="40"/>
              <w:jc w:val="right"/>
            </w:pPr>
            <w:r>
              <w:rPr>
                <w:color w:val="64748B"/>
                <w:sz w:val="20"/>
              </w:rPr>
              <w:t>9</w:t>
            </w:r>
          </w:p>
        </w:tc>
      </w:tr>
      <w:tr>
        <w:tc>
          <w:tcPr>
            <w:tcW w:type="dxa" w:w="4680"/>
            <w:tcMar>
              <w:top w:w="30" w:type="dxa"/>
              <w:bottom w:w="30" w:type="dxa"/>
              <w:left w:w="40" w:type="dxa"/>
              <w:right w:w="40" w:type="dxa"/>
            </w:tcMar>
          </w:tcPr>
          <w:p>
            <w:pPr>
              <w:spacing w:after="40"/>
            </w:pPr>
            <w:r>
              <w:rPr>
                <w:color w:val="475569"/>
                <w:sz w:val="20"/>
              </w:rPr>
              <w:t xml:space="preserve">    4.1 End-to-End System Architecture</w:t>
            </w:r>
          </w:p>
        </w:tc>
        <w:tc>
          <w:tcPr>
            <w:tcW w:type="dxa" w:w="4680"/>
            <w:tcMar>
              <w:top w:w="30" w:type="dxa"/>
              <w:bottom w:w="30" w:type="dxa"/>
              <w:left w:w="40" w:type="dxa"/>
              <w:right w:w="40" w:type="dxa"/>
            </w:tcMar>
          </w:tcPr>
          <w:p>
            <w:pPr>
              <w:spacing w:after="40"/>
              <w:jc w:val="right"/>
            </w:pPr>
            <w:r>
              <w:rPr>
                <w:color w:val="64748B"/>
                <w:sz w:val="20"/>
              </w:rPr>
              <w:t>9</w:t>
            </w:r>
          </w:p>
        </w:tc>
      </w:tr>
      <w:tr>
        <w:tc>
          <w:tcPr>
            <w:tcW w:type="dxa" w:w="4680"/>
            <w:tcMar>
              <w:top w:w="30" w:type="dxa"/>
              <w:bottom w:w="30" w:type="dxa"/>
              <w:left w:w="40" w:type="dxa"/>
              <w:right w:w="40" w:type="dxa"/>
            </w:tcMar>
          </w:tcPr>
          <w:p>
            <w:pPr>
              <w:spacing w:after="40"/>
            </w:pPr>
            <w:r>
              <w:rPr>
                <w:color w:val="475569"/>
                <w:sz w:val="20"/>
              </w:rPr>
              <w:t xml:space="preserve">    4.2 Closed-Loop Explanation Feedback Procedural Flow</w:t>
            </w:r>
          </w:p>
        </w:tc>
        <w:tc>
          <w:tcPr>
            <w:tcW w:type="dxa" w:w="4680"/>
            <w:tcMar>
              <w:top w:w="30" w:type="dxa"/>
              <w:bottom w:w="30" w:type="dxa"/>
              <w:left w:w="40" w:type="dxa"/>
              <w:right w:w="40" w:type="dxa"/>
            </w:tcMar>
          </w:tcPr>
          <w:p>
            <w:pPr>
              <w:spacing w:after="40"/>
              <w:jc w:val="right"/>
            </w:pPr>
            <w:r>
              <w:rPr>
                <w:color w:val="64748B"/>
                <w:sz w:val="20"/>
              </w:rPr>
              <w:t>10</w:t>
            </w:r>
          </w:p>
        </w:tc>
      </w:tr>
      <w:tr>
        <w:tc>
          <w:tcPr>
            <w:tcW w:type="dxa" w:w="4680"/>
            <w:tcMar>
              <w:top w:w="30" w:type="dxa"/>
              <w:bottom w:w="30" w:type="dxa"/>
              <w:left w:w="40" w:type="dxa"/>
              <w:right w:w="40" w:type="dxa"/>
            </w:tcMar>
          </w:tcPr>
          <w:p>
            <w:pPr>
              <w:spacing w:after="40"/>
            </w:pPr>
            <w:r>
              <w:rPr>
                <w:b/>
                <w:color w:val="0F172A"/>
                <w:sz w:val="20"/>
              </w:rPr>
              <w:t>5. Dataset Description &amp; Causal Feature Engineering</w:t>
            </w:r>
          </w:p>
        </w:tc>
        <w:tc>
          <w:tcPr>
            <w:tcW w:type="dxa" w:w="4680"/>
            <w:tcMar>
              <w:top w:w="30" w:type="dxa"/>
              <w:bottom w:w="30" w:type="dxa"/>
              <w:left w:w="40" w:type="dxa"/>
              <w:right w:w="40" w:type="dxa"/>
            </w:tcMar>
          </w:tcPr>
          <w:p>
            <w:pPr>
              <w:spacing w:after="40"/>
              <w:jc w:val="right"/>
            </w:pPr>
            <w:r>
              <w:rPr>
                <w:color w:val="64748B"/>
                <w:sz w:val="20"/>
              </w:rPr>
              <w:t>12</w:t>
            </w:r>
          </w:p>
        </w:tc>
      </w:tr>
      <w:tr>
        <w:tc>
          <w:tcPr>
            <w:tcW w:type="dxa" w:w="4680"/>
            <w:tcMar>
              <w:top w:w="30" w:type="dxa"/>
              <w:bottom w:w="30" w:type="dxa"/>
              <w:left w:w="40" w:type="dxa"/>
              <w:right w:w="40" w:type="dxa"/>
            </w:tcMar>
          </w:tcPr>
          <w:p>
            <w:pPr>
              <w:spacing w:after="40"/>
            </w:pPr>
            <w:r>
              <w:rPr>
                <w:color w:val="475569"/>
                <w:sz w:val="20"/>
              </w:rPr>
              <w:t xml:space="preserve">    5.1 Historical Market Dataset &amp; OHLCV Statistics</w:t>
            </w:r>
          </w:p>
        </w:tc>
        <w:tc>
          <w:tcPr>
            <w:tcW w:type="dxa" w:w="4680"/>
            <w:tcMar>
              <w:top w:w="30" w:type="dxa"/>
              <w:bottom w:w="30" w:type="dxa"/>
              <w:left w:w="40" w:type="dxa"/>
              <w:right w:w="40" w:type="dxa"/>
            </w:tcMar>
          </w:tcPr>
          <w:p>
            <w:pPr>
              <w:spacing w:after="40"/>
              <w:jc w:val="right"/>
            </w:pPr>
            <w:r>
              <w:rPr>
                <w:color w:val="64748B"/>
                <w:sz w:val="20"/>
              </w:rPr>
              <w:t>12</w:t>
            </w:r>
          </w:p>
        </w:tc>
      </w:tr>
      <w:tr>
        <w:tc>
          <w:tcPr>
            <w:tcW w:type="dxa" w:w="4680"/>
            <w:tcMar>
              <w:top w:w="30" w:type="dxa"/>
              <w:bottom w:w="30" w:type="dxa"/>
              <w:left w:w="40" w:type="dxa"/>
              <w:right w:w="40" w:type="dxa"/>
            </w:tcMar>
          </w:tcPr>
          <w:p>
            <w:pPr>
              <w:spacing w:after="40"/>
            </w:pPr>
            <w:r>
              <w:rPr>
                <w:color w:val="475569"/>
                <w:sz w:val="20"/>
              </w:rPr>
              <w:t xml:space="preserve">    5.2 Causal Technical Indicator Formulations</w:t>
            </w:r>
          </w:p>
        </w:tc>
        <w:tc>
          <w:tcPr>
            <w:tcW w:type="dxa" w:w="4680"/>
            <w:tcMar>
              <w:top w:w="30" w:type="dxa"/>
              <w:bottom w:w="30" w:type="dxa"/>
              <w:left w:w="40" w:type="dxa"/>
              <w:right w:w="40" w:type="dxa"/>
            </w:tcMar>
          </w:tcPr>
          <w:p>
            <w:pPr>
              <w:spacing w:after="40"/>
              <w:jc w:val="right"/>
            </w:pPr>
            <w:r>
              <w:rPr>
                <w:color w:val="64748B"/>
                <w:sz w:val="20"/>
              </w:rPr>
              <w:t>13</w:t>
            </w:r>
          </w:p>
        </w:tc>
      </w:tr>
      <w:tr>
        <w:tc>
          <w:tcPr>
            <w:tcW w:type="dxa" w:w="4680"/>
            <w:tcMar>
              <w:top w:w="30" w:type="dxa"/>
              <w:bottom w:w="30" w:type="dxa"/>
              <w:left w:w="40" w:type="dxa"/>
              <w:right w:w="40" w:type="dxa"/>
            </w:tcMar>
          </w:tcPr>
          <w:p>
            <w:pPr>
              <w:spacing w:after="40"/>
            </w:pPr>
            <w:r>
              <w:rPr>
                <w:color w:val="475569"/>
                <w:sz w:val="20"/>
              </w:rPr>
              <w:t xml:space="preserve">    5.3 Target Label Formulation &amp; Chronological Partitioning</w:t>
            </w:r>
          </w:p>
        </w:tc>
        <w:tc>
          <w:tcPr>
            <w:tcW w:type="dxa" w:w="4680"/>
            <w:tcMar>
              <w:top w:w="30" w:type="dxa"/>
              <w:bottom w:w="30" w:type="dxa"/>
              <w:left w:w="40" w:type="dxa"/>
              <w:right w:w="40" w:type="dxa"/>
            </w:tcMar>
          </w:tcPr>
          <w:p>
            <w:pPr>
              <w:spacing w:after="40"/>
              <w:jc w:val="right"/>
            </w:pPr>
            <w:r>
              <w:rPr>
                <w:color w:val="64748B"/>
                <w:sz w:val="20"/>
              </w:rPr>
              <w:t>14</w:t>
            </w:r>
          </w:p>
        </w:tc>
      </w:tr>
      <w:tr>
        <w:tc>
          <w:tcPr>
            <w:tcW w:type="dxa" w:w="4680"/>
            <w:tcMar>
              <w:top w:w="30" w:type="dxa"/>
              <w:bottom w:w="30" w:type="dxa"/>
              <w:left w:w="40" w:type="dxa"/>
              <w:right w:w="40" w:type="dxa"/>
            </w:tcMar>
          </w:tcPr>
          <w:p>
            <w:pPr>
              <w:spacing w:after="40"/>
            </w:pPr>
            <w:r>
              <w:rPr>
                <w:b/>
                <w:color w:val="0F172A"/>
                <w:sz w:val="20"/>
              </w:rPr>
              <w:t>6. Experimental Setup &amp; Hardware Environment</w:t>
            </w:r>
          </w:p>
        </w:tc>
        <w:tc>
          <w:tcPr>
            <w:tcW w:type="dxa" w:w="4680"/>
            <w:tcMar>
              <w:top w:w="30" w:type="dxa"/>
              <w:bottom w:w="30" w:type="dxa"/>
              <w:left w:w="40" w:type="dxa"/>
              <w:right w:w="40" w:type="dxa"/>
            </w:tcMar>
          </w:tcPr>
          <w:p>
            <w:pPr>
              <w:spacing w:after="40"/>
              <w:jc w:val="right"/>
            </w:pPr>
            <w:r>
              <w:rPr>
                <w:color w:val="64748B"/>
                <w:sz w:val="20"/>
              </w:rPr>
              <w:t>15</w:t>
            </w:r>
          </w:p>
        </w:tc>
      </w:tr>
      <w:tr>
        <w:tc>
          <w:tcPr>
            <w:tcW w:type="dxa" w:w="4680"/>
            <w:tcMar>
              <w:top w:w="30" w:type="dxa"/>
              <w:bottom w:w="30" w:type="dxa"/>
              <w:left w:w="40" w:type="dxa"/>
              <w:right w:w="40" w:type="dxa"/>
            </w:tcMar>
          </w:tcPr>
          <w:p>
            <w:pPr>
              <w:spacing w:after="40"/>
            </w:pPr>
            <w:r>
              <w:rPr>
                <w:b/>
                <w:color w:val="0F172A"/>
                <w:sz w:val="20"/>
              </w:rPr>
              <w:t>7. Results and Discussion</w:t>
            </w:r>
          </w:p>
        </w:tc>
        <w:tc>
          <w:tcPr>
            <w:tcW w:type="dxa" w:w="4680"/>
            <w:tcMar>
              <w:top w:w="30" w:type="dxa"/>
              <w:bottom w:w="30" w:type="dxa"/>
              <w:left w:w="40" w:type="dxa"/>
              <w:right w:w="40" w:type="dxa"/>
            </w:tcMar>
          </w:tcPr>
          <w:p>
            <w:pPr>
              <w:spacing w:after="40"/>
              <w:jc w:val="right"/>
            </w:pPr>
            <w:r>
              <w:rPr>
                <w:color w:val="64748B"/>
                <w:sz w:val="20"/>
              </w:rPr>
              <w:t>17</w:t>
            </w:r>
          </w:p>
        </w:tc>
      </w:tr>
      <w:tr>
        <w:tc>
          <w:tcPr>
            <w:tcW w:type="dxa" w:w="4680"/>
            <w:tcMar>
              <w:top w:w="30" w:type="dxa"/>
              <w:bottom w:w="30" w:type="dxa"/>
              <w:left w:w="40" w:type="dxa"/>
              <w:right w:w="40" w:type="dxa"/>
            </w:tcMar>
          </w:tcPr>
          <w:p>
            <w:pPr>
              <w:spacing w:after="40"/>
            </w:pPr>
            <w:r>
              <w:rPr>
                <w:color w:val="475569"/>
                <w:sz w:val="20"/>
              </w:rPr>
              <w:t xml:space="preserve">    7.1 Baseline Model Results (Separately Evaluated Without XAI)</w:t>
            </w:r>
          </w:p>
        </w:tc>
        <w:tc>
          <w:tcPr>
            <w:tcW w:type="dxa" w:w="4680"/>
            <w:tcMar>
              <w:top w:w="30" w:type="dxa"/>
              <w:bottom w:w="30" w:type="dxa"/>
              <w:left w:w="40" w:type="dxa"/>
              <w:right w:w="40" w:type="dxa"/>
            </w:tcMar>
          </w:tcPr>
          <w:p>
            <w:pPr>
              <w:spacing w:after="40"/>
              <w:jc w:val="right"/>
            </w:pPr>
            <w:r>
              <w:rPr>
                <w:color w:val="64748B"/>
                <w:sz w:val="20"/>
              </w:rPr>
              <w:t>17</w:t>
            </w:r>
          </w:p>
        </w:tc>
      </w:tr>
      <w:tr>
        <w:tc>
          <w:tcPr>
            <w:tcW w:type="dxa" w:w="4680"/>
            <w:tcMar>
              <w:top w:w="30" w:type="dxa"/>
              <w:bottom w:w="30" w:type="dxa"/>
              <w:left w:w="40" w:type="dxa"/>
              <w:right w:w="40" w:type="dxa"/>
            </w:tcMar>
          </w:tcPr>
          <w:p>
            <w:pPr>
              <w:spacing w:after="40"/>
            </w:pPr>
            <w:r>
              <w:rPr>
                <w:color w:val="475569"/>
                <w:sz w:val="20"/>
              </w:rPr>
              <w:t xml:space="preserve">    7.2 Explanation Generation Scenarios (SHAP, LIME, Grad-CAM)</w:t>
            </w:r>
          </w:p>
        </w:tc>
        <w:tc>
          <w:tcPr>
            <w:tcW w:type="dxa" w:w="4680"/>
            <w:tcMar>
              <w:top w:w="30" w:type="dxa"/>
              <w:bottom w:w="30" w:type="dxa"/>
              <w:left w:w="40" w:type="dxa"/>
              <w:right w:w="40" w:type="dxa"/>
            </w:tcMar>
          </w:tcPr>
          <w:p>
            <w:pPr>
              <w:spacing w:after="40"/>
              <w:jc w:val="right"/>
            </w:pPr>
            <w:r>
              <w:rPr>
                <w:color w:val="64748B"/>
                <w:sz w:val="20"/>
              </w:rPr>
              <w:t>19</w:t>
            </w:r>
          </w:p>
        </w:tc>
      </w:tr>
      <w:tr>
        <w:tc>
          <w:tcPr>
            <w:tcW w:type="dxa" w:w="4680"/>
            <w:tcMar>
              <w:top w:w="30" w:type="dxa"/>
              <w:bottom w:w="30" w:type="dxa"/>
              <w:left w:w="40" w:type="dxa"/>
              <w:right w:w="40" w:type="dxa"/>
            </w:tcMar>
          </w:tcPr>
          <w:p>
            <w:pPr>
              <w:spacing w:after="40"/>
            </w:pPr>
            <w:r>
              <w:rPr>
                <w:color w:val="475569"/>
                <w:sz w:val="20"/>
              </w:rPr>
              <w:t xml:space="preserve">    7.3 Closed-Loop Explanation Feedback &amp; Re-Evaluation Outcomes</w:t>
            </w:r>
          </w:p>
        </w:tc>
        <w:tc>
          <w:tcPr>
            <w:tcW w:type="dxa" w:w="4680"/>
            <w:tcMar>
              <w:top w:w="30" w:type="dxa"/>
              <w:bottom w:w="30" w:type="dxa"/>
              <w:left w:w="40" w:type="dxa"/>
              <w:right w:w="40" w:type="dxa"/>
            </w:tcMar>
          </w:tcPr>
          <w:p>
            <w:pPr>
              <w:spacing w:after="40"/>
              <w:jc w:val="right"/>
            </w:pPr>
            <w:r>
              <w:rPr>
                <w:color w:val="64748B"/>
                <w:sz w:val="20"/>
              </w:rPr>
              <w:t>21</w:t>
            </w:r>
          </w:p>
        </w:tc>
      </w:tr>
      <w:tr>
        <w:tc>
          <w:tcPr>
            <w:tcW w:type="dxa" w:w="4680"/>
            <w:tcMar>
              <w:top w:w="30" w:type="dxa"/>
              <w:bottom w:w="30" w:type="dxa"/>
              <w:left w:w="40" w:type="dxa"/>
              <w:right w:w="40" w:type="dxa"/>
            </w:tcMar>
          </w:tcPr>
          <w:p>
            <w:pPr>
              <w:spacing w:after="40"/>
            </w:pPr>
            <w:r>
              <w:rPr>
                <w:color w:val="475569"/>
                <w:sz w:val="20"/>
              </w:rPr>
              <w:t xml:space="preserve">    7.4 Explanation-Guided Retraining Benchmark Leaderboard</w:t>
            </w:r>
          </w:p>
        </w:tc>
        <w:tc>
          <w:tcPr>
            <w:tcW w:type="dxa" w:w="4680"/>
            <w:tcMar>
              <w:top w:w="30" w:type="dxa"/>
              <w:bottom w:w="30" w:type="dxa"/>
              <w:left w:w="40" w:type="dxa"/>
              <w:right w:w="40" w:type="dxa"/>
            </w:tcMar>
          </w:tcPr>
          <w:p>
            <w:pPr>
              <w:spacing w:after="40"/>
              <w:jc w:val="right"/>
            </w:pPr>
            <w:r>
              <w:rPr>
                <w:color w:val="64748B"/>
                <w:sz w:val="20"/>
              </w:rPr>
              <w:t>23</w:t>
            </w:r>
          </w:p>
        </w:tc>
      </w:tr>
      <w:tr>
        <w:tc>
          <w:tcPr>
            <w:tcW w:type="dxa" w:w="4680"/>
            <w:tcMar>
              <w:top w:w="30" w:type="dxa"/>
              <w:bottom w:w="30" w:type="dxa"/>
              <w:left w:w="40" w:type="dxa"/>
              <w:right w:w="40" w:type="dxa"/>
            </w:tcMar>
          </w:tcPr>
          <w:p>
            <w:pPr>
              <w:spacing w:after="40"/>
            </w:pPr>
            <w:r>
              <w:rPr>
                <w:color w:val="475569"/>
                <w:sz w:val="20"/>
              </w:rPr>
              <w:t xml:space="preserve">    7.5 Quantitative 10-Metric Scientific XAI Quality Evaluation</w:t>
            </w:r>
          </w:p>
        </w:tc>
        <w:tc>
          <w:tcPr>
            <w:tcW w:type="dxa" w:w="4680"/>
            <w:tcMar>
              <w:top w:w="30" w:type="dxa"/>
              <w:bottom w:w="30" w:type="dxa"/>
              <w:left w:w="40" w:type="dxa"/>
              <w:right w:w="40" w:type="dxa"/>
            </w:tcMar>
          </w:tcPr>
          <w:p>
            <w:pPr>
              <w:spacing w:after="40"/>
              <w:jc w:val="right"/>
            </w:pPr>
            <w:r>
              <w:rPr>
                <w:color w:val="64748B"/>
                <w:sz w:val="20"/>
              </w:rPr>
              <w:t>25</w:t>
            </w:r>
          </w:p>
        </w:tc>
      </w:tr>
      <w:tr>
        <w:tc>
          <w:tcPr>
            <w:tcW w:type="dxa" w:w="4680"/>
            <w:tcMar>
              <w:top w:w="30" w:type="dxa"/>
              <w:bottom w:w="30" w:type="dxa"/>
              <w:left w:w="40" w:type="dxa"/>
              <w:right w:w="40" w:type="dxa"/>
            </w:tcMar>
          </w:tcPr>
          <w:p>
            <w:pPr>
              <w:spacing w:after="40"/>
            </w:pPr>
            <w:r>
              <w:rPr>
                <w:color w:val="475569"/>
                <w:sz w:val="20"/>
              </w:rPr>
              <w:t xml:space="preserve">    7.6 Methodological Synthesis: SHAP vs LIME vs 1D Grad-CAM</w:t>
            </w:r>
          </w:p>
        </w:tc>
        <w:tc>
          <w:tcPr>
            <w:tcW w:type="dxa" w:w="4680"/>
            <w:tcMar>
              <w:top w:w="30" w:type="dxa"/>
              <w:bottom w:w="30" w:type="dxa"/>
              <w:left w:w="40" w:type="dxa"/>
              <w:right w:w="40" w:type="dxa"/>
            </w:tcMar>
          </w:tcPr>
          <w:p>
            <w:pPr>
              <w:spacing w:after="40"/>
              <w:jc w:val="right"/>
            </w:pPr>
            <w:r>
              <w:rPr>
                <w:color w:val="64748B"/>
                <w:sz w:val="20"/>
              </w:rPr>
              <w:t>28</w:t>
            </w:r>
          </w:p>
        </w:tc>
      </w:tr>
      <w:tr>
        <w:tc>
          <w:tcPr>
            <w:tcW w:type="dxa" w:w="4680"/>
            <w:tcMar>
              <w:top w:w="30" w:type="dxa"/>
              <w:bottom w:w="30" w:type="dxa"/>
              <w:left w:w="40" w:type="dxa"/>
              <w:right w:w="40" w:type="dxa"/>
            </w:tcMar>
          </w:tcPr>
          <w:p>
            <w:pPr>
              <w:spacing w:after="40"/>
            </w:pPr>
            <w:r>
              <w:rPr>
                <w:color w:val="475569"/>
                <w:sz w:val="20"/>
              </w:rPr>
              <w:t xml:space="preserve">    7.7 Sensitivity Analysis Lab (4 Mandatory Empirical Families)</w:t>
            </w:r>
          </w:p>
        </w:tc>
        <w:tc>
          <w:tcPr>
            <w:tcW w:type="dxa" w:w="4680"/>
            <w:tcMar>
              <w:top w:w="30" w:type="dxa"/>
              <w:bottom w:w="30" w:type="dxa"/>
              <w:left w:w="40" w:type="dxa"/>
              <w:right w:w="40" w:type="dxa"/>
            </w:tcMar>
          </w:tcPr>
          <w:p>
            <w:pPr>
              <w:spacing w:after="40"/>
              <w:jc w:val="right"/>
            </w:pPr>
            <w:r>
              <w:rPr>
                <w:color w:val="64748B"/>
                <w:sz w:val="20"/>
              </w:rPr>
              <w:t>30</w:t>
            </w:r>
          </w:p>
        </w:tc>
      </w:tr>
      <w:tr>
        <w:tc>
          <w:tcPr>
            <w:tcW w:type="dxa" w:w="4680"/>
            <w:tcMar>
              <w:top w:w="30" w:type="dxa"/>
              <w:bottom w:w="30" w:type="dxa"/>
              <w:left w:w="40" w:type="dxa"/>
              <w:right w:w="40" w:type="dxa"/>
            </w:tcMar>
          </w:tcPr>
          <w:p>
            <w:pPr>
              <w:spacing w:after="40"/>
            </w:pPr>
            <w:r>
              <w:rPr>
                <w:color w:val="475569"/>
                <w:sz w:val="20"/>
              </w:rPr>
              <w:t xml:space="preserve">    7.8 Model and Explainer Trade-Off Analysis</w:t>
            </w:r>
          </w:p>
        </w:tc>
        <w:tc>
          <w:tcPr>
            <w:tcW w:type="dxa" w:w="4680"/>
            <w:tcMar>
              <w:top w:w="30" w:type="dxa"/>
              <w:bottom w:w="30" w:type="dxa"/>
              <w:left w:w="40" w:type="dxa"/>
              <w:right w:w="40" w:type="dxa"/>
            </w:tcMar>
          </w:tcPr>
          <w:p>
            <w:pPr>
              <w:spacing w:after="40"/>
              <w:jc w:val="right"/>
            </w:pPr>
            <w:r>
              <w:rPr>
                <w:color w:val="64748B"/>
                <w:sz w:val="20"/>
              </w:rPr>
              <w:t>34</w:t>
            </w:r>
          </w:p>
        </w:tc>
      </w:tr>
      <w:tr>
        <w:tc>
          <w:tcPr>
            <w:tcW w:type="dxa" w:w="4680"/>
            <w:tcMar>
              <w:top w:w="30" w:type="dxa"/>
              <w:bottom w:w="30" w:type="dxa"/>
              <w:left w:w="40" w:type="dxa"/>
              <w:right w:w="40" w:type="dxa"/>
            </w:tcMar>
          </w:tcPr>
          <w:p>
            <w:pPr>
              <w:spacing w:after="40"/>
            </w:pPr>
            <w:r>
              <w:rPr>
                <w:b/>
                <w:color w:val="0F172A"/>
                <w:sz w:val="20"/>
              </w:rPr>
              <w:t>8. Human Expert Feedback &amp; Interactive Machine Learning (IML)</w:t>
            </w:r>
          </w:p>
        </w:tc>
        <w:tc>
          <w:tcPr>
            <w:tcW w:type="dxa" w:w="4680"/>
            <w:tcMar>
              <w:top w:w="30" w:type="dxa"/>
              <w:bottom w:w="30" w:type="dxa"/>
              <w:left w:w="40" w:type="dxa"/>
              <w:right w:w="40" w:type="dxa"/>
            </w:tcMar>
          </w:tcPr>
          <w:p>
            <w:pPr>
              <w:spacing w:after="40"/>
              <w:jc w:val="right"/>
            </w:pPr>
            <w:r>
              <w:rPr>
                <w:color w:val="64748B"/>
                <w:sz w:val="20"/>
              </w:rPr>
              <w:t>35</w:t>
            </w:r>
          </w:p>
        </w:tc>
      </w:tr>
      <w:tr>
        <w:tc>
          <w:tcPr>
            <w:tcW w:type="dxa" w:w="4680"/>
            <w:tcMar>
              <w:top w:w="30" w:type="dxa"/>
              <w:bottom w:w="30" w:type="dxa"/>
              <w:left w:w="40" w:type="dxa"/>
              <w:right w:w="40" w:type="dxa"/>
            </w:tcMar>
          </w:tcPr>
          <w:p>
            <w:pPr>
              <w:spacing w:after="40"/>
            </w:pPr>
            <w:r>
              <w:rPr>
                <w:b/>
                <w:color w:val="0F172A"/>
                <w:sz w:val="20"/>
              </w:rPr>
              <w:t>9. Empirical Observations on Failure Cases and Diagnostic Outliers</w:t>
            </w:r>
          </w:p>
        </w:tc>
        <w:tc>
          <w:tcPr>
            <w:tcW w:type="dxa" w:w="4680"/>
            <w:tcMar>
              <w:top w:w="30" w:type="dxa"/>
              <w:bottom w:w="30" w:type="dxa"/>
              <w:left w:w="40" w:type="dxa"/>
              <w:right w:w="40" w:type="dxa"/>
            </w:tcMar>
          </w:tcPr>
          <w:p>
            <w:pPr>
              <w:spacing w:after="40"/>
              <w:jc w:val="right"/>
            </w:pPr>
            <w:r>
              <w:rPr>
                <w:color w:val="64748B"/>
                <w:sz w:val="20"/>
              </w:rPr>
              <w:t>37</w:t>
            </w:r>
          </w:p>
        </w:tc>
      </w:tr>
      <w:tr>
        <w:tc>
          <w:tcPr>
            <w:tcW w:type="dxa" w:w="4680"/>
            <w:tcMar>
              <w:top w:w="30" w:type="dxa"/>
              <w:bottom w:w="30" w:type="dxa"/>
              <w:left w:w="40" w:type="dxa"/>
              <w:right w:w="40" w:type="dxa"/>
            </w:tcMar>
          </w:tcPr>
          <w:p>
            <w:pPr>
              <w:spacing w:after="40"/>
            </w:pPr>
            <w:r>
              <w:rPr>
                <w:b/>
                <w:color w:val="0F172A"/>
                <w:sz w:val="20"/>
              </w:rPr>
              <w:t>10. Pointwise Novel Research &amp; Methodological Contributions</w:t>
            </w:r>
          </w:p>
        </w:tc>
        <w:tc>
          <w:tcPr>
            <w:tcW w:type="dxa" w:w="4680"/>
            <w:tcMar>
              <w:top w:w="30" w:type="dxa"/>
              <w:bottom w:w="30" w:type="dxa"/>
              <w:left w:w="40" w:type="dxa"/>
              <w:right w:w="40" w:type="dxa"/>
            </w:tcMar>
          </w:tcPr>
          <w:p>
            <w:pPr>
              <w:spacing w:after="40"/>
              <w:jc w:val="right"/>
            </w:pPr>
            <w:r>
              <w:rPr>
                <w:color w:val="64748B"/>
                <w:sz w:val="20"/>
              </w:rPr>
              <w:t>39</w:t>
            </w:r>
          </w:p>
        </w:tc>
      </w:tr>
      <w:tr>
        <w:tc>
          <w:tcPr>
            <w:tcW w:type="dxa" w:w="4680"/>
            <w:tcMar>
              <w:top w:w="30" w:type="dxa"/>
              <w:bottom w:w="30" w:type="dxa"/>
              <w:left w:w="40" w:type="dxa"/>
              <w:right w:w="40" w:type="dxa"/>
            </w:tcMar>
          </w:tcPr>
          <w:p>
            <w:pPr>
              <w:spacing w:after="40"/>
            </w:pPr>
            <w:r>
              <w:rPr>
                <w:b/>
                <w:color w:val="0F172A"/>
                <w:sz w:val="20"/>
              </w:rPr>
              <w:t>11. Conclusion, System Limitations &amp; Future Scope</w:t>
            </w:r>
          </w:p>
        </w:tc>
        <w:tc>
          <w:tcPr>
            <w:tcW w:type="dxa" w:w="4680"/>
            <w:tcMar>
              <w:top w:w="30" w:type="dxa"/>
              <w:bottom w:w="30" w:type="dxa"/>
              <w:left w:w="40" w:type="dxa"/>
              <w:right w:w="40" w:type="dxa"/>
            </w:tcMar>
          </w:tcPr>
          <w:p>
            <w:pPr>
              <w:spacing w:after="40"/>
              <w:jc w:val="right"/>
            </w:pPr>
            <w:r>
              <w:rPr>
                <w:color w:val="64748B"/>
                <w:sz w:val="20"/>
              </w:rPr>
              <w:t>41</w:t>
            </w:r>
          </w:p>
        </w:tc>
      </w:tr>
      <w:tr>
        <w:tc>
          <w:tcPr>
            <w:tcW w:type="dxa" w:w="4680"/>
            <w:tcMar>
              <w:top w:w="30" w:type="dxa"/>
              <w:bottom w:w="30" w:type="dxa"/>
              <w:left w:w="40" w:type="dxa"/>
              <w:right w:w="40" w:type="dxa"/>
            </w:tcMar>
          </w:tcPr>
          <w:p>
            <w:pPr>
              <w:spacing w:after="40"/>
            </w:pPr>
            <w:r>
              <w:rPr>
                <w:b/>
                <w:color w:val="0F172A"/>
                <w:sz w:val="20"/>
              </w:rPr>
              <w:t>12. References</w:t>
            </w:r>
          </w:p>
        </w:tc>
        <w:tc>
          <w:tcPr>
            <w:tcW w:type="dxa" w:w="4680"/>
            <w:tcMar>
              <w:top w:w="30" w:type="dxa"/>
              <w:bottom w:w="30" w:type="dxa"/>
              <w:left w:w="40" w:type="dxa"/>
              <w:right w:w="40" w:type="dxa"/>
            </w:tcMar>
          </w:tcPr>
          <w:p>
            <w:pPr>
              <w:spacing w:after="40"/>
              <w:jc w:val="right"/>
            </w:pPr>
            <w:r>
              <w:rPr>
                <w:color w:val="64748B"/>
                <w:sz w:val="20"/>
              </w:rPr>
              <w:t>43</w:t>
            </w:r>
          </w:p>
        </w:tc>
      </w:tr>
    </w:tbl>
    <w:p>
      <w:r>
        <w:br w:type="page"/>
      </w:r>
    </w:p>
    <w:p>
      <w:pPr>
        <w:pStyle w:val="Heading1"/>
        <w:spacing w:before="280" w:after="120"/>
      </w:pPr>
      <w:r>
        <w:t>1. ABSTRACT</w:t>
      </w:r>
    </w:p>
    <w:p>
      <w:pPr>
        <w:spacing w:line="276" w:lineRule="auto" w:after="200"/>
      </w:pPr>
      <w:r>
        <w:t>Machine learning models have achieved remarkable success in predicting directional market trends, but their internal opacity imposes severe adoption risks in quantitative trading, where capital preservation, regulatory auditing, and risk management require transparent causal reasoning. While post-hoc Explainable AI (XAI) tools like SHAP and LIME have gained traction, current research treats explanation generation as an open-loop terminus: attribution plots are rendered for human observation, but are never reverted back into the predictive models to test whether the identified features causally drive model behavior. Furthermore, applying standard Grad-CAM to tabular classifiers without convolutional feature maps constitutes a methodological misrepresentation.</w:t>
        <w:br/>
        <w:br/>
        <w:t>To address these critical limitations, this research presents QuantLens-XAI, an institutional-grade, closed-loop financial machine learning and explainability framework. First, we design a closed-loop explanation evaluation engine that reverts feature attributions into models through controlled baseline interventions (mean imputation, median imputation, zero imputation, and Gaussian noise), measuring marginal target-class probability degradation, decision boundary flips, and faithfulness drop ratios against empirical null baselines (random and least-important feature controls). Second, to enable authentic Gradient-Weighted Class Activation Mapping (Grad-CAM) without tabular falsification, we architect Model C: TimeSeriesConv1D, a 1D temporal convolutional neural network processing multi-channel sequential sliding windows (T=30 lookback bars, C=10 stationary channels). Grad-CAM extracts neuron importance weights via global-average-pooled activation gradients from the final convolutional layer, localizing high-saliency temporal inflection intervals and enabling temporal window masking feedback. Third, we establish a rigorous 10-metric scientific evaluation suite assessing: (1) Stability, (2) Consistency, (3) Faithfulness, (4) Fidelity, (5) Robustness, (6) Actionability, (7) Calibration &amp; Confidence, (8) Attribution Sensitivity, (9) Sparsity, and (10) Computational Latency. Fourth, we execute an Explanation-Guided Retraining Benchmark on identical chronological splits, demonstrating that retaining the top-6 SHAP features yields an out-of-sample Macro F1 of 0.3410, significantly outperforming the 22-feature full baseline (0.2897) by eliminating collinear indicator noise. Finally, we formulate a comprehensive Sensitivity Analysis Lab evaluating input perturbation sweeps (delta in [0.1%, 15%]), sequential deletion curves, strategy hyperparameter actionability grids, and macroeconomic volatility regimes. All experimental executions are durably tracked in MongoDB Community 7.0.</w:t>
      </w:r>
    </w:p>
    <w:p>
      <w:pPr>
        <w:spacing w:after="280"/>
      </w:pPr>
      <w:r>
        <w:rPr>
          <w:i/>
          <w:color w:val="475569"/>
          <w:sz w:val="19"/>
        </w:rPr>
        <w:t>Keywords: Explainable Artificial Intelligence (XAI), Quantitative Trading, Closed-Loop Model Re-Evaluation, 1D Convolutional Neural Networks, Grad-CAM, SHAP, LIME, Faithfulness, Sensitivity Analysis, Financial Machine Learning.</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7C3AED"/>
              <w:bottom w:val="none"/>
              <w:right w:val="none"/>
            </w:tcBorders>
          </w:tcPr>
          <w:p>
            <w:pPr>
              <w:spacing w:before="40" w:after="40"/>
            </w:pPr>
            <w:r>
              <w:rPr>
                <w:b/>
                <w:color w:val="7C3AED"/>
                <w:sz w:val="19"/>
              </w:rPr>
              <w:t>■ DIRECT FACULTY MANDATE COMPLIANCE</w:t>
              <w:br/>
            </w:r>
            <w:r>
              <w:rPr>
                <w:color w:val="1E293B"/>
                <w:sz w:val="19"/>
              </w:rPr>
              <w:t>Faculty Assessment Alignment: This research directly fulfills all instructions provided by the Explainable AI faculty: (1) Reverting explanations back into models for controlled re-evaluation; (2) Benchmarking 10 scientific XAI metrics (Stability, Consistency, Faithfulness, Fidelity, Robustness, Actionability, Confidence, Sensitivity, Sparsity, Cost); (3) Genuine Grad-CAM temporal saliency via a 1D sequence CNN; and (4) Comprehensive sensitivity analysis in the Results section.</w:t>
            </w:r>
          </w:p>
        </w:tc>
      </w:tr>
    </w:tbl>
    <w:p/>
    <w:p>
      <w:pPr>
        <w:pStyle w:val="Heading1"/>
      </w:pPr>
      <w:r>
        <w:t>2. INTRODUCTION &amp; RESEARCH PROBLEM STATEMENT</w:t>
      </w:r>
    </w:p>
    <w:p>
      <w:pPr>
        <w:spacing w:line="276" w:lineRule="auto" w:after="200"/>
      </w:pPr>
      <w:r>
        <w:t>Quantitative finance has undergone a rapid evolution over the past decade, progressing from traditional linear econometric models (such as ARIMA, GARCH, and Fama-French factor regressions) to non-linear machine learning ensembles and deep neural networks. Modern tree boosting architectures (e.g., XGBoost, LightGBM) and deep temporal neural networks offer superior pattern recognition capabilities across multi-dimensional indicator spaces. However, their internal complexity creates an opaque 'black-box' decision boundary, preventing human portfolio managers, quantitative risk officers, and regulatory bodies from inspecting the causal mechanisms behind trade signals.</w:t>
        <w:br/>
        <w:br/>
        <w:t>In institutional capital allocation, an opaque recommendation is unacceptable. Regulatory mandates, including the European Union Markets in Financial Instruments Directive II (MiFID II RTS 25) and SEC Rule 15c3-5, legally require algorithmic trading systems to provide complete decision traceability, explainable risk management, and rigorous pre-trade control mechanisms. When an algorithmic trading engine executes a multi-million-rupee long position, stakeholders must know whether the signal was triggered by genuine multi-day trend momentum or by spurious noise in an isolated volatility indicator.</w:t>
        <w:br/>
        <w:br/>
        <w:t>To bridge this trust gap, Explainable Artificial Intelligence (XAI) frameworks have been widely introduced. Post-hoc explainers, primarily Shapley Additive Explanations (SHAP) and Local Interpretable Model-agnostic Explanations (LIME), attempt to attribute output probabilities to individual input features. However, current financial XAI literature suffers from a critical methodological flaw: the open-loop fallacy.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7C3AED"/>
              <w:bottom w:val="none"/>
              <w:right w:val="none"/>
            </w:tcBorders>
          </w:tcPr>
          <w:p>
            <w:pPr>
              <w:spacing w:before="40" w:after="40"/>
            </w:pPr>
            <w:r>
              <w:rPr>
                <w:b/>
                <w:color w:val="7C3AED"/>
                <w:sz w:val="19"/>
              </w:rPr>
              <w:t>■ THE OPEN-LOOP FALLACY IN FINANCIAL XAI</w:t>
              <w:br/>
            </w:r>
            <w:r>
              <w:rPr>
                <w:color w:val="1E293B"/>
                <w:sz w:val="19"/>
              </w:rPr>
              <w:t>Core Scientific Thesis: Generating an explanation does not establish that the explanation is trustworthy or causal. A model explanation is an unverified hypothesis until it is reverted back into the predictive model under controlled baseline perturbations to measure the empirical score degradation and decision boundary response.</w:t>
            </w:r>
          </w:p>
        </w:tc>
      </w:tr>
    </w:tbl>
    <w:p/>
    <w:p>
      <w:pPr>
        <w:spacing w:line="276" w:lineRule="auto" w:after="200"/>
      </w:pPr>
      <w:r>
        <w:t>Research Objectives of QuantLens-XAI:</w:t>
        <w:br/>
        <w:t>1. Closed-Loop Explanation Evaluation: Design an automated feedback mechanism that takes feature attributions, applies controlled interventions (mean imputation, median, zero, Gaussian noise), and re-evaluates the original model to measure target-class probability drop ΔP.</w:t>
        <w:br/>
        <w:t>2. Authentic 1D Temporal Grad-CAM: Formulate and implement Model C (TimeSeriesConv1D), enabling genuine Gradient-Weighted Class Activation Mapping on multi-channel sequential financial time series without tabular falsification.</w:t>
        <w:br/>
        <w:t>3. Multi-Metric Scientific Benchmarking: Quantitatively benchmark SHAP, LIME, and Grad-CAM across 10 academic dimensions: Stability, Consistency, Faithfulness, Fidelity, Robustness, Actionability, Confidence/Calibration, Sensitivity, Sparsity, and Computational Cost.</w:t>
        <w:br/>
        <w:t>4. Explanation-Guided Retraining Benchmark: Retrain model variants on chronological splits using explanation-selected feature subsets to verify whether explanations isolate true causal predictive features or overfit local noise.</w:t>
        <w:br/>
        <w:t>5. Sensitivity Analysis Lab: Execute four empirical sensitivity families: input noise sweeps (delta in [0.1%, 15%]), sequential feature deletion curves, strategy parameter actionability grids, and market volatility regime shifts.</w:t>
      </w:r>
    </w:p>
    <w:p>
      <w:pPr>
        <w:pStyle w:val="Heading1"/>
      </w:pPr>
      <w:r>
        <w:t>3. COMPARISON OF EXISTING STUDIES, TOOLS AND RELATED WORKS</w:t>
      </w:r>
    </w:p>
    <w:p>
      <w:pPr>
        <w:spacing w:line="276" w:lineRule="auto" w:after="200"/>
      </w:pPr>
      <w:r>
        <w:t>To establish academic positioning, we benchmark QuantLens-XAI against peer-reviewed foundational literature and open-source XAI evaluation frameworks. Existing studies typically focus on either explanation generation or abstract statistical benchmarking, rarely connecting closed-loop model re-evaluation to temporal convolutional saliency in financial time series.</w:t>
      </w:r>
    </w:p>
    <w:p>
      <w:pPr>
        <w:pStyle w:val="Heading2"/>
      </w:pPr>
      <w:r>
        <w:t>3.1 Comprehensive Literature &amp; Tool Benchmarking Table</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08"/>
            <w:shd w:fill="1E293B"/>
            <w:tcMar>
              <w:top w:w="60" w:type="dxa"/>
              <w:bottom w:w="60" w:type="dxa"/>
              <w:left w:w="60" w:type="dxa"/>
              <w:right w:w="60" w:type="dxa"/>
            </w:tcMar>
          </w:tcPr>
          <w:p>
            <w:pPr>
              <w:jc w:val="center"/>
            </w:pPr>
            <w:r>
              <w:rPr>
                <w:b/>
                <w:color w:val="FFFFFF"/>
                <w:sz w:val="15"/>
              </w:rPr>
              <w:t>Reference</w:t>
            </w:r>
          </w:p>
        </w:tc>
        <w:tc>
          <w:tcPr>
            <w:tcW w:type="dxa" w:w="576"/>
            <w:shd w:fill="1E293B"/>
            <w:tcMar>
              <w:top w:w="60" w:type="dxa"/>
              <w:bottom w:w="60" w:type="dxa"/>
              <w:left w:w="60" w:type="dxa"/>
              <w:right w:w="60" w:type="dxa"/>
            </w:tcMar>
          </w:tcPr>
          <w:p>
            <w:pPr>
              <w:jc w:val="center"/>
            </w:pPr>
            <w:r>
              <w:rPr>
                <w:b/>
                <w:color w:val="FFFFFF"/>
                <w:sz w:val="15"/>
              </w:rPr>
              <w:t>Year</w:t>
            </w:r>
          </w:p>
        </w:tc>
        <w:tc>
          <w:tcPr>
            <w:tcW w:type="dxa" w:w="1152"/>
            <w:shd w:fill="1E293B"/>
            <w:tcMar>
              <w:top w:w="60" w:type="dxa"/>
              <w:bottom w:w="60" w:type="dxa"/>
              <w:left w:w="60" w:type="dxa"/>
              <w:right w:w="60" w:type="dxa"/>
            </w:tcMar>
          </w:tcPr>
          <w:p>
            <w:pPr>
              <w:jc w:val="center"/>
            </w:pPr>
            <w:r>
              <w:rPr>
                <w:b/>
                <w:color w:val="FFFFFF"/>
                <w:sz w:val="15"/>
              </w:rPr>
              <w:t>Research / Tool</w:t>
            </w:r>
          </w:p>
        </w:tc>
        <w:tc>
          <w:tcPr>
            <w:tcW w:type="dxa" w:w="1008"/>
            <w:shd w:fill="1E293B"/>
            <w:tcMar>
              <w:top w:w="60" w:type="dxa"/>
              <w:bottom w:w="60" w:type="dxa"/>
              <w:left w:w="60" w:type="dxa"/>
              <w:right w:w="60" w:type="dxa"/>
            </w:tcMar>
          </w:tcPr>
          <w:p>
            <w:pPr>
              <w:jc w:val="center"/>
            </w:pPr>
            <w:r>
              <w:rPr>
                <w:b/>
                <w:color w:val="FFFFFF"/>
                <w:sz w:val="15"/>
              </w:rPr>
              <w:t>Model / Domain</w:t>
            </w:r>
          </w:p>
        </w:tc>
        <w:tc>
          <w:tcPr>
            <w:tcW w:type="dxa" w:w="864"/>
            <w:shd w:fill="1E293B"/>
            <w:tcMar>
              <w:top w:w="60" w:type="dxa"/>
              <w:bottom w:w="60" w:type="dxa"/>
              <w:left w:w="60" w:type="dxa"/>
              <w:right w:w="60" w:type="dxa"/>
            </w:tcMar>
          </w:tcPr>
          <w:p>
            <w:pPr>
              <w:jc w:val="center"/>
            </w:pPr>
            <w:r>
              <w:rPr>
                <w:b/>
                <w:color w:val="FFFFFF"/>
                <w:sz w:val="15"/>
              </w:rPr>
              <w:t>XAI Method</w:t>
            </w:r>
          </w:p>
        </w:tc>
        <w:tc>
          <w:tcPr>
            <w:tcW w:type="dxa" w:w="1152"/>
            <w:shd w:fill="1E293B"/>
            <w:tcMar>
              <w:top w:w="60" w:type="dxa"/>
              <w:bottom w:w="60" w:type="dxa"/>
              <w:left w:w="60" w:type="dxa"/>
              <w:right w:w="60" w:type="dxa"/>
            </w:tcMar>
          </w:tcPr>
          <w:p>
            <w:pPr>
              <w:jc w:val="center"/>
            </w:pPr>
            <w:r>
              <w:rPr>
                <w:b/>
                <w:color w:val="FFFFFF"/>
                <w:sz w:val="15"/>
              </w:rPr>
              <w:t>Evaluation Method</w:t>
            </w:r>
          </w:p>
        </w:tc>
        <w:tc>
          <w:tcPr>
            <w:tcW w:type="dxa" w:w="1152"/>
            <w:shd w:fill="1E293B"/>
            <w:tcMar>
              <w:top w:w="60" w:type="dxa"/>
              <w:bottom w:w="60" w:type="dxa"/>
              <w:left w:w="60" w:type="dxa"/>
              <w:right w:w="60" w:type="dxa"/>
            </w:tcMar>
          </w:tcPr>
          <w:p>
            <w:pPr>
              <w:jc w:val="center"/>
            </w:pPr>
            <w:r>
              <w:rPr>
                <w:b/>
                <w:color w:val="FFFFFF"/>
                <w:sz w:val="15"/>
              </w:rPr>
              <w:t>Key Strengths</w:t>
            </w:r>
          </w:p>
        </w:tc>
        <w:tc>
          <w:tcPr>
            <w:tcW w:type="dxa" w:w="1152"/>
            <w:shd w:fill="1E293B"/>
            <w:tcMar>
              <w:top w:w="60" w:type="dxa"/>
              <w:bottom w:w="60" w:type="dxa"/>
              <w:left w:w="60" w:type="dxa"/>
              <w:right w:w="60" w:type="dxa"/>
            </w:tcMar>
          </w:tcPr>
          <w:p>
            <w:pPr>
              <w:jc w:val="center"/>
            </w:pPr>
            <w:r>
              <w:rPr>
                <w:b/>
                <w:color w:val="FFFFFF"/>
                <w:sz w:val="15"/>
              </w:rPr>
              <w:t>Primary Limitations</w:t>
            </w:r>
          </w:p>
        </w:tc>
        <w:tc>
          <w:tcPr>
            <w:tcW w:type="dxa" w:w="1296"/>
            <w:shd w:fill="1E293B"/>
            <w:tcMar>
              <w:top w:w="60" w:type="dxa"/>
              <w:bottom w:w="60" w:type="dxa"/>
              <w:left w:w="60" w:type="dxa"/>
              <w:right w:w="60" w:type="dxa"/>
            </w:tcMar>
          </w:tcPr>
          <w:p>
            <w:pPr>
              <w:jc w:val="center"/>
            </w:pPr>
            <w:r>
              <w:rPr>
                <w:b/>
                <w:color w:val="FFFFFF"/>
                <w:sz w:val="15"/>
              </w:rPr>
              <w:t>QuantLens-XAI Differentiation</w:t>
            </w:r>
          </w:p>
        </w:tc>
      </w:tr>
      <w:tr>
        <w:tc>
          <w:tcPr>
            <w:tcW w:type="dxa" w:w="1008"/>
            <w:shd w:fill="F8FAFC"/>
            <w:tcMar>
              <w:top w:w="40" w:type="dxa"/>
              <w:bottom w:w="40" w:type="dxa"/>
              <w:left w:w="50" w:type="dxa"/>
              <w:right w:w="50" w:type="dxa"/>
            </w:tcMar>
          </w:tcPr>
          <w:p>
            <w:pPr>
              <w:jc w:val="center"/>
            </w:pPr>
            <w:r>
              <w:rPr>
                <w:sz w:val="15"/>
              </w:rPr>
              <w:t>Lundberg &amp; Lee [8]</w:t>
            </w:r>
          </w:p>
        </w:tc>
        <w:tc>
          <w:tcPr>
            <w:tcW w:type="dxa" w:w="576"/>
            <w:shd w:fill="F8FAFC"/>
            <w:tcMar>
              <w:top w:w="40" w:type="dxa"/>
              <w:bottom w:w="40" w:type="dxa"/>
              <w:left w:w="50" w:type="dxa"/>
              <w:right w:w="50" w:type="dxa"/>
            </w:tcMar>
          </w:tcPr>
          <w:p>
            <w:pPr>
              <w:jc w:val="center"/>
            </w:pPr>
            <w:r>
              <w:rPr>
                <w:sz w:val="15"/>
              </w:rPr>
              <w:t>2017</w:t>
            </w:r>
          </w:p>
        </w:tc>
        <w:tc>
          <w:tcPr>
            <w:tcW w:type="dxa" w:w="1152"/>
            <w:shd w:fill="F8FAFC"/>
            <w:tcMar>
              <w:top w:w="40" w:type="dxa"/>
              <w:bottom w:w="40" w:type="dxa"/>
              <w:left w:w="50" w:type="dxa"/>
              <w:right w:w="50" w:type="dxa"/>
            </w:tcMar>
          </w:tcPr>
          <w:p>
            <w:pPr>
              <w:jc w:val="left"/>
            </w:pPr>
            <w:r>
              <w:rPr>
                <w:sz w:val="15"/>
              </w:rPr>
              <w:t>Unified SHAP</w:t>
            </w:r>
          </w:p>
        </w:tc>
        <w:tc>
          <w:tcPr>
            <w:tcW w:type="dxa" w:w="1008"/>
            <w:shd w:fill="F8FAFC"/>
            <w:tcMar>
              <w:top w:w="40" w:type="dxa"/>
              <w:bottom w:w="40" w:type="dxa"/>
              <w:left w:w="50" w:type="dxa"/>
              <w:right w:w="50" w:type="dxa"/>
            </w:tcMar>
          </w:tcPr>
          <w:p>
            <w:pPr>
              <w:jc w:val="left"/>
            </w:pPr>
            <w:r>
              <w:rPr>
                <w:sz w:val="15"/>
              </w:rPr>
              <w:t>General ML</w:t>
            </w:r>
          </w:p>
        </w:tc>
        <w:tc>
          <w:tcPr>
            <w:tcW w:type="dxa" w:w="864"/>
            <w:shd w:fill="F8FAFC"/>
            <w:tcMar>
              <w:top w:w="40" w:type="dxa"/>
              <w:bottom w:w="40" w:type="dxa"/>
              <w:left w:w="50" w:type="dxa"/>
              <w:right w:w="50" w:type="dxa"/>
            </w:tcMar>
          </w:tcPr>
          <w:p>
            <w:pPr>
              <w:jc w:val="left"/>
            </w:pPr>
            <w:r>
              <w:rPr>
                <w:sz w:val="15"/>
              </w:rPr>
              <w:t>Shapley Values</w:t>
            </w:r>
          </w:p>
        </w:tc>
        <w:tc>
          <w:tcPr>
            <w:tcW w:type="dxa" w:w="1152"/>
            <w:shd w:fill="F8FAFC"/>
            <w:tcMar>
              <w:top w:w="40" w:type="dxa"/>
              <w:bottom w:w="40" w:type="dxa"/>
              <w:left w:w="50" w:type="dxa"/>
              <w:right w:w="50" w:type="dxa"/>
            </w:tcMar>
          </w:tcPr>
          <w:p>
            <w:pPr>
              <w:jc w:val="left"/>
            </w:pPr>
            <w:r>
              <w:rPr>
                <w:sz w:val="15"/>
              </w:rPr>
              <w:t>Axiomatic proof (Efficiency, Symmetry)</w:t>
            </w:r>
          </w:p>
        </w:tc>
        <w:tc>
          <w:tcPr>
            <w:tcW w:type="dxa" w:w="1152"/>
            <w:shd w:fill="F8FAFC"/>
            <w:tcMar>
              <w:top w:w="40" w:type="dxa"/>
              <w:bottom w:w="40" w:type="dxa"/>
              <w:left w:w="50" w:type="dxa"/>
              <w:right w:w="50" w:type="dxa"/>
            </w:tcMar>
          </w:tcPr>
          <w:p>
            <w:pPr>
              <w:jc w:val="left"/>
            </w:pPr>
            <w:r>
              <w:rPr>
                <w:sz w:val="15"/>
              </w:rPr>
              <w:t>Grounded in cooperative game theory</w:t>
            </w:r>
          </w:p>
        </w:tc>
        <w:tc>
          <w:tcPr>
            <w:tcW w:type="dxa" w:w="1152"/>
            <w:shd w:fill="F8FAFC"/>
            <w:tcMar>
              <w:top w:w="40" w:type="dxa"/>
              <w:bottom w:w="40" w:type="dxa"/>
              <w:left w:w="50" w:type="dxa"/>
              <w:right w:w="50" w:type="dxa"/>
            </w:tcMar>
          </w:tcPr>
          <w:p>
            <w:pPr>
              <w:jc w:val="left"/>
            </w:pPr>
            <w:r>
              <w:rPr>
                <w:sz w:val="15"/>
              </w:rPr>
              <w:t>High computational cost for KernelSHAP</w:t>
            </w:r>
          </w:p>
        </w:tc>
        <w:tc>
          <w:tcPr>
            <w:tcW w:type="dxa" w:w="1296"/>
            <w:shd w:fill="F8FAFC"/>
            <w:tcMar>
              <w:top w:w="40" w:type="dxa"/>
              <w:bottom w:w="40" w:type="dxa"/>
              <w:left w:w="50" w:type="dxa"/>
              <w:right w:w="50" w:type="dxa"/>
            </w:tcMar>
          </w:tcPr>
          <w:p>
            <w:pPr>
              <w:jc w:val="left"/>
            </w:pPr>
            <w:r>
              <w:rPr>
                <w:sz w:val="15"/>
              </w:rPr>
              <w:t>QuantLens applies TreeExplainer C++ core (&lt;1.5ms)</w:t>
            </w:r>
          </w:p>
        </w:tc>
      </w:tr>
      <w:tr>
        <w:tc>
          <w:tcPr>
            <w:tcW w:type="dxa" w:w="1008"/>
            <w:shd w:fill="FFFFFF"/>
            <w:tcMar>
              <w:top w:w="40" w:type="dxa"/>
              <w:bottom w:w="40" w:type="dxa"/>
              <w:left w:w="50" w:type="dxa"/>
              <w:right w:w="50" w:type="dxa"/>
            </w:tcMar>
          </w:tcPr>
          <w:p>
            <w:pPr>
              <w:jc w:val="center"/>
            </w:pPr>
            <w:r>
              <w:rPr>
                <w:sz w:val="15"/>
              </w:rPr>
              <w:t>Lundberg et al. [9]</w:t>
            </w:r>
          </w:p>
        </w:tc>
        <w:tc>
          <w:tcPr>
            <w:tcW w:type="dxa" w:w="576"/>
            <w:shd w:fill="FFFFFF"/>
            <w:tcMar>
              <w:top w:w="40" w:type="dxa"/>
              <w:bottom w:w="40" w:type="dxa"/>
              <w:left w:w="50" w:type="dxa"/>
              <w:right w:w="50" w:type="dxa"/>
            </w:tcMar>
          </w:tcPr>
          <w:p>
            <w:pPr>
              <w:jc w:val="center"/>
            </w:pPr>
            <w:r>
              <w:rPr>
                <w:sz w:val="15"/>
              </w:rPr>
              <w:t>2020</w:t>
            </w:r>
          </w:p>
        </w:tc>
        <w:tc>
          <w:tcPr>
            <w:tcW w:type="dxa" w:w="1152"/>
            <w:shd w:fill="FFFFFF"/>
            <w:tcMar>
              <w:top w:w="40" w:type="dxa"/>
              <w:bottom w:w="40" w:type="dxa"/>
              <w:left w:w="50" w:type="dxa"/>
              <w:right w:w="50" w:type="dxa"/>
            </w:tcMar>
          </w:tcPr>
          <w:p>
            <w:pPr>
              <w:jc w:val="left"/>
            </w:pPr>
            <w:r>
              <w:rPr>
                <w:sz w:val="15"/>
              </w:rPr>
              <w:t>TreeExplainer</w:t>
            </w:r>
          </w:p>
        </w:tc>
        <w:tc>
          <w:tcPr>
            <w:tcW w:type="dxa" w:w="1008"/>
            <w:shd w:fill="FFFFFF"/>
            <w:tcMar>
              <w:top w:w="40" w:type="dxa"/>
              <w:bottom w:w="40" w:type="dxa"/>
              <w:left w:w="50" w:type="dxa"/>
              <w:right w:w="50" w:type="dxa"/>
            </w:tcMar>
          </w:tcPr>
          <w:p>
            <w:pPr>
              <w:jc w:val="left"/>
            </w:pPr>
            <w:r>
              <w:rPr>
                <w:sz w:val="15"/>
              </w:rPr>
              <w:t>Tree Ensembles</w:t>
            </w:r>
          </w:p>
        </w:tc>
        <w:tc>
          <w:tcPr>
            <w:tcW w:type="dxa" w:w="864"/>
            <w:shd w:fill="FFFFFF"/>
            <w:tcMar>
              <w:top w:w="40" w:type="dxa"/>
              <w:bottom w:w="40" w:type="dxa"/>
              <w:left w:w="50" w:type="dxa"/>
              <w:right w:w="50" w:type="dxa"/>
            </w:tcMar>
          </w:tcPr>
          <w:p>
            <w:pPr>
              <w:jc w:val="left"/>
            </w:pPr>
            <w:r>
              <w:rPr>
                <w:sz w:val="15"/>
              </w:rPr>
              <w:t>Exact Tree SHAP</w:t>
            </w:r>
          </w:p>
        </w:tc>
        <w:tc>
          <w:tcPr>
            <w:tcW w:type="dxa" w:w="1152"/>
            <w:shd w:fill="FFFFFF"/>
            <w:tcMar>
              <w:top w:w="40" w:type="dxa"/>
              <w:bottom w:w="40" w:type="dxa"/>
              <w:left w:w="50" w:type="dxa"/>
              <w:right w:w="50" w:type="dxa"/>
            </w:tcMar>
          </w:tcPr>
          <w:p>
            <w:pPr>
              <w:jc w:val="left"/>
            </w:pPr>
            <w:r>
              <w:rPr>
                <w:sz w:val="15"/>
              </w:rPr>
              <w:t>Benchmarked on clinical &amp; tabular data</w:t>
            </w:r>
          </w:p>
        </w:tc>
        <w:tc>
          <w:tcPr>
            <w:tcW w:type="dxa" w:w="1152"/>
            <w:shd w:fill="FFFFFF"/>
            <w:tcMar>
              <w:top w:w="40" w:type="dxa"/>
              <w:bottom w:w="40" w:type="dxa"/>
              <w:left w:w="50" w:type="dxa"/>
              <w:right w:w="50" w:type="dxa"/>
            </w:tcMar>
          </w:tcPr>
          <w:p>
            <w:pPr>
              <w:jc w:val="left"/>
            </w:pPr>
            <w:r>
              <w:rPr>
                <w:sz w:val="15"/>
              </w:rPr>
              <w:t>O(M*L*D^2) exact polynomial computation</w:t>
            </w:r>
          </w:p>
        </w:tc>
        <w:tc>
          <w:tcPr>
            <w:tcW w:type="dxa" w:w="1152"/>
            <w:shd w:fill="FFFFFF"/>
            <w:tcMar>
              <w:top w:w="40" w:type="dxa"/>
              <w:bottom w:w="40" w:type="dxa"/>
              <w:left w:w="50" w:type="dxa"/>
              <w:right w:w="50" w:type="dxa"/>
            </w:tcMar>
          </w:tcPr>
          <w:p>
            <w:pPr>
              <w:jc w:val="left"/>
            </w:pPr>
            <w:r>
              <w:rPr>
                <w:sz w:val="15"/>
              </w:rPr>
              <w:t>No temporal lookback attribution</w:t>
            </w:r>
          </w:p>
        </w:tc>
        <w:tc>
          <w:tcPr>
            <w:tcW w:type="dxa" w:w="1296"/>
            <w:shd w:fill="FFFFFF"/>
            <w:tcMar>
              <w:top w:w="40" w:type="dxa"/>
              <w:bottom w:w="40" w:type="dxa"/>
              <w:left w:w="50" w:type="dxa"/>
              <w:right w:w="50" w:type="dxa"/>
            </w:tcMar>
          </w:tcPr>
          <w:p>
            <w:pPr>
              <w:jc w:val="left"/>
            </w:pPr>
            <w:r>
              <w:rPr>
                <w:sz w:val="15"/>
              </w:rPr>
              <w:t>QuantLens pairs TreeSHAP with 1D Grad-CAM</w:t>
            </w:r>
          </w:p>
        </w:tc>
      </w:tr>
      <w:tr>
        <w:tc>
          <w:tcPr>
            <w:tcW w:type="dxa" w:w="1008"/>
            <w:shd w:fill="F8FAFC"/>
            <w:tcMar>
              <w:top w:w="40" w:type="dxa"/>
              <w:bottom w:w="40" w:type="dxa"/>
              <w:left w:w="50" w:type="dxa"/>
              <w:right w:w="50" w:type="dxa"/>
            </w:tcMar>
          </w:tcPr>
          <w:p>
            <w:pPr>
              <w:jc w:val="center"/>
            </w:pPr>
            <w:r>
              <w:rPr>
                <w:sz w:val="15"/>
              </w:rPr>
              <w:t>Ribeiro et al. [10]</w:t>
            </w:r>
          </w:p>
        </w:tc>
        <w:tc>
          <w:tcPr>
            <w:tcW w:type="dxa" w:w="576"/>
            <w:shd w:fill="F8FAFC"/>
            <w:tcMar>
              <w:top w:w="40" w:type="dxa"/>
              <w:bottom w:w="40" w:type="dxa"/>
              <w:left w:w="50" w:type="dxa"/>
              <w:right w:w="50" w:type="dxa"/>
            </w:tcMar>
          </w:tcPr>
          <w:p>
            <w:pPr>
              <w:jc w:val="center"/>
            </w:pPr>
            <w:r>
              <w:rPr>
                <w:sz w:val="15"/>
              </w:rPr>
              <w:t>2016</w:t>
            </w:r>
          </w:p>
        </w:tc>
        <w:tc>
          <w:tcPr>
            <w:tcW w:type="dxa" w:w="1152"/>
            <w:shd w:fill="F8FAFC"/>
            <w:tcMar>
              <w:top w:w="40" w:type="dxa"/>
              <w:bottom w:w="40" w:type="dxa"/>
              <w:left w:w="50" w:type="dxa"/>
              <w:right w:w="50" w:type="dxa"/>
            </w:tcMar>
          </w:tcPr>
          <w:p>
            <w:pPr>
              <w:jc w:val="left"/>
            </w:pPr>
            <w:r>
              <w:rPr>
                <w:sz w:val="15"/>
              </w:rPr>
              <w:t>LIME</w:t>
            </w:r>
          </w:p>
        </w:tc>
        <w:tc>
          <w:tcPr>
            <w:tcW w:type="dxa" w:w="1008"/>
            <w:shd w:fill="F8FAFC"/>
            <w:tcMar>
              <w:top w:w="40" w:type="dxa"/>
              <w:bottom w:w="40" w:type="dxa"/>
              <w:left w:w="50" w:type="dxa"/>
              <w:right w:w="50" w:type="dxa"/>
            </w:tcMar>
          </w:tcPr>
          <w:p>
            <w:pPr>
              <w:jc w:val="left"/>
            </w:pPr>
            <w:r>
              <w:rPr>
                <w:sz w:val="15"/>
              </w:rPr>
              <w:t>General ML</w:t>
            </w:r>
          </w:p>
        </w:tc>
        <w:tc>
          <w:tcPr>
            <w:tcW w:type="dxa" w:w="864"/>
            <w:shd w:fill="F8FAFC"/>
            <w:tcMar>
              <w:top w:w="40" w:type="dxa"/>
              <w:bottom w:w="40" w:type="dxa"/>
              <w:left w:w="50" w:type="dxa"/>
              <w:right w:w="50" w:type="dxa"/>
            </w:tcMar>
          </w:tcPr>
          <w:p>
            <w:pPr>
              <w:jc w:val="left"/>
            </w:pPr>
            <w:r>
              <w:rPr>
                <w:sz w:val="15"/>
              </w:rPr>
              <w:t>Local Linear Surrogate</w:t>
            </w:r>
          </w:p>
        </w:tc>
        <w:tc>
          <w:tcPr>
            <w:tcW w:type="dxa" w:w="1152"/>
            <w:shd w:fill="F8FAFC"/>
            <w:tcMar>
              <w:top w:w="40" w:type="dxa"/>
              <w:bottom w:w="40" w:type="dxa"/>
              <w:left w:w="50" w:type="dxa"/>
              <w:right w:w="50" w:type="dxa"/>
            </w:tcMar>
          </w:tcPr>
          <w:p>
            <w:pPr>
              <w:jc w:val="left"/>
            </w:pPr>
            <w:r>
              <w:rPr>
                <w:sz w:val="15"/>
              </w:rPr>
              <w:t>Visual user inspection, simulated tasks</w:t>
            </w:r>
          </w:p>
        </w:tc>
        <w:tc>
          <w:tcPr>
            <w:tcW w:type="dxa" w:w="1152"/>
            <w:shd w:fill="F8FAFC"/>
            <w:tcMar>
              <w:top w:w="40" w:type="dxa"/>
              <w:bottom w:w="40" w:type="dxa"/>
              <w:left w:w="50" w:type="dxa"/>
              <w:right w:w="50" w:type="dxa"/>
            </w:tcMar>
          </w:tcPr>
          <w:p>
            <w:pPr>
              <w:jc w:val="left"/>
            </w:pPr>
            <w:r>
              <w:rPr>
                <w:sz w:val="15"/>
              </w:rPr>
              <w:t>Model-agnostic, sparse human rules</w:t>
            </w:r>
          </w:p>
        </w:tc>
        <w:tc>
          <w:tcPr>
            <w:tcW w:type="dxa" w:w="1152"/>
            <w:shd w:fill="F8FAFC"/>
            <w:tcMar>
              <w:top w:w="40" w:type="dxa"/>
              <w:bottom w:w="40" w:type="dxa"/>
              <w:left w:w="50" w:type="dxa"/>
              <w:right w:w="50" w:type="dxa"/>
            </w:tcMar>
          </w:tcPr>
          <w:p>
            <w:pPr>
              <w:jc w:val="left"/>
            </w:pPr>
            <w:r>
              <w:rPr>
                <w:sz w:val="15"/>
              </w:rPr>
              <w:t>Surrogate boundary instability under noise</w:t>
            </w:r>
          </w:p>
        </w:tc>
        <w:tc>
          <w:tcPr>
            <w:tcW w:type="dxa" w:w="1296"/>
            <w:shd w:fill="F8FAFC"/>
            <w:tcMar>
              <w:top w:w="40" w:type="dxa"/>
              <w:bottom w:w="40" w:type="dxa"/>
              <w:left w:w="50" w:type="dxa"/>
              <w:right w:w="50" w:type="dxa"/>
            </w:tcMar>
          </w:tcPr>
          <w:p>
            <w:pPr>
              <w:jc w:val="left"/>
            </w:pPr>
            <w:r>
              <w:rPr>
                <w:sz w:val="15"/>
              </w:rPr>
              <w:t>QuantLens benchmarks LIME stability (0.724) vs SHAP (0.941)</w:t>
            </w:r>
          </w:p>
        </w:tc>
      </w:tr>
      <w:tr>
        <w:tc>
          <w:tcPr>
            <w:tcW w:type="dxa" w:w="1008"/>
            <w:shd w:fill="FFFFFF"/>
            <w:tcMar>
              <w:top w:w="40" w:type="dxa"/>
              <w:bottom w:w="40" w:type="dxa"/>
              <w:left w:w="50" w:type="dxa"/>
              <w:right w:w="50" w:type="dxa"/>
            </w:tcMar>
          </w:tcPr>
          <w:p>
            <w:pPr>
              <w:jc w:val="center"/>
            </w:pPr>
            <w:r>
              <w:rPr>
                <w:sz w:val="15"/>
              </w:rPr>
              <w:t>Selvaraju et al. [11]</w:t>
            </w:r>
          </w:p>
        </w:tc>
        <w:tc>
          <w:tcPr>
            <w:tcW w:type="dxa" w:w="576"/>
            <w:shd w:fill="FFFFFF"/>
            <w:tcMar>
              <w:top w:w="40" w:type="dxa"/>
              <w:bottom w:w="40" w:type="dxa"/>
              <w:left w:w="50" w:type="dxa"/>
              <w:right w:w="50" w:type="dxa"/>
            </w:tcMar>
          </w:tcPr>
          <w:p>
            <w:pPr>
              <w:jc w:val="center"/>
            </w:pPr>
            <w:r>
              <w:rPr>
                <w:sz w:val="15"/>
              </w:rPr>
              <w:t>2017</w:t>
            </w:r>
          </w:p>
        </w:tc>
        <w:tc>
          <w:tcPr>
            <w:tcW w:type="dxa" w:w="1152"/>
            <w:shd w:fill="FFFFFF"/>
            <w:tcMar>
              <w:top w:w="40" w:type="dxa"/>
              <w:bottom w:w="40" w:type="dxa"/>
              <w:left w:w="50" w:type="dxa"/>
              <w:right w:w="50" w:type="dxa"/>
            </w:tcMar>
          </w:tcPr>
          <w:p>
            <w:pPr>
              <w:jc w:val="left"/>
            </w:pPr>
            <w:r>
              <w:rPr>
                <w:sz w:val="15"/>
              </w:rPr>
              <w:t>Grad-CAM</w:t>
            </w:r>
          </w:p>
        </w:tc>
        <w:tc>
          <w:tcPr>
            <w:tcW w:type="dxa" w:w="1008"/>
            <w:shd w:fill="FFFFFF"/>
            <w:tcMar>
              <w:top w:w="40" w:type="dxa"/>
              <w:bottom w:w="40" w:type="dxa"/>
              <w:left w:w="50" w:type="dxa"/>
              <w:right w:w="50" w:type="dxa"/>
            </w:tcMar>
          </w:tcPr>
          <w:p>
            <w:pPr>
              <w:jc w:val="left"/>
            </w:pPr>
            <w:r>
              <w:rPr>
                <w:sz w:val="15"/>
              </w:rPr>
              <w:t>Computer Vision (CNN)</w:t>
            </w:r>
          </w:p>
        </w:tc>
        <w:tc>
          <w:tcPr>
            <w:tcW w:type="dxa" w:w="864"/>
            <w:shd w:fill="FFFFFF"/>
            <w:tcMar>
              <w:top w:w="40" w:type="dxa"/>
              <w:bottom w:w="40" w:type="dxa"/>
              <w:left w:w="50" w:type="dxa"/>
              <w:right w:w="50" w:type="dxa"/>
            </w:tcMar>
          </w:tcPr>
          <w:p>
            <w:pPr>
              <w:jc w:val="left"/>
            </w:pPr>
            <w:r>
              <w:rPr>
                <w:sz w:val="15"/>
              </w:rPr>
              <w:t>Gradient Activation Mapping</w:t>
            </w:r>
          </w:p>
        </w:tc>
        <w:tc>
          <w:tcPr>
            <w:tcW w:type="dxa" w:w="1152"/>
            <w:shd w:fill="FFFFFF"/>
            <w:tcMar>
              <w:top w:w="40" w:type="dxa"/>
              <w:bottom w:w="40" w:type="dxa"/>
              <w:left w:w="50" w:type="dxa"/>
              <w:right w:w="50" w:type="dxa"/>
            </w:tcMar>
          </w:tcPr>
          <w:p>
            <w:pPr>
              <w:jc w:val="left"/>
            </w:pPr>
            <w:r>
              <w:rPr>
                <w:sz w:val="15"/>
              </w:rPr>
              <w:t>Visual object localization on ImageNet</w:t>
            </w:r>
          </w:p>
        </w:tc>
        <w:tc>
          <w:tcPr>
            <w:tcW w:type="dxa" w:w="1152"/>
            <w:shd w:fill="FFFFFF"/>
            <w:tcMar>
              <w:top w:w="40" w:type="dxa"/>
              <w:bottom w:w="40" w:type="dxa"/>
              <w:left w:w="50" w:type="dxa"/>
              <w:right w:w="50" w:type="dxa"/>
            </w:tcMar>
          </w:tcPr>
          <w:p>
            <w:pPr>
              <w:jc w:val="left"/>
            </w:pPr>
            <w:r>
              <w:rPr>
                <w:sz w:val="15"/>
              </w:rPr>
              <w:t>Preserves spatial coordinates without retraining</w:t>
            </w:r>
          </w:p>
        </w:tc>
        <w:tc>
          <w:tcPr>
            <w:tcW w:type="dxa" w:w="1152"/>
            <w:shd w:fill="FFFFFF"/>
            <w:tcMar>
              <w:top w:w="40" w:type="dxa"/>
              <w:bottom w:w="40" w:type="dxa"/>
              <w:left w:w="50" w:type="dxa"/>
              <w:right w:w="50" w:type="dxa"/>
            </w:tcMar>
          </w:tcPr>
          <w:p>
            <w:pPr>
              <w:jc w:val="left"/>
            </w:pPr>
            <w:r>
              <w:rPr>
                <w:sz w:val="15"/>
              </w:rPr>
              <w:t>Formulated strictly for 2D visual maps</w:t>
            </w:r>
          </w:p>
        </w:tc>
        <w:tc>
          <w:tcPr>
            <w:tcW w:type="dxa" w:w="1296"/>
            <w:shd w:fill="FFFFFF"/>
            <w:tcMar>
              <w:top w:w="40" w:type="dxa"/>
              <w:bottom w:w="40" w:type="dxa"/>
              <w:left w:w="50" w:type="dxa"/>
              <w:right w:w="50" w:type="dxa"/>
            </w:tcMar>
          </w:tcPr>
          <w:p>
            <w:pPr>
              <w:jc w:val="left"/>
            </w:pPr>
            <w:r>
              <w:rPr>
                <w:sz w:val="15"/>
              </w:rPr>
              <w:t>QuantLens adapts Grad-CAM to 1D financial time-series CNN</w:t>
            </w:r>
          </w:p>
        </w:tc>
      </w:tr>
      <w:tr>
        <w:tc>
          <w:tcPr>
            <w:tcW w:type="dxa" w:w="1008"/>
            <w:shd w:fill="F8FAFC"/>
            <w:tcMar>
              <w:top w:w="40" w:type="dxa"/>
              <w:bottom w:w="40" w:type="dxa"/>
              <w:left w:w="50" w:type="dxa"/>
              <w:right w:w="50" w:type="dxa"/>
            </w:tcMar>
          </w:tcPr>
          <w:p>
            <w:pPr>
              <w:jc w:val="center"/>
            </w:pPr>
            <w:r>
              <w:rPr>
                <w:sz w:val="15"/>
              </w:rPr>
              <w:t>Hooker et al. [5]</w:t>
            </w:r>
          </w:p>
        </w:tc>
        <w:tc>
          <w:tcPr>
            <w:tcW w:type="dxa" w:w="576"/>
            <w:shd w:fill="F8FAFC"/>
            <w:tcMar>
              <w:top w:w="40" w:type="dxa"/>
              <w:bottom w:w="40" w:type="dxa"/>
              <w:left w:w="50" w:type="dxa"/>
              <w:right w:w="50" w:type="dxa"/>
            </w:tcMar>
          </w:tcPr>
          <w:p>
            <w:pPr>
              <w:jc w:val="center"/>
            </w:pPr>
            <w:r>
              <w:rPr>
                <w:sz w:val="15"/>
              </w:rPr>
              <w:t>2019</w:t>
            </w:r>
          </w:p>
        </w:tc>
        <w:tc>
          <w:tcPr>
            <w:tcW w:type="dxa" w:w="1152"/>
            <w:shd w:fill="F8FAFC"/>
            <w:tcMar>
              <w:top w:w="40" w:type="dxa"/>
              <w:bottom w:w="40" w:type="dxa"/>
              <w:left w:w="50" w:type="dxa"/>
              <w:right w:w="50" w:type="dxa"/>
            </w:tcMar>
          </w:tcPr>
          <w:p>
            <w:pPr>
              <w:jc w:val="left"/>
            </w:pPr>
            <w:r>
              <w:rPr>
                <w:sz w:val="15"/>
              </w:rPr>
              <w:t>ROAR Benchmark</w:t>
            </w:r>
          </w:p>
        </w:tc>
        <w:tc>
          <w:tcPr>
            <w:tcW w:type="dxa" w:w="1008"/>
            <w:shd w:fill="F8FAFC"/>
            <w:tcMar>
              <w:top w:w="40" w:type="dxa"/>
              <w:bottom w:w="40" w:type="dxa"/>
              <w:left w:w="50" w:type="dxa"/>
              <w:right w:w="50" w:type="dxa"/>
            </w:tcMar>
          </w:tcPr>
          <w:p>
            <w:pPr>
              <w:jc w:val="left"/>
            </w:pPr>
            <w:r>
              <w:rPr>
                <w:sz w:val="15"/>
              </w:rPr>
              <w:t>Image &amp; Tabular ML</w:t>
            </w:r>
          </w:p>
        </w:tc>
        <w:tc>
          <w:tcPr>
            <w:tcW w:type="dxa" w:w="864"/>
            <w:shd w:fill="F8FAFC"/>
            <w:tcMar>
              <w:top w:w="40" w:type="dxa"/>
              <w:bottom w:w="40" w:type="dxa"/>
              <w:left w:w="50" w:type="dxa"/>
              <w:right w:w="50" w:type="dxa"/>
            </w:tcMar>
          </w:tcPr>
          <w:p>
            <w:pPr>
              <w:jc w:val="left"/>
            </w:pPr>
            <w:r>
              <w:rPr>
                <w:sz w:val="15"/>
              </w:rPr>
              <w:t>Feature Degradation</w:t>
            </w:r>
          </w:p>
        </w:tc>
        <w:tc>
          <w:tcPr>
            <w:tcW w:type="dxa" w:w="1152"/>
            <w:shd w:fill="F8FAFC"/>
            <w:tcMar>
              <w:top w:w="40" w:type="dxa"/>
              <w:bottom w:w="40" w:type="dxa"/>
              <w:left w:w="50" w:type="dxa"/>
              <w:right w:w="50" w:type="dxa"/>
            </w:tcMar>
          </w:tcPr>
          <w:p>
            <w:pPr>
              <w:jc w:val="left"/>
            </w:pPr>
            <w:r>
              <w:rPr>
                <w:sz w:val="15"/>
              </w:rPr>
              <w:t>Retraining with feature removal (ROAR)</w:t>
            </w:r>
          </w:p>
        </w:tc>
        <w:tc>
          <w:tcPr>
            <w:tcW w:type="dxa" w:w="1152"/>
            <w:shd w:fill="F8FAFC"/>
            <w:tcMar>
              <w:top w:w="40" w:type="dxa"/>
              <w:bottom w:w="40" w:type="dxa"/>
              <w:left w:w="50" w:type="dxa"/>
              <w:right w:w="50" w:type="dxa"/>
            </w:tcMar>
          </w:tcPr>
          <w:p>
            <w:pPr>
              <w:jc w:val="left"/>
            </w:pPr>
            <w:r>
              <w:rPr>
                <w:sz w:val="15"/>
              </w:rPr>
              <w:t>Verifies feature importance via retraining</w:t>
            </w:r>
          </w:p>
        </w:tc>
        <w:tc>
          <w:tcPr>
            <w:tcW w:type="dxa" w:w="1152"/>
            <w:shd w:fill="F8FAFC"/>
            <w:tcMar>
              <w:top w:w="40" w:type="dxa"/>
              <w:bottom w:w="40" w:type="dxa"/>
              <w:left w:w="50" w:type="dxa"/>
              <w:right w:w="50" w:type="dxa"/>
            </w:tcMar>
          </w:tcPr>
          <w:p>
            <w:pPr>
              <w:jc w:val="left"/>
            </w:pPr>
            <w:r>
              <w:rPr>
                <w:sz w:val="15"/>
              </w:rPr>
              <w:t>Extremely expensive computational cost</w:t>
            </w:r>
          </w:p>
        </w:tc>
        <w:tc>
          <w:tcPr>
            <w:tcW w:type="dxa" w:w="1296"/>
            <w:shd w:fill="F8FAFC"/>
            <w:tcMar>
              <w:top w:w="40" w:type="dxa"/>
              <w:bottom w:w="40" w:type="dxa"/>
              <w:left w:w="50" w:type="dxa"/>
              <w:right w:w="50" w:type="dxa"/>
            </w:tcMar>
          </w:tcPr>
          <w:p>
            <w:pPr>
              <w:jc w:val="left"/>
            </w:pPr>
            <w:r>
              <w:rPr>
                <w:sz w:val="15"/>
              </w:rPr>
              <w:t>QuantLens combines instance feedback with 6-model retraining</w:t>
            </w:r>
          </w:p>
        </w:tc>
      </w:tr>
      <w:tr>
        <w:tc>
          <w:tcPr>
            <w:tcW w:type="dxa" w:w="1008"/>
            <w:shd w:fill="FFFFFF"/>
            <w:tcMar>
              <w:top w:w="40" w:type="dxa"/>
              <w:bottom w:w="40" w:type="dxa"/>
              <w:left w:w="50" w:type="dxa"/>
              <w:right w:w="50" w:type="dxa"/>
            </w:tcMar>
          </w:tcPr>
          <w:p>
            <w:pPr>
              <w:jc w:val="center"/>
            </w:pPr>
            <w:r>
              <w:rPr>
                <w:sz w:val="15"/>
              </w:rPr>
              <w:t>Alvarez-Melis [1]</w:t>
            </w:r>
          </w:p>
        </w:tc>
        <w:tc>
          <w:tcPr>
            <w:tcW w:type="dxa" w:w="576"/>
            <w:shd w:fill="FFFFFF"/>
            <w:tcMar>
              <w:top w:w="40" w:type="dxa"/>
              <w:bottom w:w="40" w:type="dxa"/>
              <w:left w:w="50" w:type="dxa"/>
              <w:right w:w="50" w:type="dxa"/>
            </w:tcMar>
          </w:tcPr>
          <w:p>
            <w:pPr>
              <w:jc w:val="center"/>
            </w:pPr>
            <w:r>
              <w:rPr>
                <w:sz w:val="15"/>
              </w:rPr>
              <w:t>2018</w:t>
            </w:r>
          </w:p>
        </w:tc>
        <w:tc>
          <w:tcPr>
            <w:tcW w:type="dxa" w:w="1152"/>
            <w:shd w:fill="FFFFFF"/>
            <w:tcMar>
              <w:top w:w="40" w:type="dxa"/>
              <w:bottom w:w="40" w:type="dxa"/>
              <w:left w:w="50" w:type="dxa"/>
              <w:right w:w="50" w:type="dxa"/>
            </w:tcMar>
          </w:tcPr>
          <w:p>
            <w:pPr>
              <w:jc w:val="left"/>
            </w:pPr>
            <w:r>
              <w:rPr>
                <w:sz w:val="15"/>
              </w:rPr>
              <w:t>Robustness Evaluation</w:t>
            </w:r>
          </w:p>
        </w:tc>
        <w:tc>
          <w:tcPr>
            <w:tcW w:type="dxa" w:w="1008"/>
            <w:shd w:fill="FFFFFF"/>
            <w:tcMar>
              <w:top w:w="40" w:type="dxa"/>
              <w:bottom w:w="40" w:type="dxa"/>
              <w:left w:w="50" w:type="dxa"/>
              <w:right w:w="50" w:type="dxa"/>
            </w:tcMar>
          </w:tcPr>
          <w:p>
            <w:pPr>
              <w:jc w:val="left"/>
            </w:pPr>
            <w:r>
              <w:rPr>
                <w:sz w:val="15"/>
              </w:rPr>
              <w:t>Deep Networks</w:t>
            </w:r>
          </w:p>
        </w:tc>
        <w:tc>
          <w:tcPr>
            <w:tcW w:type="dxa" w:w="864"/>
            <w:shd w:fill="FFFFFF"/>
            <w:tcMar>
              <w:top w:w="40" w:type="dxa"/>
              <w:bottom w:w="40" w:type="dxa"/>
              <w:left w:w="50" w:type="dxa"/>
              <w:right w:w="50" w:type="dxa"/>
            </w:tcMar>
          </w:tcPr>
          <w:p>
            <w:pPr>
              <w:jc w:val="left"/>
            </w:pPr>
            <w:r>
              <w:rPr>
                <w:sz w:val="15"/>
              </w:rPr>
              <w:t>Saliency Maps</w:t>
            </w:r>
          </w:p>
        </w:tc>
        <w:tc>
          <w:tcPr>
            <w:tcW w:type="dxa" w:w="1152"/>
            <w:shd w:fill="FFFFFF"/>
            <w:tcMar>
              <w:top w:w="40" w:type="dxa"/>
              <w:bottom w:w="40" w:type="dxa"/>
              <w:left w:w="50" w:type="dxa"/>
              <w:right w:w="50" w:type="dxa"/>
            </w:tcMar>
          </w:tcPr>
          <w:p>
            <w:pPr>
              <w:jc w:val="left"/>
            </w:pPr>
            <w:r>
              <w:rPr>
                <w:sz w:val="15"/>
              </w:rPr>
              <w:t>Lipschitz continuity measurement</w:t>
            </w:r>
          </w:p>
        </w:tc>
        <w:tc>
          <w:tcPr>
            <w:tcW w:type="dxa" w:w="1152"/>
            <w:shd w:fill="FFFFFF"/>
            <w:tcMar>
              <w:top w:w="40" w:type="dxa"/>
              <w:bottom w:w="40" w:type="dxa"/>
              <w:left w:w="50" w:type="dxa"/>
              <w:right w:w="50" w:type="dxa"/>
            </w:tcMar>
          </w:tcPr>
          <w:p>
            <w:pPr>
              <w:jc w:val="left"/>
            </w:pPr>
            <w:r>
              <w:rPr>
                <w:sz w:val="15"/>
              </w:rPr>
              <w:t>Formalized explanation stability mathematically</w:t>
            </w:r>
          </w:p>
        </w:tc>
        <w:tc>
          <w:tcPr>
            <w:tcW w:type="dxa" w:w="1152"/>
            <w:shd w:fill="FFFFFF"/>
            <w:tcMar>
              <w:top w:w="40" w:type="dxa"/>
              <w:bottom w:w="40" w:type="dxa"/>
              <w:left w:w="50" w:type="dxa"/>
              <w:right w:w="50" w:type="dxa"/>
            </w:tcMar>
          </w:tcPr>
          <w:p>
            <w:pPr>
              <w:jc w:val="left"/>
            </w:pPr>
            <w:r>
              <w:rPr>
                <w:sz w:val="15"/>
              </w:rPr>
              <w:t>Lacks financial domain actionability</w:t>
            </w:r>
          </w:p>
        </w:tc>
        <w:tc>
          <w:tcPr>
            <w:tcW w:type="dxa" w:w="1296"/>
            <w:shd w:fill="FFFFFF"/>
            <w:tcMar>
              <w:top w:w="40" w:type="dxa"/>
              <w:bottom w:w="40" w:type="dxa"/>
              <w:left w:w="50" w:type="dxa"/>
              <w:right w:w="50" w:type="dxa"/>
            </w:tcMar>
          </w:tcPr>
          <w:p>
            <w:pPr>
              <w:jc w:val="left"/>
            </w:pPr>
            <w:r>
              <w:rPr>
                <w:sz w:val="15"/>
              </w:rPr>
              <w:t>QuantLens formulates investor actionability parameter ratio</w:t>
            </w:r>
          </w:p>
        </w:tc>
      </w:tr>
      <w:tr>
        <w:tc>
          <w:tcPr>
            <w:tcW w:type="dxa" w:w="1008"/>
            <w:shd w:fill="F8FAFC"/>
            <w:tcMar>
              <w:top w:w="40" w:type="dxa"/>
              <w:bottom w:w="40" w:type="dxa"/>
              <w:left w:w="50" w:type="dxa"/>
              <w:right w:w="50" w:type="dxa"/>
            </w:tcMar>
          </w:tcPr>
          <w:p>
            <w:pPr>
              <w:jc w:val="center"/>
            </w:pPr>
            <w:r>
              <w:rPr>
                <w:sz w:val="15"/>
              </w:rPr>
              <w:t>Yeh et al. [14]</w:t>
            </w:r>
          </w:p>
        </w:tc>
        <w:tc>
          <w:tcPr>
            <w:tcW w:type="dxa" w:w="576"/>
            <w:shd w:fill="F8FAFC"/>
            <w:tcMar>
              <w:top w:w="40" w:type="dxa"/>
              <w:bottom w:w="40" w:type="dxa"/>
              <w:left w:w="50" w:type="dxa"/>
              <w:right w:w="50" w:type="dxa"/>
            </w:tcMar>
          </w:tcPr>
          <w:p>
            <w:pPr>
              <w:jc w:val="center"/>
            </w:pPr>
            <w:r>
              <w:rPr>
                <w:sz w:val="15"/>
              </w:rPr>
              <w:t>2019</w:t>
            </w:r>
          </w:p>
        </w:tc>
        <w:tc>
          <w:tcPr>
            <w:tcW w:type="dxa" w:w="1152"/>
            <w:shd w:fill="F8FAFC"/>
            <w:tcMar>
              <w:top w:w="40" w:type="dxa"/>
              <w:bottom w:w="40" w:type="dxa"/>
              <w:left w:w="50" w:type="dxa"/>
              <w:right w:w="50" w:type="dxa"/>
            </w:tcMar>
          </w:tcPr>
          <w:p>
            <w:pPr>
              <w:jc w:val="left"/>
            </w:pPr>
            <w:r>
              <w:rPr>
                <w:sz w:val="15"/>
              </w:rPr>
              <w:t>Infidelity &amp; Sensitivity</w:t>
            </w:r>
          </w:p>
        </w:tc>
        <w:tc>
          <w:tcPr>
            <w:tcW w:type="dxa" w:w="1008"/>
            <w:shd w:fill="F8FAFC"/>
            <w:tcMar>
              <w:top w:w="40" w:type="dxa"/>
              <w:bottom w:w="40" w:type="dxa"/>
              <w:left w:w="50" w:type="dxa"/>
              <w:right w:w="50" w:type="dxa"/>
            </w:tcMar>
          </w:tcPr>
          <w:p>
            <w:pPr>
              <w:jc w:val="left"/>
            </w:pPr>
            <w:r>
              <w:rPr>
                <w:sz w:val="15"/>
              </w:rPr>
              <w:t>Neural Networks</w:t>
            </w:r>
          </w:p>
        </w:tc>
        <w:tc>
          <w:tcPr>
            <w:tcW w:type="dxa" w:w="864"/>
            <w:shd w:fill="F8FAFC"/>
            <w:tcMar>
              <w:top w:w="40" w:type="dxa"/>
              <w:bottom w:w="40" w:type="dxa"/>
              <w:left w:w="50" w:type="dxa"/>
              <w:right w:w="50" w:type="dxa"/>
            </w:tcMar>
          </w:tcPr>
          <w:p>
            <w:pPr>
              <w:jc w:val="left"/>
            </w:pPr>
            <w:r>
              <w:rPr>
                <w:sz w:val="15"/>
              </w:rPr>
              <w:t>Gradient Explanations</w:t>
            </w:r>
          </w:p>
        </w:tc>
        <w:tc>
          <w:tcPr>
            <w:tcW w:type="dxa" w:w="1152"/>
            <w:shd w:fill="F8FAFC"/>
            <w:tcMar>
              <w:top w:w="40" w:type="dxa"/>
              <w:bottom w:w="40" w:type="dxa"/>
              <w:left w:w="50" w:type="dxa"/>
              <w:right w:w="50" w:type="dxa"/>
            </w:tcMar>
          </w:tcPr>
          <w:p>
            <w:pPr>
              <w:jc w:val="left"/>
            </w:pPr>
            <w:r>
              <w:rPr>
                <w:sz w:val="15"/>
              </w:rPr>
              <w:t>Perturbation-based infidelity metric</w:t>
            </w:r>
          </w:p>
        </w:tc>
        <w:tc>
          <w:tcPr>
            <w:tcW w:type="dxa" w:w="1152"/>
            <w:shd w:fill="F8FAFC"/>
            <w:tcMar>
              <w:top w:w="40" w:type="dxa"/>
              <w:bottom w:w="40" w:type="dxa"/>
              <w:left w:w="50" w:type="dxa"/>
              <w:right w:w="50" w:type="dxa"/>
            </w:tcMar>
          </w:tcPr>
          <w:p>
            <w:pPr>
              <w:jc w:val="left"/>
            </w:pPr>
            <w:r>
              <w:rPr>
                <w:sz w:val="15"/>
              </w:rPr>
              <w:t>Quantifies deviation from true model score</w:t>
            </w:r>
          </w:p>
        </w:tc>
        <w:tc>
          <w:tcPr>
            <w:tcW w:type="dxa" w:w="1152"/>
            <w:shd w:fill="F8FAFC"/>
            <w:tcMar>
              <w:top w:w="40" w:type="dxa"/>
              <w:bottom w:w="40" w:type="dxa"/>
              <w:left w:w="50" w:type="dxa"/>
              <w:right w:w="50" w:type="dxa"/>
            </w:tcMar>
          </w:tcPr>
          <w:p>
            <w:pPr>
              <w:jc w:val="left"/>
            </w:pPr>
            <w:r>
              <w:rPr>
                <w:sz w:val="15"/>
              </w:rPr>
              <w:t>Assumes continuous inputs without domain bounds</w:t>
            </w:r>
          </w:p>
        </w:tc>
        <w:tc>
          <w:tcPr>
            <w:tcW w:type="dxa" w:w="1296"/>
            <w:shd w:fill="F8FAFC"/>
            <w:tcMar>
              <w:top w:w="40" w:type="dxa"/>
              <w:bottom w:w="40" w:type="dxa"/>
              <w:left w:w="50" w:type="dxa"/>
              <w:right w:w="50" w:type="dxa"/>
            </w:tcMar>
          </w:tcPr>
          <w:p>
            <w:pPr>
              <w:jc w:val="left"/>
            </w:pPr>
            <w:r>
              <w:rPr>
                <w:sz w:val="15"/>
              </w:rPr>
              <w:t>QuantLens uses empirical training distribution mean imputation</w:t>
            </w:r>
          </w:p>
        </w:tc>
      </w:tr>
      <w:tr>
        <w:tc>
          <w:tcPr>
            <w:tcW w:type="dxa" w:w="1008"/>
            <w:shd w:fill="FFFFFF"/>
            <w:tcMar>
              <w:top w:w="40" w:type="dxa"/>
              <w:bottom w:w="40" w:type="dxa"/>
              <w:left w:w="50" w:type="dxa"/>
              <w:right w:w="50" w:type="dxa"/>
            </w:tcMar>
          </w:tcPr>
          <w:p>
            <w:pPr>
              <w:jc w:val="center"/>
            </w:pPr>
            <w:r>
              <w:rPr>
                <w:sz w:val="15"/>
              </w:rPr>
              <w:t>Ismail et al. [6]</w:t>
            </w:r>
          </w:p>
        </w:tc>
        <w:tc>
          <w:tcPr>
            <w:tcW w:type="dxa" w:w="576"/>
            <w:shd w:fill="FFFFFF"/>
            <w:tcMar>
              <w:top w:w="40" w:type="dxa"/>
              <w:bottom w:w="40" w:type="dxa"/>
              <w:left w:w="50" w:type="dxa"/>
              <w:right w:w="50" w:type="dxa"/>
            </w:tcMar>
          </w:tcPr>
          <w:p>
            <w:pPr>
              <w:jc w:val="center"/>
            </w:pPr>
            <w:r>
              <w:rPr>
                <w:sz w:val="15"/>
              </w:rPr>
              <w:t>2020</w:t>
            </w:r>
          </w:p>
        </w:tc>
        <w:tc>
          <w:tcPr>
            <w:tcW w:type="dxa" w:w="1152"/>
            <w:shd w:fill="FFFFFF"/>
            <w:tcMar>
              <w:top w:w="40" w:type="dxa"/>
              <w:bottom w:w="40" w:type="dxa"/>
              <w:left w:w="50" w:type="dxa"/>
              <w:right w:w="50" w:type="dxa"/>
            </w:tcMar>
          </w:tcPr>
          <w:p>
            <w:pPr>
              <w:jc w:val="left"/>
            </w:pPr>
            <w:r>
              <w:rPr>
                <w:sz w:val="15"/>
              </w:rPr>
              <w:t>Time-Series Saliency</w:t>
            </w:r>
          </w:p>
        </w:tc>
        <w:tc>
          <w:tcPr>
            <w:tcW w:type="dxa" w:w="1008"/>
            <w:shd w:fill="FFFFFF"/>
            <w:tcMar>
              <w:top w:w="40" w:type="dxa"/>
              <w:bottom w:w="40" w:type="dxa"/>
              <w:left w:w="50" w:type="dxa"/>
              <w:right w:w="50" w:type="dxa"/>
            </w:tcMar>
          </w:tcPr>
          <w:p>
            <w:pPr>
              <w:jc w:val="left"/>
            </w:pPr>
            <w:r>
              <w:rPr>
                <w:sz w:val="15"/>
              </w:rPr>
              <w:t>Medical &amp; Financial TS</w:t>
            </w:r>
          </w:p>
        </w:tc>
        <w:tc>
          <w:tcPr>
            <w:tcW w:type="dxa" w:w="864"/>
            <w:shd w:fill="FFFFFF"/>
            <w:tcMar>
              <w:top w:w="40" w:type="dxa"/>
              <w:bottom w:w="40" w:type="dxa"/>
              <w:left w:w="50" w:type="dxa"/>
              <w:right w:w="50" w:type="dxa"/>
            </w:tcMar>
          </w:tcPr>
          <w:p>
            <w:pPr>
              <w:jc w:val="left"/>
            </w:pPr>
            <w:r>
              <w:rPr>
                <w:sz w:val="15"/>
              </w:rPr>
              <w:t>Integrated Gradients, DeepLIFT</w:t>
            </w:r>
          </w:p>
        </w:tc>
        <w:tc>
          <w:tcPr>
            <w:tcW w:type="dxa" w:w="1152"/>
            <w:shd w:fill="FFFFFF"/>
            <w:tcMar>
              <w:top w:w="40" w:type="dxa"/>
              <w:bottom w:w="40" w:type="dxa"/>
              <w:left w:w="50" w:type="dxa"/>
              <w:right w:w="50" w:type="dxa"/>
            </w:tcMar>
          </w:tcPr>
          <w:p>
            <w:pPr>
              <w:jc w:val="left"/>
            </w:pPr>
            <w:r>
              <w:rPr>
                <w:sz w:val="15"/>
              </w:rPr>
              <w:t>Precision of temporal saliency detection</w:t>
            </w:r>
          </w:p>
        </w:tc>
        <w:tc>
          <w:tcPr>
            <w:tcW w:type="dxa" w:w="1152"/>
            <w:shd w:fill="FFFFFF"/>
            <w:tcMar>
              <w:top w:w="40" w:type="dxa"/>
              <w:bottom w:w="40" w:type="dxa"/>
              <w:left w:w="50" w:type="dxa"/>
              <w:right w:w="50" w:type="dxa"/>
            </w:tcMar>
          </w:tcPr>
          <w:p>
            <w:pPr>
              <w:jc w:val="left"/>
            </w:pPr>
            <w:r>
              <w:rPr>
                <w:sz w:val="15"/>
              </w:rPr>
              <w:t>Evaluated multi-horizon temporal models</w:t>
            </w:r>
          </w:p>
        </w:tc>
        <w:tc>
          <w:tcPr>
            <w:tcW w:type="dxa" w:w="1152"/>
            <w:shd w:fill="FFFFFF"/>
            <w:tcMar>
              <w:top w:w="40" w:type="dxa"/>
              <w:bottom w:w="40" w:type="dxa"/>
              <w:left w:w="50" w:type="dxa"/>
              <w:right w:w="50" w:type="dxa"/>
            </w:tcMar>
          </w:tcPr>
          <w:p>
            <w:pPr>
              <w:jc w:val="left"/>
            </w:pPr>
            <w:r>
              <w:rPr>
                <w:sz w:val="15"/>
              </w:rPr>
              <w:t>Open-loop evaluation; no feedback into models</w:t>
            </w:r>
          </w:p>
        </w:tc>
        <w:tc>
          <w:tcPr>
            <w:tcW w:type="dxa" w:w="1296"/>
            <w:shd w:fill="FFFFFF"/>
            <w:tcMar>
              <w:top w:w="40" w:type="dxa"/>
              <w:bottom w:w="40" w:type="dxa"/>
              <w:left w:w="50" w:type="dxa"/>
              <w:right w:w="50" w:type="dxa"/>
            </w:tcMar>
          </w:tcPr>
          <w:p>
            <w:pPr>
              <w:jc w:val="left"/>
            </w:pPr>
            <w:r>
              <w:rPr>
                <w:sz w:val="15"/>
              </w:rPr>
              <w:t>QuantLens introduces temporal window masking feedback</w:t>
            </w:r>
          </w:p>
        </w:tc>
      </w:tr>
      <w:tr>
        <w:tc>
          <w:tcPr>
            <w:tcW w:type="dxa" w:w="1008"/>
            <w:shd w:fill="F8FAFC"/>
            <w:tcMar>
              <w:top w:w="40" w:type="dxa"/>
              <w:bottom w:w="40" w:type="dxa"/>
              <w:left w:w="50" w:type="dxa"/>
              <w:right w:w="50" w:type="dxa"/>
            </w:tcMar>
          </w:tcPr>
          <w:p>
            <w:pPr>
              <w:jc w:val="center"/>
            </w:pPr>
            <w:r>
              <w:rPr>
                <w:sz w:val="15"/>
              </w:rPr>
              <w:t>Hedström et al. (Quantus)</w:t>
            </w:r>
          </w:p>
        </w:tc>
        <w:tc>
          <w:tcPr>
            <w:tcW w:type="dxa" w:w="576"/>
            <w:shd w:fill="F8FAFC"/>
            <w:tcMar>
              <w:top w:w="40" w:type="dxa"/>
              <w:bottom w:w="40" w:type="dxa"/>
              <w:left w:w="50" w:type="dxa"/>
              <w:right w:w="50" w:type="dxa"/>
            </w:tcMar>
          </w:tcPr>
          <w:p>
            <w:pPr>
              <w:jc w:val="center"/>
            </w:pPr>
            <w:r>
              <w:rPr>
                <w:sz w:val="15"/>
              </w:rPr>
              <w:t>2022</w:t>
            </w:r>
          </w:p>
        </w:tc>
        <w:tc>
          <w:tcPr>
            <w:tcW w:type="dxa" w:w="1152"/>
            <w:shd w:fill="F8FAFC"/>
            <w:tcMar>
              <w:top w:w="40" w:type="dxa"/>
              <w:bottom w:w="40" w:type="dxa"/>
              <w:left w:w="50" w:type="dxa"/>
              <w:right w:w="50" w:type="dxa"/>
            </w:tcMar>
          </w:tcPr>
          <w:p>
            <w:pPr>
              <w:jc w:val="left"/>
            </w:pPr>
            <w:r>
              <w:rPr>
                <w:sz w:val="15"/>
              </w:rPr>
              <w:t>Quantus Framework</w:t>
            </w:r>
          </w:p>
        </w:tc>
        <w:tc>
          <w:tcPr>
            <w:tcW w:type="dxa" w:w="1008"/>
            <w:shd w:fill="F8FAFC"/>
            <w:tcMar>
              <w:top w:w="40" w:type="dxa"/>
              <w:bottom w:w="40" w:type="dxa"/>
              <w:left w:w="50" w:type="dxa"/>
              <w:right w:w="50" w:type="dxa"/>
            </w:tcMar>
          </w:tcPr>
          <w:p>
            <w:pPr>
              <w:jc w:val="left"/>
            </w:pPr>
            <w:r>
              <w:rPr>
                <w:sz w:val="15"/>
              </w:rPr>
              <w:t>Python Library</w:t>
            </w:r>
          </w:p>
        </w:tc>
        <w:tc>
          <w:tcPr>
            <w:tcW w:type="dxa" w:w="864"/>
            <w:shd w:fill="F8FAFC"/>
            <w:tcMar>
              <w:top w:w="40" w:type="dxa"/>
              <w:bottom w:w="40" w:type="dxa"/>
              <w:left w:w="50" w:type="dxa"/>
              <w:right w:w="50" w:type="dxa"/>
            </w:tcMar>
          </w:tcPr>
          <w:p>
            <w:pPr>
              <w:jc w:val="left"/>
            </w:pPr>
            <w:r>
              <w:rPr>
                <w:sz w:val="15"/>
              </w:rPr>
              <w:t>General XAI</w:t>
            </w:r>
          </w:p>
        </w:tc>
        <w:tc>
          <w:tcPr>
            <w:tcW w:type="dxa" w:w="1152"/>
            <w:shd w:fill="F8FAFC"/>
            <w:tcMar>
              <w:top w:w="40" w:type="dxa"/>
              <w:bottom w:w="40" w:type="dxa"/>
              <w:left w:w="50" w:type="dxa"/>
              <w:right w:w="50" w:type="dxa"/>
            </w:tcMar>
          </w:tcPr>
          <w:p>
            <w:pPr>
              <w:jc w:val="left"/>
            </w:pPr>
            <w:r>
              <w:rPr>
                <w:sz w:val="15"/>
              </w:rPr>
              <w:t>Suite of 30+ statistical XAI metrics</w:t>
            </w:r>
          </w:p>
        </w:tc>
        <w:tc>
          <w:tcPr>
            <w:tcW w:type="dxa" w:w="1152"/>
            <w:shd w:fill="F8FAFC"/>
            <w:tcMar>
              <w:top w:w="40" w:type="dxa"/>
              <w:bottom w:w="40" w:type="dxa"/>
              <w:left w:w="50" w:type="dxa"/>
              <w:right w:w="50" w:type="dxa"/>
            </w:tcMar>
          </w:tcPr>
          <w:p>
            <w:pPr>
              <w:jc w:val="left"/>
            </w:pPr>
            <w:r>
              <w:rPr>
                <w:sz w:val="15"/>
              </w:rPr>
              <w:t>Broad standardized metric taxonomy</w:t>
            </w:r>
          </w:p>
        </w:tc>
        <w:tc>
          <w:tcPr>
            <w:tcW w:type="dxa" w:w="1152"/>
            <w:shd w:fill="F8FAFC"/>
            <w:tcMar>
              <w:top w:w="40" w:type="dxa"/>
              <w:bottom w:w="40" w:type="dxa"/>
              <w:left w:w="50" w:type="dxa"/>
              <w:right w:w="50" w:type="dxa"/>
            </w:tcMar>
          </w:tcPr>
          <w:p>
            <w:pPr>
              <w:jc w:val="left"/>
            </w:pPr>
            <w:r>
              <w:rPr>
                <w:sz w:val="15"/>
              </w:rPr>
              <w:t>Abstract library; disconnected from live systems</w:t>
            </w:r>
          </w:p>
        </w:tc>
        <w:tc>
          <w:tcPr>
            <w:tcW w:type="dxa" w:w="1296"/>
            <w:shd w:fill="F8FAFC"/>
            <w:tcMar>
              <w:top w:w="40" w:type="dxa"/>
              <w:bottom w:w="40" w:type="dxa"/>
              <w:left w:w="50" w:type="dxa"/>
              <w:right w:w="50" w:type="dxa"/>
            </w:tcMar>
          </w:tcPr>
          <w:p>
            <w:pPr>
              <w:jc w:val="left"/>
            </w:pPr>
            <w:r>
              <w:rPr>
                <w:sz w:val="15"/>
              </w:rPr>
              <w:t>QuantLens natively embeds 10 metrics in interactive terminal</w:t>
            </w:r>
          </w:p>
        </w:tc>
      </w:tr>
      <w:tr>
        <w:tc>
          <w:tcPr>
            <w:tcW w:type="dxa" w:w="1008"/>
            <w:shd w:fill="EFF6FF"/>
            <w:tcMar>
              <w:top w:w="40" w:type="dxa"/>
              <w:bottom w:w="40" w:type="dxa"/>
              <w:left w:w="50" w:type="dxa"/>
              <w:right w:w="50" w:type="dxa"/>
            </w:tcMar>
          </w:tcPr>
          <w:p>
            <w:pPr>
              <w:jc w:val="center"/>
            </w:pPr>
            <w:r>
              <w:rPr>
                <w:b/>
                <w:color w:val="1E3A8A"/>
                <w:sz w:val="15"/>
              </w:rPr>
              <w:t>QuantLens-XAI (Ours)</w:t>
            </w:r>
          </w:p>
        </w:tc>
        <w:tc>
          <w:tcPr>
            <w:tcW w:type="dxa" w:w="576"/>
            <w:shd w:fill="EFF6FF"/>
            <w:tcMar>
              <w:top w:w="40" w:type="dxa"/>
              <w:bottom w:w="40" w:type="dxa"/>
              <w:left w:w="50" w:type="dxa"/>
              <w:right w:w="50" w:type="dxa"/>
            </w:tcMar>
          </w:tcPr>
          <w:p>
            <w:pPr>
              <w:jc w:val="center"/>
            </w:pPr>
            <w:r>
              <w:rPr>
                <w:b/>
                <w:color w:val="1E3A8A"/>
                <w:sz w:val="15"/>
              </w:rPr>
              <w:t>2026</w:t>
            </w:r>
          </w:p>
        </w:tc>
        <w:tc>
          <w:tcPr>
            <w:tcW w:type="dxa" w:w="1152"/>
            <w:shd w:fill="EFF6FF"/>
            <w:tcMar>
              <w:top w:w="40" w:type="dxa"/>
              <w:bottom w:w="40" w:type="dxa"/>
              <w:left w:w="50" w:type="dxa"/>
              <w:right w:w="50" w:type="dxa"/>
            </w:tcMar>
          </w:tcPr>
          <w:p>
            <w:pPr>
              <w:jc w:val="left"/>
            </w:pPr>
            <w:r>
              <w:rPr>
                <w:b/>
                <w:color w:val="1E3A8A"/>
                <w:sz w:val="15"/>
              </w:rPr>
              <w:t>QuantLens-XAI Platform</w:t>
            </w:r>
          </w:p>
        </w:tc>
        <w:tc>
          <w:tcPr>
            <w:tcW w:type="dxa" w:w="1008"/>
            <w:shd w:fill="EFF6FF"/>
            <w:tcMar>
              <w:top w:w="40" w:type="dxa"/>
              <w:bottom w:w="40" w:type="dxa"/>
              <w:left w:w="50" w:type="dxa"/>
              <w:right w:w="50" w:type="dxa"/>
            </w:tcMar>
          </w:tcPr>
          <w:p>
            <w:pPr>
              <w:jc w:val="left"/>
            </w:pPr>
            <w:r>
              <w:rPr>
                <w:b/>
                <w:color w:val="1E3A8A"/>
                <w:sz w:val="15"/>
              </w:rPr>
              <w:t>Financial Market AI (NSE)</w:t>
            </w:r>
          </w:p>
        </w:tc>
        <w:tc>
          <w:tcPr>
            <w:tcW w:type="dxa" w:w="864"/>
            <w:shd w:fill="EFF6FF"/>
            <w:tcMar>
              <w:top w:w="40" w:type="dxa"/>
              <w:bottom w:w="40" w:type="dxa"/>
              <w:left w:w="50" w:type="dxa"/>
              <w:right w:w="50" w:type="dxa"/>
            </w:tcMar>
          </w:tcPr>
          <w:p>
            <w:pPr>
              <w:jc w:val="left"/>
            </w:pPr>
            <w:r>
              <w:rPr>
                <w:b/>
                <w:color w:val="1E3A8A"/>
                <w:sz w:val="15"/>
              </w:rPr>
              <w:t>SHAP + LIME + 1D Grad-CAM</w:t>
            </w:r>
          </w:p>
        </w:tc>
        <w:tc>
          <w:tcPr>
            <w:tcW w:type="dxa" w:w="1152"/>
            <w:shd w:fill="EFF6FF"/>
            <w:tcMar>
              <w:top w:w="40" w:type="dxa"/>
              <w:bottom w:w="40" w:type="dxa"/>
              <w:left w:w="50" w:type="dxa"/>
              <w:right w:w="50" w:type="dxa"/>
            </w:tcMar>
          </w:tcPr>
          <w:p>
            <w:pPr>
              <w:jc w:val="left"/>
            </w:pPr>
            <w:r>
              <w:rPr>
                <w:b/>
                <w:color w:val="1E3A8A"/>
                <w:sz w:val="15"/>
              </w:rPr>
              <w:t>Closed-loop feedback, retraining, 10 metrics</w:t>
            </w:r>
          </w:p>
        </w:tc>
        <w:tc>
          <w:tcPr>
            <w:tcW w:type="dxa" w:w="1152"/>
            <w:shd w:fill="EFF6FF"/>
            <w:tcMar>
              <w:top w:w="40" w:type="dxa"/>
              <w:bottom w:w="40" w:type="dxa"/>
              <w:left w:w="50" w:type="dxa"/>
              <w:right w:w="50" w:type="dxa"/>
            </w:tcMar>
          </w:tcPr>
          <w:p>
            <w:pPr>
              <w:jc w:val="left"/>
            </w:pPr>
            <w:r>
              <w:rPr>
                <w:b/>
                <w:color w:val="1E3A8A"/>
                <w:sz w:val="15"/>
              </w:rPr>
              <w:t>Full spatio-temporal XAI, 140 automated tests</w:t>
            </w:r>
          </w:p>
        </w:tc>
        <w:tc>
          <w:tcPr>
            <w:tcW w:type="dxa" w:w="1152"/>
            <w:shd w:fill="EFF6FF"/>
            <w:tcMar>
              <w:top w:w="40" w:type="dxa"/>
              <w:bottom w:w="40" w:type="dxa"/>
              <w:left w:w="50" w:type="dxa"/>
              <w:right w:w="50" w:type="dxa"/>
            </w:tcMar>
          </w:tcPr>
          <w:p>
            <w:pPr>
              <w:jc w:val="left"/>
            </w:pPr>
            <w:r>
              <w:rPr>
                <w:b/>
                <w:color w:val="1E3A8A"/>
                <w:sz w:val="15"/>
              </w:rPr>
              <w:t>Evaluated on daily candles (intraday future work)</w:t>
            </w:r>
          </w:p>
        </w:tc>
        <w:tc>
          <w:tcPr>
            <w:tcW w:type="dxa" w:w="1296"/>
            <w:shd w:fill="EFF6FF"/>
            <w:tcMar>
              <w:top w:w="40" w:type="dxa"/>
              <w:bottom w:w="40" w:type="dxa"/>
              <w:left w:w="50" w:type="dxa"/>
              <w:right w:w="50" w:type="dxa"/>
            </w:tcMar>
          </w:tcPr>
          <w:p>
            <w:pPr>
              <w:jc w:val="left"/>
            </w:pPr>
            <w:r>
              <w:rPr>
                <w:b/>
                <w:color w:val="1E3A8A"/>
                <w:sz w:val="15"/>
              </w:rPr>
              <w:t>First institutional closed-loop financial XAI platform</w:t>
            </w:r>
          </w:p>
        </w:tc>
      </w:tr>
    </w:tbl>
    <w:p/>
    <w:p>
      <w:pPr>
        <w:pStyle w:val="Heading2"/>
      </w:pPr>
      <w:r>
        <w:t>3.2 Research Gap Analysis &amp; Critical Motivation</w:t>
      </w:r>
    </w:p>
    <w:p>
      <w:pPr>
        <w:spacing w:line="276" w:lineRule="auto" w:after="200"/>
      </w:pPr>
      <w:r>
        <w:t>Critical Research Gaps Identified in Existing Literature:</w:t>
        <w:br/>
        <w:t>1. Disconnect Between Attribution and Model Re-Evaluation: As demonstrated in Table 1, tools like SHAP and LIME terminate at visualization. No existing financial trading research verifies whether neutralizing the top attributed features causes a steeper prediction decline than random features.</w:t>
        <w:br/>
        <w:t>2. Misuse of Grad-CAM in Tabular Trading Systems: Prior financial papers frequently claim to apply Grad-CAM to gradient boosting or tabular MLPs, ignoring that Grad-CAM mathematically requires convolutional feature maps. Our work correctly architectures Model C (TimeSeriesConv1D) to provide authentic Grad-CAM.</w:t>
        <w:br/>
        <w:t>3. Lack of Unified Multi-Metric Rigor: Most studies report only single metrics (e.g. stability or fidelity alone). QuantLens-XAI establishes a standardized 10-metric suite.</w:t>
        <w:br/>
        <w:t>4. Failure to Distinguish Controllable Strategy Parameters from Exogenous Market Data: Prior counterfactual frameworks suggest modifying market price, which is impossible in live trading. We define Actionability strictly based on strategy hyperparameters.</w:t>
      </w:r>
    </w:p>
    <w:p>
      <w:pPr>
        <w:pStyle w:val="Heading1"/>
      </w:pPr>
      <w:r>
        <w:t>4. PROPOSED ARCHITECTURE &amp; METHODOLOGICAL FRAMEWORK</w:t>
      </w:r>
    </w:p>
    <w:p>
      <w:pPr>
        <w:spacing w:line="276" w:lineRule="auto" w:after="200"/>
      </w:pPr>
      <w:r>
        <w:t>QuantLens-XAI is designed as an end-to-end quantitative research terminal combining predictive machine learning, post-hoc explainability, closed-loop model re-evaluation, and historical paper simulation. The system architecture is visualized below.</w:t>
      </w:r>
    </w:p>
    <w:p>
      <w:pPr>
        <w:spacing w:before="160" w:after="80"/>
        <w:jc w:val="center"/>
      </w:pPr>
      <w:r>
        <w:drawing>
          <wp:inline xmlns:a="http://schemas.openxmlformats.org/drawingml/2006/main" xmlns:pic="http://schemas.openxmlformats.org/drawingml/2006/picture">
            <wp:extent cx="5669280" cy="2429691"/>
            <wp:docPr id="1" name="Picture 1"/>
            <wp:cNvGraphicFramePr>
              <a:graphicFrameLocks noChangeAspect="1"/>
            </wp:cNvGraphicFramePr>
            <a:graphic>
              <a:graphicData uri="http://schemas.openxmlformats.org/drawingml/2006/picture">
                <pic:pic>
                  <pic:nvPicPr>
                    <pic:cNvPr id="0" name="arch_system_overview.png"/>
                    <pic:cNvPicPr/>
                  </pic:nvPicPr>
                  <pic:blipFill>
                    <a:blip r:embed="rId9"/>
                    <a:stretch>
                      <a:fillRect/>
                    </a:stretch>
                  </pic:blipFill>
                  <pic:spPr>
                    <a:xfrm>
                      <a:off x="0" y="0"/>
                      <a:ext cx="5669280" cy="2429691"/>
                    </a:xfrm>
                    <a:prstGeom prst="rect"/>
                  </pic:spPr>
                </pic:pic>
              </a:graphicData>
            </a:graphic>
          </wp:inline>
        </w:drawing>
      </w:r>
    </w:p>
    <w:p>
      <w:pPr>
        <w:spacing w:after="200"/>
        <w:jc w:val="center"/>
      </w:pPr>
      <w:r>
        <w:rPr>
          <w:i/>
          <w:color w:val="64748B"/>
          <w:sz w:val="18"/>
        </w:rPr>
        <w:t>Figure 1: QuantLens-XAI System Architecture — Dual-Flow Pipeline integrating Natural-Language Strategy Parsing, Machine Learning Inference, Explanation Feedback, and Hybrid Database Persistence.</w:t>
      </w:r>
    </w:p>
    <w:p>
      <w:pPr>
        <w:pStyle w:val="Heading2"/>
      </w:pPr>
      <w:r>
        <w:t>4.1 Closed-Loop Explanation Feedback Procedural Flow</w:t>
      </w:r>
    </w:p>
    <w:p>
      <w:pPr>
        <w:spacing w:line="276" w:lineRule="auto" w:after="200"/>
      </w:pPr>
      <w:r>
        <w:t>The closed-loop explanation feedback workflow operates according to a strict 9-step algorithmic procedure:</w:t>
        <w:br/>
        <w:t>Step 1: Input Feature Generation — Calculate 22 stationary technical indicators (or 10-channel 30-day temporal tensor) from daily OHLCV bars with zero forward lookahead.</w:t>
        <w:br/>
        <w:t>Step 2: Base Model Inference — Evaluate instance x through model f (XGBoost, MLP, or TimeSeriesConv1D), computing class probabilities P(c|x) and predicted class y = argmax P.</w:t>
        <w:br/>
        <w:t>Step 3: Explanation Attribution — Execute explainer E (SHAP TreeExplainer, LIME Tabular, or 1D Grad-CAM) to generate feature attribution vector φ or temporal heatmap H(t).</w:t>
        <w:br/>
        <w:t>Step 4: Top-k Feature / Window Identification — Rank features by attribution magnitude |φ_i| and select the top-k most important indicators (or 5-bar peak Grad-CAM window).</w:t>
        <w:br/>
        <w:t>Step 5: Controlled Baseline Intervention — Construct intervened instance x' by substituting top-k features with empirical training distribution means μ_i (neutralizing signal without pushing vectors out of distribution). Simultaneously construct Random-k control (x'_rand) and Least-k control (x'_least).</w:t>
        <w:br/>
        <w:t>Step 6: Model Re-Evaluation — Pass x', x'_rand, and x'_least back into the identical trained model f without parameter re-estimation.</w:t>
        <w:br/>
        <w:t>Step 7: Score Drop &amp; Flip Detection — Measure marginal target-class probability drop ΔP = P(c|x) - P(c|x') and detect whether decision boundary flipped (argmax P(·|x') != y).</w:t>
        <w:br/>
        <w:t>Step 8: Metric Computation — Compute Faithfulness Drop Ratio, sequential deletion curves, and full 10-metric academic suite.</w:t>
        <w:br/>
        <w:t>Step 9: Durable Audit Persistence — Write complete experimental record to MongoDB Community 7.0 collection xai_feedback_runs.</w:t>
      </w:r>
    </w:p>
    <w:p>
      <w:pPr>
        <w:spacing w:before="160" w:after="80"/>
        <w:jc w:val="center"/>
      </w:pPr>
      <w:r>
        <w:drawing>
          <wp:inline xmlns:a="http://schemas.openxmlformats.org/drawingml/2006/main" xmlns:pic="http://schemas.openxmlformats.org/drawingml/2006/picture">
            <wp:extent cx="5669280" cy="2381098"/>
            <wp:docPr id="2" name="Picture 2"/>
            <wp:cNvGraphicFramePr>
              <a:graphicFrameLocks noChangeAspect="1"/>
            </wp:cNvGraphicFramePr>
            <a:graphic>
              <a:graphicData uri="http://schemas.openxmlformats.org/drawingml/2006/picture">
                <pic:pic>
                  <pic:nvPicPr>
                    <pic:cNvPr id="0" name="flow_closed_loop_feedback.png"/>
                    <pic:cNvPicPr/>
                  </pic:nvPicPr>
                  <pic:blipFill>
                    <a:blip r:embed="rId10"/>
                    <a:stretch>
                      <a:fillRect/>
                    </a:stretch>
                  </pic:blipFill>
                  <pic:spPr>
                    <a:xfrm>
                      <a:off x="0" y="0"/>
                      <a:ext cx="5669280" cy="2381098"/>
                    </a:xfrm>
                    <a:prstGeom prst="rect"/>
                  </pic:spPr>
                </pic:pic>
              </a:graphicData>
            </a:graphic>
          </wp:inline>
        </w:drawing>
      </w:r>
    </w:p>
    <w:p>
      <w:pPr>
        <w:spacing w:after="200"/>
        <w:jc w:val="center"/>
      </w:pPr>
      <w:r>
        <w:rPr>
          <w:i/>
          <w:color w:val="64748B"/>
          <w:sz w:val="18"/>
        </w:rPr>
        <w:t>Figure 2: Procedural Flowchart of Closed-Loop Explanation Feedback &amp; Controlled Model Re-Evaluation.</w:t>
      </w:r>
    </w:p>
    <w:p>
      <w:pPr>
        <w:pStyle w:val="Heading1"/>
      </w:pPr>
      <w:r>
        <w:t>5. DATASET DESCRIPTION &amp; CAUSAL FEATURE ENGINEERING</w:t>
      </w:r>
    </w:p>
    <w:p>
      <w:pPr>
        <w:spacing w:line="276" w:lineRule="auto" w:after="200"/>
      </w:pPr>
      <w:r>
        <w:t>The empirical research utilizes 1,687 daily historical OHLCV bars of Reliance Industries Ltd. (RELIANCE.NS) and NIFTY 50 equities from the National Stock Exchange of India (NSE), spanning January 1, 2020 through October 23, 2026. Data preprocessing verifies zero missing values, handles corporate action adjustments, and strictly enforces causal rolling calculations.</w:t>
      </w:r>
    </w:p>
    <w:p>
      <w:pPr>
        <w:pStyle w:val="Heading2"/>
      </w:pPr>
      <w:r>
        <w:t>5.1 Technical Indicators &amp; Feature Engineering Dictionary</w:t>
      </w:r>
    </w:p>
    <w:tbl>
      <w:tblPr>
        <w:tblW w:type="auto" w:w="0"/>
        <w:jc w:val="center"/>
        <w:tblLayout w:type="fixed"/>
        <w:tblLook w:firstColumn="1" w:firstRow="1" w:lastColumn="0" w:lastRow="0" w:noHBand="0" w:noVBand="1" w:val="04A0"/>
      </w:tblPr>
      <w:tblGrid>
        <w:gridCol w:w="1872"/>
        <w:gridCol w:w="1584"/>
        <w:gridCol w:w="3888"/>
        <w:gridCol w:w="2016"/>
      </w:tblGrid>
      <w:tr>
        <w:tc>
          <w:tcPr>
            <w:tcW w:type="dxa" w:w="2340"/>
            <w:shd w:fill="1E293B"/>
            <w:tcMar>
              <w:top w:w="60" w:type="dxa"/>
              <w:bottom w:w="60" w:type="dxa"/>
              <w:left w:w="60" w:type="dxa"/>
              <w:right w:w="60" w:type="dxa"/>
            </w:tcMar>
          </w:tcPr>
          <w:p>
            <w:pPr>
              <w:jc w:val="center"/>
            </w:pPr>
            <w:r>
              <w:rPr>
                <w:b/>
                <w:color w:val="FFFFFF"/>
                <w:sz w:val="17"/>
              </w:rPr>
              <w:t>Indicator Name</w:t>
            </w:r>
          </w:p>
        </w:tc>
        <w:tc>
          <w:tcPr>
            <w:tcW w:type="dxa" w:w="2340"/>
            <w:shd w:fill="1E293B"/>
            <w:tcMar>
              <w:top w:w="60" w:type="dxa"/>
              <w:bottom w:w="60" w:type="dxa"/>
              <w:left w:w="60" w:type="dxa"/>
              <w:right w:w="60" w:type="dxa"/>
            </w:tcMar>
          </w:tcPr>
          <w:p>
            <w:pPr>
              <w:jc w:val="center"/>
            </w:pPr>
            <w:r>
              <w:rPr>
                <w:b/>
                <w:color w:val="FFFFFF"/>
                <w:sz w:val="17"/>
              </w:rPr>
              <w:t>Feature Category</w:t>
            </w:r>
          </w:p>
        </w:tc>
        <w:tc>
          <w:tcPr>
            <w:tcW w:type="dxa" w:w="2340"/>
            <w:shd w:fill="1E293B"/>
            <w:tcMar>
              <w:top w:w="60" w:type="dxa"/>
              <w:bottom w:w="60" w:type="dxa"/>
              <w:left w:w="60" w:type="dxa"/>
              <w:right w:w="60" w:type="dxa"/>
            </w:tcMar>
          </w:tcPr>
          <w:p>
            <w:pPr>
              <w:jc w:val="center"/>
            </w:pPr>
            <w:r>
              <w:rPr>
                <w:b/>
                <w:color w:val="FFFFFF"/>
                <w:sz w:val="17"/>
              </w:rPr>
              <w:t>Mathematical Formula / Operator</w:t>
            </w:r>
          </w:p>
        </w:tc>
        <w:tc>
          <w:tcPr>
            <w:tcW w:type="dxa" w:w="2340"/>
            <w:shd w:fill="1E293B"/>
            <w:tcMar>
              <w:top w:w="60" w:type="dxa"/>
              <w:bottom w:w="60" w:type="dxa"/>
              <w:left w:w="60" w:type="dxa"/>
              <w:right w:w="60" w:type="dxa"/>
            </w:tcMar>
          </w:tcPr>
          <w:p>
            <w:pPr>
              <w:jc w:val="center"/>
            </w:pPr>
            <w:r>
              <w:rPr>
                <w:b/>
                <w:color w:val="FFFFFF"/>
                <w:sz w:val="17"/>
              </w:rPr>
              <w:t>Investor Actionability</w:t>
            </w:r>
          </w:p>
        </w:tc>
      </w:tr>
      <w:tr>
        <w:tc>
          <w:tcPr>
            <w:tcW w:type="dxa" w:w="2340"/>
            <w:shd w:fill="F8FAFC"/>
            <w:tcMar>
              <w:top w:w="40" w:type="dxa"/>
              <w:bottom w:w="40" w:type="dxa"/>
              <w:left w:w="60" w:type="dxa"/>
              <w:right w:w="60" w:type="dxa"/>
            </w:tcMar>
          </w:tcPr>
          <w:p>
            <w:pPr>
              <w:jc w:val="left"/>
            </w:pPr>
            <w:r>
              <w:rPr>
                <w:sz w:val="17"/>
              </w:rPr>
              <w:t>sma_10, sma_30, sma_50</w:t>
            </w:r>
          </w:p>
        </w:tc>
        <w:tc>
          <w:tcPr>
            <w:tcW w:type="dxa" w:w="2340"/>
            <w:shd w:fill="F8FAFC"/>
            <w:tcMar>
              <w:top w:w="40" w:type="dxa"/>
              <w:bottom w:w="40" w:type="dxa"/>
              <w:left w:w="60" w:type="dxa"/>
              <w:right w:w="60" w:type="dxa"/>
            </w:tcMar>
          </w:tcPr>
          <w:p>
            <w:pPr>
              <w:jc w:val="left"/>
            </w:pPr>
            <w:r>
              <w:rPr>
                <w:sz w:val="17"/>
              </w:rPr>
              <w:t>Trend Following</w:t>
            </w:r>
          </w:p>
        </w:tc>
        <w:tc>
          <w:tcPr>
            <w:tcW w:type="dxa" w:w="2340"/>
            <w:shd w:fill="F8FAFC"/>
            <w:tcMar>
              <w:top w:w="40" w:type="dxa"/>
              <w:bottom w:w="40" w:type="dxa"/>
              <w:left w:w="60" w:type="dxa"/>
              <w:right w:w="60" w:type="dxa"/>
            </w:tcMar>
          </w:tcPr>
          <w:p>
            <w:pPr>
              <w:jc w:val="left"/>
            </w:pPr>
            <w:r>
              <w:rPr>
                <w:sz w:val="17"/>
              </w:rPr>
              <w:t>Rolling Simple Moving Averages: (1/P) * Σ Close_{t-i}</w:t>
            </w:r>
          </w:p>
        </w:tc>
        <w:tc>
          <w:tcPr>
            <w:tcW w:type="dxa" w:w="2340"/>
            <w:shd w:fill="F8FAFC"/>
            <w:tcMar>
              <w:top w:w="40" w:type="dxa"/>
              <w:bottom w:w="40" w:type="dxa"/>
              <w:left w:w="60" w:type="dxa"/>
              <w:right w:w="60" w:type="dxa"/>
            </w:tcMar>
          </w:tcPr>
          <w:p>
            <w:pPr>
              <w:jc w:val="left"/>
            </w:pPr>
            <w:r>
              <w:rPr>
                <w:sz w:val="17"/>
              </w:rPr>
              <w:t>Actionable (Lookback Period)</w:t>
            </w:r>
          </w:p>
        </w:tc>
      </w:tr>
      <w:tr>
        <w:tc>
          <w:tcPr>
            <w:tcW w:type="dxa" w:w="2340"/>
            <w:shd w:fill="FFFFFF"/>
            <w:tcMar>
              <w:top w:w="40" w:type="dxa"/>
              <w:bottom w:w="40" w:type="dxa"/>
              <w:left w:w="60" w:type="dxa"/>
              <w:right w:w="60" w:type="dxa"/>
            </w:tcMar>
          </w:tcPr>
          <w:p>
            <w:pPr>
              <w:jc w:val="left"/>
            </w:pPr>
            <w:r>
              <w:rPr>
                <w:sz w:val="17"/>
              </w:rPr>
              <w:t>ema_10, ema_20, ema_30, ema_50</w:t>
            </w:r>
          </w:p>
        </w:tc>
        <w:tc>
          <w:tcPr>
            <w:tcW w:type="dxa" w:w="2340"/>
            <w:shd w:fill="FFFFFF"/>
            <w:tcMar>
              <w:top w:w="40" w:type="dxa"/>
              <w:bottom w:w="40" w:type="dxa"/>
              <w:left w:w="60" w:type="dxa"/>
              <w:right w:w="60" w:type="dxa"/>
            </w:tcMar>
          </w:tcPr>
          <w:p>
            <w:pPr>
              <w:jc w:val="left"/>
            </w:pPr>
            <w:r>
              <w:rPr>
                <w:sz w:val="17"/>
              </w:rPr>
              <w:t>Trend Smoothing</w:t>
            </w:r>
          </w:p>
        </w:tc>
        <w:tc>
          <w:tcPr>
            <w:tcW w:type="dxa" w:w="2340"/>
            <w:shd w:fill="FFFFFF"/>
            <w:tcMar>
              <w:top w:w="40" w:type="dxa"/>
              <w:bottom w:w="40" w:type="dxa"/>
              <w:left w:w="60" w:type="dxa"/>
              <w:right w:w="60" w:type="dxa"/>
            </w:tcMar>
          </w:tcPr>
          <w:p>
            <w:pPr>
              <w:jc w:val="left"/>
            </w:pPr>
            <w:r>
              <w:rPr>
                <w:sz w:val="17"/>
              </w:rPr>
              <w:t>Exponential Moving Average: α*Close_t + (1-α)*EMA_{t-1}</w:t>
            </w:r>
          </w:p>
        </w:tc>
        <w:tc>
          <w:tcPr>
            <w:tcW w:type="dxa" w:w="2340"/>
            <w:shd w:fill="FFFFFF"/>
            <w:tcMar>
              <w:top w:w="40" w:type="dxa"/>
              <w:bottom w:w="40" w:type="dxa"/>
              <w:left w:w="60" w:type="dxa"/>
              <w:right w:w="60" w:type="dxa"/>
            </w:tcMar>
          </w:tcPr>
          <w:p>
            <w:pPr>
              <w:jc w:val="left"/>
            </w:pPr>
            <w:r>
              <w:rPr>
                <w:sz w:val="17"/>
              </w:rPr>
              <w:t>Actionable (EMA Spans)</w:t>
            </w:r>
          </w:p>
        </w:tc>
      </w:tr>
      <w:tr>
        <w:tc>
          <w:tcPr>
            <w:tcW w:type="dxa" w:w="2340"/>
            <w:shd w:fill="F8FAFC"/>
            <w:tcMar>
              <w:top w:w="40" w:type="dxa"/>
              <w:bottom w:w="40" w:type="dxa"/>
              <w:left w:w="60" w:type="dxa"/>
              <w:right w:w="60" w:type="dxa"/>
            </w:tcMar>
          </w:tcPr>
          <w:p>
            <w:pPr>
              <w:jc w:val="left"/>
            </w:pPr>
            <w:r>
              <w:rPr>
                <w:sz w:val="17"/>
              </w:rPr>
              <w:t>rsi_14</w:t>
            </w:r>
          </w:p>
        </w:tc>
        <w:tc>
          <w:tcPr>
            <w:tcW w:type="dxa" w:w="2340"/>
            <w:shd w:fill="F8FAFC"/>
            <w:tcMar>
              <w:top w:w="40" w:type="dxa"/>
              <w:bottom w:w="40" w:type="dxa"/>
              <w:left w:w="60" w:type="dxa"/>
              <w:right w:w="60" w:type="dxa"/>
            </w:tcMar>
          </w:tcPr>
          <w:p>
            <w:pPr>
              <w:jc w:val="left"/>
            </w:pPr>
            <w:r>
              <w:rPr>
                <w:sz w:val="17"/>
              </w:rPr>
              <w:t>Momentum / Reversal</w:t>
            </w:r>
          </w:p>
        </w:tc>
        <w:tc>
          <w:tcPr>
            <w:tcW w:type="dxa" w:w="2340"/>
            <w:shd w:fill="F8FAFC"/>
            <w:tcMar>
              <w:top w:w="40" w:type="dxa"/>
              <w:bottom w:w="40" w:type="dxa"/>
              <w:left w:w="60" w:type="dxa"/>
              <w:right w:w="60" w:type="dxa"/>
            </w:tcMar>
          </w:tcPr>
          <w:p>
            <w:pPr>
              <w:jc w:val="left"/>
            </w:pPr>
            <w:r>
              <w:rPr>
                <w:sz w:val="17"/>
              </w:rPr>
              <w:t>Wilder's RSI: 100 - (100 / (1 + AvgGain/AvgLoss))</w:t>
            </w:r>
          </w:p>
        </w:tc>
        <w:tc>
          <w:tcPr>
            <w:tcW w:type="dxa" w:w="2340"/>
            <w:shd w:fill="F8FAFC"/>
            <w:tcMar>
              <w:top w:w="40" w:type="dxa"/>
              <w:bottom w:w="40" w:type="dxa"/>
              <w:left w:w="60" w:type="dxa"/>
              <w:right w:w="60" w:type="dxa"/>
            </w:tcMar>
          </w:tcPr>
          <w:p>
            <w:pPr>
              <w:jc w:val="left"/>
            </w:pPr>
            <w:r>
              <w:rPr>
                <w:sz w:val="17"/>
              </w:rPr>
              <w:t>Actionable (Cutoff Threshold)</w:t>
            </w:r>
          </w:p>
        </w:tc>
      </w:tr>
      <w:tr>
        <w:tc>
          <w:tcPr>
            <w:tcW w:type="dxa" w:w="2340"/>
            <w:shd w:fill="FFFFFF"/>
            <w:tcMar>
              <w:top w:w="40" w:type="dxa"/>
              <w:bottom w:w="40" w:type="dxa"/>
              <w:left w:w="60" w:type="dxa"/>
              <w:right w:w="60" w:type="dxa"/>
            </w:tcMar>
          </w:tcPr>
          <w:p>
            <w:pPr>
              <w:jc w:val="left"/>
            </w:pPr>
            <w:r>
              <w:rPr>
                <w:sz w:val="17"/>
              </w:rPr>
              <w:t>macd, macd_signal, macd_hist</w:t>
            </w:r>
          </w:p>
        </w:tc>
        <w:tc>
          <w:tcPr>
            <w:tcW w:type="dxa" w:w="2340"/>
            <w:shd w:fill="FFFFFF"/>
            <w:tcMar>
              <w:top w:w="40" w:type="dxa"/>
              <w:bottom w:w="40" w:type="dxa"/>
              <w:left w:w="60" w:type="dxa"/>
              <w:right w:w="60" w:type="dxa"/>
            </w:tcMar>
          </w:tcPr>
          <w:p>
            <w:pPr>
              <w:jc w:val="left"/>
            </w:pPr>
            <w:r>
              <w:rPr>
                <w:sz w:val="17"/>
              </w:rPr>
              <w:t>Trend Convergence</w:t>
            </w:r>
          </w:p>
        </w:tc>
        <w:tc>
          <w:tcPr>
            <w:tcW w:type="dxa" w:w="2340"/>
            <w:shd w:fill="FFFFFF"/>
            <w:tcMar>
              <w:top w:w="40" w:type="dxa"/>
              <w:bottom w:w="40" w:type="dxa"/>
              <w:left w:w="60" w:type="dxa"/>
              <w:right w:w="60" w:type="dxa"/>
            </w:tcMar>
          </w:tcPr>
          <w:p>
            <w:pPr>
              <w:jc w:val="left"/>
            </w:pPr>
            <w:r>
              <w:rPr>
                <w:sz w:val="17"/>
              </w:rPr>
              <w:t>Fast EMA(12) - Slow EMA(26); Signal EMA(9)</w:t>
            </w:r>
          </w:p>
        </w:tc>
        <w:tc>
          <w:tcPr>
            <w:tcW w:type="dxa" w:w="2340"/>
            <w:shd w:fill="FFFFFF"/>
            <w:tcMar>
              <w:top w:w="40" w:type="dxa"/>
              <w:bottom w:w="40" w:type="dxa"/>
              <w:left w:w="60" w:type="dxa"/>
              <w:right w:w="60" w:type="dxa"/>
            </w:tcMar>
          </w:tcPr>
          <w:p>
            <w:pPr>
              <w:jc w:val="left"/>
            </w:pPr>
            <w:r>
              <w:rPr>
                <w:sz w:val="17"/>
              </w:rPr>
              <w:t>Actionable (MACD Periods)</w:t>
            </w:r>
          </w:p>
        </w:tc>
      </w:tr>
      <w:tr>
        <w:tc>
          <w:tcPr>
            <w:tcW w:type="dxa" w:w="2340"/>
            <w:shd w:fill="F8FAFC"/>
            <w:tcMar>
              <w:top w:w="40" w:type="dxa"/>
              <w:bottom w:w="40" w:type="dxa"/>
              <w:left w:w="60" w:type="dxa"/>
              <w:right w:w="60" w:type="dxa"/>
            </w:tcMar>
          </w:tcPr>
          <w:p>
            <w:pPr>
              <w:jc w:val="left"/>
            </w:pPr>
            <w:r>
              <w:rPr>
                <w:sz w:val="17"/>
              </w:rPr>
              <w:t>bb_upper, bb_middle, bb_lower</w:t>
            </w:r>
          </w:p>
        </w:tc>
        <w:tc>
          <w:tcPr>
            <w:tcW w:type="dxa" w:w="2340"/>
            <w:shd w:fill="F8FAFC"/>
            <w:tcMar>
              <w:top w:w="40" w:type="dxa"/>
              <w:bottom w:w="40" w:type="dxa"/>
              <w:left w:w="60" w:type="dxa"/>
              <w:right w:w="60" w:type="dxa"/>
            </w:tcMar>
          </w:tcPr>
          <w:p>
            <w:pPr>
              <w:jc w:val="left"/>
            </w:pPr>
            <w:r>
              <w:rPr>
                <w:sz w:val="17"/>
              </w:rPr>
              <w:t>Volatility Bands</w:t>
            </w:r>
          </w:p>
        </w:tc>
        <w:tc>
          <w:tcPr>
            <w:tcW w:type="dxa" w:w="2340"/>
            <w:shd w:fill="F8FAFC"/>
            <w:tcMar>
              <w:top w:w="40" w:type="dxa"/>
              <w:bottom w:w="40" w:type="dxa"/>
              <w:left w:w="60" w:type="dxa"/>
              <w:right w:w="60" w:type="dxa"/>
            </w:tcMar>
          </w:tcPr>
          <w:p>
            <w:pPr>
              <w:jc w:val="left"/>
            </w:pPr>
            <w:r>
              <w:rPr>
                <w:sz w:val="17"/>
              </w:rPr>
              <w:t>SMA(20) ± 2.0 * σ(Close, 20)</w:t>
            </w:r>
          </w:p>
        </w:tc>
        <w:tc>
          <w:tcPr>
            <w:tcW w:type="dxa" w:w="2340"/>
            <w:shd w:fill="F8FAFC"/>
            <w:tcMar>
              <w:top w:w="40" w:type="dxa"/>
              <w:bottom w:w="40" w:type="dxa"/>
              <w:left w:w="60" w:type="dxa"/>
              <w:right w:w="60" w:type="dxa"/>
            </w:tcMar>
          </w:tcPr>
          <w:p>
            <w:pPr>
              <w:jc w:val="left"/>
            </w:pPr>
            <w:r>
              <w:rPr>
                <w:sz w:val="17"/>
              </w:rPr>
              <w:t>Actionable (Band Std Dev)</w:t>
            </w:r>
          </w:p>
        </w:tc>
      </w:tr>
      <w:tr>
        <w:tc>
          <w:tcPr>
            <w:tcW w:type="dxa" w:w="2340"/>
            <w:shd w:fill="FFFFFF"/>
            <w:tcMar>
              <w:top w:w="40" w:type="dxa"/>
              <w:bottom w:w="40" w:type="dxa"/>
              <w:left w:w="60" w:type="dxa"/>
              <w:right w:w="60" w:type="dxa"/>
            </w:tcMar>
          </w:tcPr>
          <w:p>
            <w:pPr>
              <w:jc w:val="left"/>
            </w:pPr>
            <w:r>
              <w:rPr>
                <w:sz w:val="17"/>
              </w:rPr>
              <w:t>bb_width, bb_pct_b</w:t>
            </w:r>
          </w:p>
        </w:tc>
        <w:tc>
          <w:tcPr>
            <w:tcW w:type="dxa" w:w="2340"/>
            <w:shd w:fill="FFFFFF"/>
            <w:tcMar>
              <w:top w:w="40" w:type="dxa"/>
              <w:bottom w:w="40" w:type="dxa"/>
              <w:left w:w="60" w:type="dxa"/>
              <w:right w:w="60" w:type="dxa"/>
            </w:tcMar>
          </w:tcPr>
          <w:p>
            <w:pPr>
              <w:jc w:val="left"/>
            </w:pPr>
            <w:r>
              <w:rPr>
                <w:sz w:val="17"/>
              </w:rPr>
              <w:t>Band Dynamics</w:t>
            </w:r>
          </w:p>
        </w:tc>
        <w:tc>
          <w:tcPr>
            <w:tcW w:type="dxa" w:w="2340"/>
            <w:shd w:fill="FFFFFF"/>
            <w:tcMar>
              <w:top w:w="40" w:type="dxa"/>
              <w:bottom w:w="40" w:type="dxa"/>
              <w:left w:w="60" w:type="dxa"/>
              <w:right w:w="60" w:type="dxa"/>
            </w:tcMar>
          </w:tcPr>
          <w:p>
            <w:pPr>
              <w:jc w:val="left"/>
            </w:pPr>
            <w:r>
              <w:rPr>
                <w:sz w:val="17"/>
              </w:rPr>
              <w:t>Width = (Upper-Lower)/Mid; %B = (Close-Lower)/(Upper-Lower)</w:t>
            </w:r>
          </w:p>
        </w:tc>
        <w:tc>
          <w:tcPr>
            <w:tcW w:type="dxa" w:w="2340"/>
            <w:shd w:fill="FFFFFF"/>
            <w:tcMar>
              <w:top w:w="40" w:type="dxa"/>
              <w:bottom w:w="40" w:type="dxa"/>
              <w:left w:w="60" w:type="dxa"/>
              <w:right w:w="60" w:type="dxa"/>
            </w:tcMar>
          </w:tcPr>
          <w:p>
            <w:pPr>
              <w:jc w:val="left"/>
            </w:pPr>
            <w:r>
              <w:rPr>
                <w:sz w:val="17"/>
              </w:rPr>
              <w:t>Actionable (Entry Threshold)</w:t>
            </w:r>
          </w:p>
        </w:tc>
      </w:tr>
      <w:tr>
        <w:tc>
          <w:tcPr>
            <w:tcW w:type="dxa" w:w="2340"/>
            <w:shd w:fill="F8FAFC"/>
            <w:tcMar>
              <w:top w:w="40" w:type="dxa"/>
              <w:bottom w:w="40" w:type="dxa"/>
              <w:left w:w="60" w:type="dxa"/>
              <w:right w:w="60" w:type="dxa"/>
            </w:tcMar>
          </w:tcPr>
          <w:p>
            <w:pPr>
              <w:jc w:val="left"/>
            </w:pPr>
            <w:r>
              <w:rPr>
                <w:sz w:val="17"/>
              </w:rPr>
              <w:t>atr_14</w:t>
            </w:r>
          </w:p>
        </w:tc>
        <w:tc>
          <w:tcPr>
            <w:tcW w:type="dxa" w:w="2340"/>
            <w:shd w:fill="F8FAFC"/>
            <w:tcMar>
              <w:top w:w="40" w:type="dxa"/>
              <w:bottom w:w="40" w:type="dxa"/>
              <w:left w:w="60" w:type="dxa"/>
              <w:right w:w="60" w:type="dxa"/>
            </w:tcMar>
          </w:tcPr>
          <w:p>
            <w:pPr>
              <w:jc w:val="left"/>
            </w:pPr>
            <w:r>
              <w:rPr>
                <w:sz w:val="17"/>
              </w:rPr>
              <w:t>Volatility Spread</w:t>
            </w:r>
          </w:p>
        </w:tc>
        <w:tc>
          <w:tcPr>
            <w:tcW w:type="dxa" w:w="2340"/>
            <w:shd w:fill="F8FAFC"/>
            <w:tcMar>
              <w:top w:w="40" w:type="dxa"/>
              <w:bottom w:w="40" w:type="dxa"/>
              <w:left w:w="60" w:type="dxa"/>
              <w:right w:w="60" w:type="dxa"/>
            </w:tcMar>
          </w:tcPr>
          <w:p>
            <w:pPr>
              <w:jc w:val="left"/>
            </w:pPr>
            <w:r>
              <w:rPr>
                <w:sz w:val="17"/>
              </w:rPr>
              <w:t>Rolling mean of True Range max(H-L, |H-C_prev|, |L-C_prev|)</w:t>
            </w:r>
          </w:p>
        </w:tc>
        <w:tc>
          <w:tcPr>
            <w:tcW w:type="dxa" w:w="2340"/>
            <w:shd w:fill="F8FAFC"/>
            <w:tcMar>
              <w:top w:w="40" w:type="dxa"/>
              <w:bottom w:w="40" w:type="dxa"/>
              <w:left w:w="60" w:type="dxa"/>
              <w:right w:w="60" w:type="dxa"/>
            </w:tcMar>
          </w:tcPr>
          <w:p>
            <w:pPr>
              <w:jc w:val="left"/>
            </w:pPr>
            <w:r>
              <w:rPr>
                <w:sz w:val="17"/>
              </w:rPr>
              <w:t>Actionable (Stop-Loss Multiplier)</w:t>
            </w:r>
          </w:p>
        </w:tc>
      </w:tr>
      <w:tr>
        <w:tc>
          <w:tcPr>
            <w:tcW w:type="dxa" w:w="2340"/>
            <w:shd w:fill="FFFFFF"/>
            <w:tcMar>
              <w:top w:w="40" w:type="dxa"/>
              <w:bottom w:w="40" w:type="dxa"/>
              <w:left w:w="60" w:type="dxa"/>
              <w:right w:w="60" w:type="dxa"/>
            </w:tcMar>
          </w:tcPr>
          <w:p>
            <w:pPr>
              <w:jc w:val="left"/>
            </w:pPr>
            <w:r>
              <w:rPr>
                <w:sz w:val="17"/>
              </w:rPr>
              <w:t>vol_sma_ratio</w:t>
            </w:r>
          </w:p>
        </w:tc>
        <w:tc>
          <w:tcPr>
            <w:tcW w:type="dxa" w:w="2340"/>
            <w:shd w:fill="FFFFFF"/>
            <w:tcMar>
              <w:top w:w="40" w:type="dxa"/>
              <w:bottom w:w="40" w:type="dxa"/>
              <w:left w:w="60" w:type="dxa"/>
              <w:right w:w="60" w:type="dxa"/>
            </w:tcMar>
          </w:tcPr>
          <w:p>
            <w:pPr>
              <w:jc w:val="left"/>
            </w:pPr>
            <w:r>
              <w:rPr>
                <w:sz w:val="17"/>
              </w:rPr>
              <w:t>Volume Surge</w:t>
            </w:r>
          </w:p>
        </w:tc>
        <w:tc>
          <w:tcPr>
            <w:tcW w:type="dxa" w:w="2340"/>
            <w:shd w:fill="FFFFFF"/>
            <w:tcMar>
              <w:top w:w="40" w:type="dxa"/>
              <w:bottom w:w="40" w:type="dxa"/>
              <w:left w:w="60" w:type="dxa"/>
              <w:right w:w="60" w:type="dxa"/>
            </w:tcMar>
          </w:tcPr>
          <w:p>
            <w:pPr>
              <w:jc w:val="left"/>
            </w:pPr>
            <w:r>
              <w:rPr>
                <w:sz w:val="17"/>
              </w:rPr>
              <w:t>Volume_t / SMA(Volume, 20)</w:t>
            </w:r>
          </w:p>
        </w:tc>
        <w:tc>
          <w:tcPr>
            <w:tcW w:type="dxa" w:w="2340"/>
            <w:shd w:fill="FFFFFF"/>
            <w:tcMar>
              <w:top w:w="40" w:type="dxa"/>
              <w:bottom w:w="40" w:type="dxa"/>
              <w:left w:w="60" w:type="dxa"/>
              <w:right w:w="60" w:type="dxa"/>
            </w:tcMar>
          </w:tcPr>
          <w:p>
            <w:pPr>
              <w:jc w:val="left"/>
            </w:pPr>
            <w:r>
              <w:rPr>
                <w:sz w:val="17"/>
              </w:rPr>
              <w:t>Actionable (Min Volume Filter)</w:t>
            </w:r>
          </w:p>
        </w:tc>
      </w:tr>
      <w:tr>
        <w:tc>
          <w:tcPr>
            <w:tcW w:type="dxa" w:w="2340"/>
            <w:shd w:fill="F8FAFC"/>
            <w:tcMar>
              <w:top w:w="40" w:type="dxa"/>
              <w:bottom w:w="40" w:type="dxa"/>
              <w:left w:w="60" w:type="dxa"/>
              <w:right w:w="60" w:type="dxa"/>
            </w:tcMar>
          </w:tcPr>
          <w:p>
            <w:pPr>
              <w:jc w:val="left"/>
            </w:pPr>
            <w:r>
              <w:rPr>
                <w:sz w:val="17"/>
              </w:rPr>
              <w:t>obv, vol_pct_change</w:t>
            </w:r>
          </w:p>
        </w:tc>
        <w:tc>
          <w:tcPr>
            <w:tcW w:type="dxa" w:w="2340"/>
            <w:shd w:fill="F8FAFC"/>
            <w:tcMar>
              <w:top w:w="40" w:type="dxa"/>
              <w:bottom w:w="40" w:type="dxa"/>
              <w:left w:w="60" w:type="dxa"/>
              <w:right w:w="60" w:type="dxa"/>
            </w:tcMar>
          </w:tcPr>
          <w:p>
            <w:pPr>
              <w:jc w:val="left"/>
            </w:pPr>
            <w:r>
              <w:rPr>
                <w:sz w:val="17"/>
              </w:rPr>
              <w:t>Order Flow</w:t>
            </w:r>
          </w:p>
        </w:tc>
        <w:tc>
          <w:tcPr>
            <w:tcW w:type="dxa" w:w="2340"/>
            <w:shd w:fill="F8FAFC"/>
            <w:tcMar>
              <w:top w:w="40" w:type="dxa"/>
              <w:bottom w:w="40" w:type="dxa"/>
              <w:left w:w="60" w:type="dxa"/>
              <w:right w:w="60" w:type="dxa"/>
            </w:tcMar>
          </w:tcPr>
          <w:p>
            <w:pPr>
              <w:jc w:val="left"/>
            </w:pPr>
            <w:r>
              <w:rPr>
                <w:sz w:val="17"/>
              </w:rPr>
              <w:t>Cumulative sign(ΔClose) * Volume; ΔVolume / Volume_{t-1}</w:t>
            </w:r>
          </w:p>
        </w:tc>
        <w:tc>
          <w:tcPr>
            <w:tcW w:type="dxa" w:w="2340"/>
            <w:shd w:fill="F8FAFC"/>
            <w:tcMar>
              <w:top w:w="40" w:type="dxa"/>
              <w:bottom w:w="40" w:type="dxa"/>
              <w:left w:w="60" w:type="dxa"/>
              <w:right w:w="60" w:type="dxa"/>
            </w:tcMar>
          </w:tcPr>
          <w:p>
            <w:pPr>
              <w:jc w:val="left"/>
            </w:pPr>
            <w:r>
              <w:rPr>
                <w:sz w:val="17"/>
              </w:rPr>
              <w:t>Exogenous (Market Flow)</w:t>
            </w:r>
          </w:p>
        </w:tc>
      </w:tr>
      <w:tr>
        <w:tc>
          <w:tcPr>
            <w:tcW w:type="dxa" w:w="2340"/>
            <w:shd w:fill="FFFFFF"/>
            <w:tcMar>
              <w:top w:w="40" w:type="dxa"/>
              <w:bottom w:w="40" w:type="dxa"/>
              <w:left w:w="60" w:type="dxa"/>
              <w:right w:w="60" w:type="dxa"/>
            </w:tcMar>
          </w:tcPr>
          <w:p>
            <w:pPr>
              <w:jc w:val="left"/>
            </w:pPr>
            <w:r>
              <w:rPr>
                <w:sz w:val="17"/>
              </w:rPr>
              <w:t>price_to_sma10, price_to_ema30</w:t>
            </w:r>
          </w:p>
        </w:tc>
        <w:tc>
          <w:tcPr>
            <w:tcW w:type="dxa" w:w="2340"/>
            <w:shd w:fill="FFFFFF"/>
            <w:tcMar>
              <w:top w:w="40" w:type="dxa"/>
              <w:bottom w:w="40" w:type="dxa"/>
              <w:left w:w="60" w:type="dxa"/>
              <w:right w:w="60" w:type="dxa"/>
            </w:tcMar>
          </w:tcPr>
          <w:p>
            <w:pPr>
              <w:jc w:val="left"/>
            </w:pPr>
            <w:r>
              <w:rPr>
                <w:sz w:val="17"/>
              </w:rPr>
              <w:t>Price Deviation</w:t>
            </w:r>
          </w:p>
        </w:tc>
        <w:tc>
          <w:tcPr>
            <w:tcW w:type="dxa" w:w="2340"/>
            <w:shd w:fill="FFFFFF"/>
            <w:tcMar>
              <w:top w:w="40" w:type="dxa"/>
              <w:bottom w:w="40" w:type="dxa"/>
              <w:left w:w="60" w:type="dxa"/>
              <w:right w:w="60" w:type="dxa"/>
            </w:tcMar>
          </w:tcPr>
          <w:p>
            <w:pPr>
              <w:jc w:val="left"/>
            </w:pPr>
            <w:r>
              <w:rPr>
                <w:sz w:val="17"/>
              </w:rPr>
              <w:t>Close_t / SMA_{10, t} - 1.0; Close_t / EMA_{30, t} - 1.0</w:t>
            </w:r>
          </w:p>
        </w:tc>
        <w:tc>
          <w:tcPr>
            <w:tcW w:type="dxa" w:w="2340"/>
            <w:shd w:fill="FFFFFF"/>
            <w:tcMar>
              <w:top w:w="40" w:type="dxa"/>
              <w:bottom w:w="40" w:type="dxa"/>
              <w:left w:w="60" w:type="dxa"/>
              <w:right w:w="60" w:type="dxa"/>
            </w:tcMar>
          </w:tcPr>
          <w:p>
            <w:pPr>
              <w:jc w:val="left"/>
            </w:pPr>
            <w:r>
              <w:rPr>
                <w:sz w:val="17"/>
              </w:rPr>
              <w:t>Exogenous (Market Close)</w:t>
            </w:r>
          </w:p>
        </w:tc>
      </w:tr>
    </w:tbl>
    <w:p/>
    <w:p>
      <w:pPr>
        <w:pStyle w:val="Heading2"/>
      </w:pPr>
      <w:r>
        <w:t>5.2 Chronological Splitting &amp; Label Generation</w:t>
      </w:r>
    </w:p>
    <w:p>
      <w:pPr>
        <w:spacing w:line="276" w:lineRule="auto" w:after="200"/>
      </w:pPr>
      <w:r>
        <w:t>To guarantee zero look-ahead bias and eliminate forward data leakage, datasets are partitioned strictly chronologically:</w:t>
        <w:br/>
        <w:t>• Training Set (70%): 1,157 daily bars (January 2020 to May 2024)</w:t>
        <w:br/>
        <w:t>• Validation Set (15%): 248 daily bars (May 2024 to May 2025)</w:t>
        <w:br/>
        <w:t>• Untouched Test Set (15%): 248 daily bars (May 2025 to October 2026)</w:t>
        <w:br/>
        <w:br/>
        <w:t>Target labels y_t in {0: SELL, 1: HOLD, 2: BUY} are generated causally based on the forward 5-day horizon return: R_{t-&gt;t+5} = (Close_{t+5} - Close_t) / Close_t. A threshold of ±1.5% filters out market noise. Class distribution: BUY (34.2%), HOLD (32.8%), SELL (33.0%), ensuring balanced multi-class evaluation.</w:t>
      </w:r>
    </w:p>
    <w:p>
      <w:pPr>
        <w:pStyle w:val="Heading1"/>
      </w:pPr>
      <w:r>
        <w:t>6. EXPERIMENTAL SETUP &amp; HARDWARE ENVIRONMENT</w:t>
      </w:r>
    </w:p>
    <w:p>
      <w:pPr>
        <w:spacing w:line="276" w:lineRule="auto" w:after="200"/>
      </w:pPr>
      <w:r>
        <w:t>All model training, XAI explanation generations, closed-loop perturbations, and retraining benchmarks were executed on an Apple Silicon M1 Pro workstation. PyTorch 2.8 models utilize the native Apple Metal Performance Shaders (MPS) GPU accelerator backend.</w:t>
      </w:r>
    </w:p>
    <w:tbl>
      <w:tblPr>
        <w:tblW w:type="auto" w:w="0"/>
        <w:jc w:val="center"/>
        <w:tblLayout w:type="fixed"/>
        <w:tblLook w:firstColumn="1" w:firstRow="1" w:lastColumn="0" w:lastRow="0" w:noHBand="0" w:noVBand="1" w:val="04A0"/>
      </w:tblPr>
      <w:tblGrid>
        <w:gridCol w:w="2592"/>
        <w:gridCol w:w="3168"/>
        <w:gridCol w:w="3600"/>
      </w:tblGrid>
      <w:tr>
        <w:tc>
          <w:tcPr>
            <w:tcW w:type="dxa" w:w="3120"/>
            <w:shd w:fill="1E293B"/>
            <w:tcMar>
              <w:top w:w="60" w:type="dxa"/>
              <w:bottom w:w="60" w:type="dxa"/>
              <w:left w:w="60" w:type="dxa"/>
              <w:right w:w="60" w:type="dxa"/>
            </w:tcMar>
          </w:tcPr>
          <w:p>
            <w:pPr>
              <w:jc w:val="center"/>
            </w:pPr>
            <w:r>
              <w:rPr>
                <w:b/>
                <w:color w:val="FFFFFF"/>
                <w:sz w:val="17"/>
              </w:rPr>
              <w:t>Configuration Component</w:t>
            </w:r>
          </w:p>
        </w:tc>
        <w:tc>
          <w:tcPr>
            <w:tcW w:type="dxa" w:w="3120"/>
            <w:shd w:fill="1E293B"/>
            <w:tcMar>
              <w:top w:w="60" w:type="dxa"/>
              <w:bottom w:w="60" w:type="dxa"/>
              <w:left w:w="60" w:type="dxa"/>
              <w:right w:w="60" w:type="dxa"/>
            </w:tcMar>
          </w:tcPr>
          <w:p>
            <w:pPr>
              <w:jc w:val="center"/>
            </w:pPr>
            <w:r>
              <w:rPr>
                <w:b/>
                <w:color w:val="FFFFFF"/>
                <w:sz w:val="17"/>
              </w:rPr>
              <w:t>Specification / Library Version</w:t>
            </w:r>
          </w:p>
        </w:tc>
        <w:tc>
          <w:tcPr>
            <w:tcW w:type="dxa" w:w="3120"/>
            <w:shd w:fill="1E293B"/>
            <w:tcMar>
              <w:top w:w="60" w:type="dxa"/>
              <w:bottom w:w="60" w:type="dxa"/>
              <w:left w:w="60" w:type="dxa"/>
              <w:right w:w="60" w:type="dxa"/>
            </w:tcMar>
          </w:tcPr>
          <w:p>
            <w:pPr>
              <w:jc w:val="center"/>
            </w:pPr>
            <w:r>
              <w:rPr>
                <w:b/>
                <w:color w:val="FFFFFF"/>
                <w:sz w:val="17"/>
              </w:rPr>
              <w:t>Experimental Purpose</w:t>
            </w:r>
          </w:p>
        </w:tc>
      </w:tr>
      <w:tr>
        <w:tc>
          <w:tcPr>
            <w:tcW w:type="dxa" w:w="3120"/>
            <w:shd w:fill="F8FAFC"/>
            <w:tcMar>
              <w:top w:w="40" w:type="dxa"/>
              <w:bottom w:w="40" w:type="dxa"/>
              <w:left w:w="60" w:type="dxa"/>
              <w:right w:w="60" w:type="dxa"/>
            </w:tcMar>
          </w:tcPr>
          <w:p>
            <w:pPr>
              <w:jc w:val="left"/>
            </w:pPr>
            <w:r>
              <w:rPr>
                <w:sz w:val="17"/>
              </w:rPr>
              <w:t>Hardware Platform</w:t>
            </w:r>
          </w:p>
        </w:tc>
        <w:tc>
          <w:tcPr>
            <w:tcW w:type="dxa" w:w="3120"/>
            <w:shd w:fill="F8FAFC"/>
            <w:tcMar>
              <w:top w:w="40" w:type="dxa"/>
              <w:bottom w:w="40" w:type="dxa"/>
              <w:left w:w="60" w:type="dxa"/>
              <w:right w:w="60" w:type="dxa"/>
            </w:tcMar>
          </w:tcPr>
          <w:p>
            <w:pPr>
              <w:jc w:val="left"/>
            </w:pPr>
            <w:r>
              <w:rPr>
                <w:sz w:val="17"/>
              </w:rPr>
              <w:t>Apple MacBook Pro (M1 Pro, 16 GB Unified RAM)</w:t>
            </w:r>
          </w:p>
        </w:tc>
        <w:tc>
          <w:tcPr>
            <w:tcW w:type="dxa" w:w="3120"/>
            <w:shd w:fill="F8FAFC"/>
            <w:tcMar>
              <w:top w:w="40" w:type="dxa"/>
              <w:bottom w:w="40" w:type="dxa"/>
              <w:left w:w="60" w:type="dxa"/>
              <w:right w:w="60" w:type="dxa"/>
            </w:tcMar>
          </w:tcPr>
          <w:p>
            <w:pPr>
              <w:jc w:val="left"/>
            </w:pPr>
            <w:r>
              <w:rPr>
                <w:sz w:val="17"/>
              </w:rPr>
              <w:t>Host system for local inference and simulation</w:t>
            </w:r>
          </w:p>
        </w:tc>
      </w:tr>
      <w:tr>
        <w:tc>
          <w:tcPr>
            <w:tcW w:type="dxa" w:w="3120"/>
            <w:shd w:fill="FFFFFF"/>
            <w:tcMar>
              <w:top w:w="40" w:type="dxa"/>
              <w:bottom w:w="40" w:type="dxa"/>
              <w:left w:w="60" w:type="dxa"/>
              <w:right w:w="60" w:type="dxa"/>
            </w:tcMar>
          </w:tcPr>
          <w:p>
            <w:pPr>
              <w:jc w:val="left"/>
            </w:pPr>
            <w:r>
              <w:rPr>
                <w:sz w:val="17"/>
              </w:rPr>
              <w:t>Operating System &amp; Shell</w:t>
            </w:r>
          </w:p>
        </w:tc>
        <w:tc>
          <w:tcPr>
            <w:tcW w:type="dxa" w:w="3120"/>
            <w:shd w:fill="FFFFFF"/>
            <w:tcMar>
              <w:top w:w="40" w:type="dxa"/>
              <w:bottom w:w="40" w:type="dxa"/>
              <w:left w:w="60" w:type="dxa"/>
              <w:right w:w="60" w:type="dxa"/>
            </w:tcMar>
          </w:tcPr>
          <w:p>
            <w:pPr>
              <w:jc w:val="left"/>
            </w:pPr>
            <w:r>
              <w:rPr>
                <w:sz w:val="17"/>
              </w:rPr>
              <w:t>macOS 15.0 Darwin (arm64), zsh</w:t>
            </w:r>
          </w:p>
        </w:tc>
        <w:tc>
          <w:tcPr>
            <w:tcW w:type="dxa" w:w="3120"/>
            <w:shd w:fill="FFFFFF"/>
            <w:tcMar>
              <w:top w:w="40" w:type="dxa"/>
              <w:bottom w:w="40" w:type="dxa"/>
              <w:left w:w="60" w:type="dxa"/>
              <w:right w:w="60" w:type="dxa"/>
            </w:tcMar>
          </w:tcPr>
          <w:p>
            <w:pPr>
              <w:jc w:val="left"/>
            </w:pPr>
            <w:r>
              <w:rPr>
                <w:sz w:val="17"/>
              </w:rPr>
              <w:t>Execution runtime environment</w:t>
            </w:r>
          </w:p>
        </w:tc>
      </w:tr>
      <w:tr>
        <w:tc>
          <w:tcPr>
            <w:tcW w:type="dxa" w:w="3120"/>
            <w:shd w:fill="F8FAFC"/>
            <w:tcMar>
              <w:top w:w="40" w:type="dxa"/>
              <w:bottom w:w="40" w:type="dxa"/>
              <w:left w:w="60" w:type="dxa"/>
              <w:right w:w="60" w:type="dxa"/>
            </w:tcMar>
          </w:tcPr>
          <w:p>
            <w:pPr>
              <w:jc w:val="left"/>
            </w:pPr>
            <w:r>
              <w:rPr>
                <w:sz w:val="17"/>
              </w:rPr>
              <w:t>Deep Learning Engine</w:t>
            </w:r>
          </w:p>
        </w:tc>
        <w:tc>
          <w:tcPr>
            <w:tcW w:type="dxa" w:w="3120"/>
            <w:shd w:fill="F8FAFC"/>
            <w:tcMar>
              <w:top w:w="40" w:type="dxa"/>
              <w:bottom w:w="40" w:type="dxa"/>
              <w:left w:w="60" w:type="dxa"/>
              <w:right w:w="60" w:type="dxa"/>
            </w:tcMar>
          </w:tcPr>
          <w:p>
            <w:pPr>
              <w:jc w:val="left"/>
            </w:pPr>
            <w:r>
              <w:rPr>
                <w:sz w:val="17"/>
              </w:rPr>
              <w:t>PyTorch 2.8.0 with Apple Metal MPS Backend</w:t>
            </w:r>
          </w:p>
        </w:tc>
        <w:tc>
          <w:tcPr>
            <w:tcW w:type="dxa" w:w="3120"/>
            <w:shd w:fill="F8FAFC"/>
            <w:tcMar>
              <w:top w:w="40" w:type="dxa"/>
              <w:bottom w:w="40" w:type="dxa"/>
              <w:left w:w="60" w:type="dxa"/>
              <w:right w:w="60" w:type="dxa"/>
            </w:tcMar>
          </w:tcPr>
          <w:p>
            <w:pPr>
              <w:jc w:val="left"/>
            </w:pPr>
            <w:r>
              <w:rPr>
                <w:sz w:val="17"/>
              </w:rPr>
              <w:t>Model B (MLP) and Model C (Conv1D) acceleration</w:t>
            </w:r>
          </w:p>
        </w:tc>
      </w:tr>
      <w:tr>
        <w:tc>
          <w:tcPr>
            <w:tcW w:type="dxa" w:w="3120"/>
            <w:shd w:fill="FFFFFF"/>
            <w:tcMar>
              <w:top w:w="40" w:type="dxa"/>
              <w:bottom w:w="40" w:type="dxa"/>
              <w:left w:w="60" w:type="dxa"/>
              <w:right w:w="60" w:type="dxa"/>
            </w:tcMar>
          </w:tcPr>
          <w:p>
            <w:pPr>
              <w:jc w:val="left"/>
            </w:pPr>
            <w:r>
              <w:rPr>
                <w:sz w:val="17"/>
              </w:rPr>
              <w:t>Tree Boosting Framework</w:t>
            </w:r>
          </w:p>
        </w:tc>
        <w:tc>
          <w:tcPr>
            <w:tcW w:type="dxa" w:w="3120"/>
            <w:shd w:fill="FFFFFF"/>
            <w:tcMar>
              <w:top w:w="40" w:type="dxa"/>
              <w:bottom w:w="40" w:type="dxa"/>
              <w:left w:w="60" w:type="dxa"/>
              <w:right w:w="60" w:type="dxa"/>
            </w:tcMar>
          </w:tcPr>
          <w:p>
            <w:pPr>
              <w:jc w:val="left"/>
            </w:pPr>
            <w:r>
              <w:rPr>
                <w:sz w:val="17"/>
              </w:rPr>
              <w:t>XGBoost 2.1.3 (multi:softprob)</w:t>
            </w:r>
          </w:p>
        </w:tc>
        <w:tc>
          <w:tcPr>
            <w:tcW w:type="dxa" w:w="3120"/>
            <w:shd w:fill="FFFFFF"/>
            <w:tcMar>
              <w:top w:w="40" w:type="dxa"/>
              <w:bottom w:w="40" w:type="dxa"/>
              <w:left w:w="60" w:type="dxa"/>
              <w:right w:w="60" w:type="dxa"/>
            </w:tcMar>
          </w:tcPr>
          <w:p>
            <w:pPr>
              <w:jc w:val="left"/>
            </w:pPr>
            <w:r>
              <w:rPr>
                <w:sz w:val="17"/>
              </w:rPr>
              <w:t>Model A training and TreeExplainer integration</w:t>
            </w:r>
          </w:p>
        </w:tc>
      </w:tr>
      <w:tr>
        <w:tc>
          <w:tcPr>
            <w:tcW w:type="dxa" w:w="3120"/>
            <w:shd w:fill="F8FAFC"/>
            <w:tcMar>
              <w:top w:w="40" w:type="dxa"/>
              <w:bottom w:w="40" w:type="dxa"/>
              <w:left w:w="60" w:type="dxa"/>
              <w:right w:w="60" w:type="dxa"/>
            </w:tcMar>
          </w:tcPr>
          <w:p>
            <w:pPr>
              <w:jc w:val="left"/>
            </w:pPr>
            <w:r>
              <w:rPr>
                <w:sz w:val="17"/>
              </w:rPr>
              <w:t>Explainable AI Frameworks</w:t>
            </w:r>
          </w:p>
        </w:tc>
        <w:tc>
          <w:tcPr>
            <w:tcW w:type="dxa" w:w="3120"/>
            <w:shd w:fill="F8FAFC"/>
            <w:tcMar>
              <w:top w:w="40" w:type="dxa"/>
              <w:bottom w:w="40" w:type="dxa"/>
              <w:left w:w="60" w:type="dxa"/>
              <w:right w:w="60" w:type="dxa"/>
            </w:tcMar>
          </w:tcPr>
          <w:p>
            <w:pPr>
              <w:jc w:val="left"/>
            </w:pPr>
            <w:r>
              <w:rPr>
                <w:sz w:val="17"/>
              </w:rPr>
              <w:t>SHAP 0.49.1, LIME 0.2.0.1</w:t>
            </w:r>
          </w:p>
        </w:tc>
        <w:tc>
          <w:tcPr>
            <w:tcW w:type="dxa" w:w="3120"/>
            <w:shd w:fill="F8FAFC"/>
            <w:tcMar>
              <w:top w:w="40" w:type="dxa"/>
              <w:bottom w:w="40" w:type="dxa"/>
              <w:left w:w="60" w:type="dxa"/>
              <w:right w:w="60" w:type="dxa"/>
            </w:tcMar>
          </w:tcPr>
          <w:p>
            <w:pPr>
              <w:jc w:val="left"/>
            </w:pPr>
            <w:r>
              <w:rPr>
                <w:sz w:val="17"/>
              </w:rPr>
              <w:t>Local/global feature attribution generation</w:t>
            </w:r>
          </w:p>
        </w:tc>
      </w:tr>
      <w:tr>
        <w:tc>
          <w:tcPr>
            <w:tcW w:type="dxa" w:w="3120"/>
            <w:shd w:fill="FFFFFF"/>
            <w:tcMar>
              <w:top w:w="40" w:type="dxa"/>
              <w:bottom w:w="40" w:type="dxa"/>
              <w:left w:w="60" w:type="dxa"/>
              <w:right w:w="60" w:type="dxa"/>
            </w:tcMar>
          </w:tcPr>
          <w:p>
            <w:pPr>
              <w:jc w:val="left"/>
            </w:pPr>
            <w:r>
              <w:rPr>
                <w:sz w:val="17"/>
              </w:rPr>
              <w:t>Persistence Architecture</w:t>
            </w:r>
          </w:p>
        </w:tc>
        <w:tc>
          <w:tcPr>
            <w:tcW w:type="dxa" w:w="3120"/>
            <w:shd w:fill="FFFFFF"/>
            <w:tcMar>
              <w:top w:w="40" w:type="dxa"/>
              <w:bottom w:w="40" w:type="dxa"/>
              <w:left w:w="60" w:type="dxa"/>
              <w:right w:w="60" w:type="dxa"/>
            </w:tcMar>
          </w:tcPr>
          <w:p>
            <w:pPr>
              <w:jc w:val="left"/>
            </w:pPr>
            <w:r>
              <w:rPr>
                <w:sz w:val="17"/>
              </w:rPr>
              <w:t>MongoDB Community 7.0 (Port 27017), SQLite 3</w:t>
            </w:r>
          </w:p>
        </w:tc>
        <w:tc>
          <w:tcPr>
            <w:tcW w:type="dxa" w:w="3120"/>
            <w:shd w:fill="FFFFFF"/>
            <w:tcMar>
              <w:top w:w="40" w:type="dxa"/>
              <w:bottom w:w="40" w:type="dxa"/>
              <w:left w:w="60" w:type="dxa"/>
              <w:right w:w="60" w:type="dxa"/>
            </w:tcMar>
          </w:tcPr>
          <w:p>
            <w:pPr>
              <w:jc w:val="left"/>
            </w:pPr>
            <w:r>
              <w:rPr>
                <w:sz w:val="17"/>
              </w:rPr>
              <w:t>Hybrid persistence for ledgers and XAI experiment runs</w:t>
            </w:r>
          </w:p>
        </w:tc>
      </w:tr>
    </w:tbl>
    <w:p/>
    <w:p>
      <w:pPr>
        <w:pStyle w:val="Heading1"/>
      </w:pPr>
      <w:r>
        <w:t>7. RESULTS AND DISCUSSION</w:t>
      </w:r>
    </w:p>
    <w:p>
      <w:pPr>
        <w:spacing w:line="276" w:lineRule="auto" w:after="200"/>
      </w:pPr>
      <w:r>
        <w:t>This section presents the core empirical contributions of QuantLens-XAI. In accordance with faculty instructions, baseline model results are evaluated separately from XAI-guided experiments, followed by closed-loop perturbation feedback, retraining benchmarks, the 10-metric evaluation suite, and sensitivity analysis.</w:t>
      </w:r>
    </w:p>
    <w:p>
      <w:pPr>
        <w:pStyle w:val="Heading2"/>
      </w:pPr>
      <w:r>
        <w:t>7.1 Baseline Model Results (Separately Evaluated Without XAI)</w:t>
      </w:r>
    </w:p>
    <w:p>
      <w:pPr>
        <w:spacing w:line="276" w:lineRule="auto" w:after="200"/>
      </w:pPr>
      <w:r>
        <w:t>Prior to applying explainability methods, Model A (XGBoost), Model B (PyTorch MLP), and Model C (TimeSeriesConv1D) were independently evaluated on the identical untouched chronological test split (248 daily bars, 2025–2026). Results are summarized in Table 4 and Figure 3.</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160"/>
            <w:shd w:fill="1E293B"/>
            <w:tcMar>
              <w:top w:w="60" w:type="dxa"/>
              <w:bottom w:w="60" w:type="dxa"/>
              <w:left w:w="60" w:type="dxa"/>
              <w:right w:w="60" w:type="dxa"/>
            </w:tcMar>
          </w:tcPr>
          <w:p>
            <w:pPr>
              <w:jc w:val="center"/>
            </w:pPr>
            <w:r>
              <w:rPr>
                <w:b/>
                <w:color w:val="FFFFFF"/>
                <w:sz w:val="17"/>
              </w:rPr>
              <w:t>Model Architecture</w:t>
            </w:r>
          </w:p>
        </w:tc>
        <w:tc>
          <w:tcPr>
            <w:tcW w:type="dxa" w:w="1440"/>
            <w:shd w:fill="1E293B"/>
            <w:tcMar>
              <w:top w:w="60" w:type="dxa"/>
              <w:bottom w:w="60" w:type="dxa"/>
              <w:left w:w="60" w:type="dxa"/>
              <w:right w:w="60" w:type="dxa"/>
            </w:tcMar>
          </w:tcPr>
          <w:p>
            <w:pPr>
              <w:jc w:val="center"/>
            </w:pPr>
            <w:r>
              <w:rPr>
                <w:b/>
                <w:color w:val="FFFFFF"/>
                <w:sz w:val="17"/>
              </w:rPr>
              <w:t>Input Format</w:t>
            </w:r>
          </w:p>
        </w:tc>
        <w:tc>
          <w:tcPr>
            <w:tcW w:type="dxa" w:w="1152"/>
            <w:shd w:fill="1E293B"/>
            <w:tcMar>
              <w:top w:w="60" w:type="dxa"/>
              <w:bottom w:w="60" w:type="dxa"/>
              <w:left w:w="60" w:type="dxa"/>
              <w:right w:w="60" w:type="dxa"/>
            </w:tcMar>
          </w:tcPr>
          <w:p>
            <w:pPr>
              <w:jc w:val="center"/>
            </w:pPr>
            <w:r>
              <w:rPr>
                <w:b/>
                <w:color w:val="FFFFFF"/>
                <w:sz w:val="17"/>
              </w:rPr>
              <w:t>Accuracy</w:t>
            </w:r>
          </w:p>
        </w:tc>
        <w:tc>
          <w:tcPr>
            <w:tcW w:type="dxa" w:w="1152"/>
            <w:shd w:fill="1E293B"/>
            <w:tcMar>
              <w:top w:w="60" w:type="dxa"/>
              <w:bottom w:w="60" w:type="dxa"/>
              <w:left w:w="60" w:type="dxa"/>
              <w:right w:w="60" w:type="dxa"/>
            </w:tcMar>
          </w:tcPr>
          <w:p>
            <w:pPr>
              <w:jc w:val="center"/>
            </w:pPr>
            <w:r>
              <w:rPr>
                <w:b/>
                <w:color w:val="FFFFFF"/>
                <w:sz w:val="17"/>
              </w:rPr>
              <w:t>Macro Prec</w:t>
            </w:r>
          </w:p>
        </w:tc>
        <w:tc>
          <w:tcPr>
            <w:tcW w:type="dxa" w:w="1152"/>
            <w:shd w:fill="1E293B"/>
            <w:tcMar>
              <w:top w:w="60" w:type="dxa"/>
              <w:bottom w:w="60" w:type="dxa"/>
              <w:left w:w="60" w:type="dxa"/>
              <w:right w:w="60" w:type="dxa"/>
            </w:tcMar>
          </w:tcPr>
          <w:p>
            <w:pPr>
              <w:jc w:val="center"/>
            </w:pPr>
            <w:r>
              <w:rPr>
                <w:b/>
                <w:color w:val="FFFFFF"/>
                <w:sz w:val="17"/>
              </w:rPr>
              <w:t>Macro Rec</w:t>
            </w:r>
          </w:p>
        </w:tc>
        <w:tc>
          <w:tcPr>
            <w:tcW w:type="dxa" w:w="1152"/>
            <w:shd w:fill="1E293B"/>
            <w:tcMar>
              <w:top w:w="60" w:type="dxa"/>
              <w:bottom w:w="60" w:type="dxa"/>
              <w:left w:w="60" w:type="dxa"/>
              <w:right w:w="60" w:type="dxa"/>
            </w:tcMar>
          </w:tcPr>
          <w:p>
            <w:pPr>
              <w:jc w:val="center"/>
            </w:pPr>
            <w:r>
              <w:rPr>
                <w:b/>
                <w:color w:val="FFFFFF"/>
                <w:sz w:val="17"/>
              </w:rPr>
              <w:t>Macro F1</w:t>
            </w:r>
          </w:p>
        </w:tc>
        <w:tc>
          <w:tcPr>
            <w:tcW w:type="dxa" w:w="1152"/>
            <w:shd w:fill="1E293B"/>
            <w:tcMar>
              <w:top w:w="60" w:type="dxa"/>
              <w:bottom w:w="60" w:type="dxa"/>
              <w:left w:w="60" w:type="dxa"/>
              <w:right w:w="60" w:type="dxa"/>
            </w:tcMar>
          </w:tcPr>
          <w:p>
            <w:pPr>
              <w:jc w:val="center"/>
            </w:pPr>
            <w:r>
              <w:rPr>
                <w:b/>
                <w:color w:val="FFFFFF"/>
                <w:sz w:val="17"/>
              </w:rPr>
              <w:t>ROC-AUC</w:t>
            </w:r>
          </w:p>
        </w:tc>
        <w:tc>
          <w:tcPr>
            <w:tcW w:type="dxa" w:w="1152"/>
            <w:shd w:fill="1E293B"/>
            <w:tcMar>
              <w:top w:w="60" w:type="dxa"/>
              <w:bottom w:w="60" w:type="dxa"/>
              <w:left w:w="60" w:type="dxa"/>
              <w:right w:w="60" w:type="dxa"/>
            </w:tcMar>
          </w:tcPr>
          <w:p>
            <w:pPr>
              <w:jc w:val="center"/>
            </w:pPr>
            <w:r>
              <w:rPr>
                <w:b/>
                <w:color w:val="FFFFFF"/>
                <w:sz w:val="17"/>
              </w:rPr>
              <w:t>Latency</w:t>
            </w:r>
          </w:p>
        </w:tc>
      </w:tr>
      <w:tr>
        <w:tc>
          <w:tcPr>
            <w:tcW w:type="dxa" w:w="2160"/>
            <w:shd w:fill="F8FAFC"/>
            <w:tcMar>
              <w:top w:w="50" w:type="dxa"/>
              <w:bottom w:w="50" w:type="dxa"/>
              <w:left w:w="60" w:type="dxa"/>
              <w:right w:w="60" w:type="dxa"/>
            </w:tcMar>
          </w:tcPr>
          <w:p>
            <w:pPr>
              <w:jc w:val="left"/>
            </w:pPr>
            <w:r>
              <w:rPr>
                <w:sz w:val="17"/>
              </w:rPr>
              <w:t>Model A: XGBoost (Tree Ensemble)</w:t>
            </w:r>
          </w:p>
        </w:tc>
        <w:tc>
          <w:tcPr>
            <w:tcW w:type="dxa" w:w="1440"/>
            <w:shd w:fill="F8FAFC"/>
            <w:tcMar>
              <w:top w:w="50" w:type="dxa"/>
              <w:bottom w:w="50" w:type="dxa"/>
              <w:left w:w="60" w:type="dxa"/>
              <w:right w:w="60" w:type="dxa"/>
            </w:tcMar>
          </w:tcPr>
          <w:p>
            <w:pPr>
              <w:jc w:val="left"/>
            </w:pPr>
            <w:r>
              <w:rPr>
                <w:sz w:val="17"/>
              </w:rPr>
              <w:t>22 Tabular Feats</w:t>
            </w:r>
          </w:p>
        </w:tc>
        <w:tc>
          <w:tcPr>
            <w:tcW w:type="dxa" w:w="1152"/>
            <w:shd w:fill="F8FAFC"/>
            <w:tcMar>
              <w:top w:w="50" w:type="dxa"/>
              <w:bottom w:w="50" w:type="dxa"/>
              <w:left w:w="60" w:type="dxa"/>
              <w:right w:w="60" w:type="dxa"/>
            </w:tcMar>
          </w:tcPr>
          <w:p>
            <w:pPr>
              <w:jc w:val="center"/>
            </w:pPr>
            <w:r>
              <w:rPr>
                <w:sz w:val="17"/>
              </w:rPr>
              <w:t>32.24%</w:t>
            </w:r>
          </w:p>
        </w:tc>
        <w:tc>
          <w:tcPr>
            <w:tcW w:type="dxa" w:w="1152"/>
            <w:shd w:fill="F8FAFC"/>
            <w:tcMar>
              <w:top w:w="50" w:type="dxa"/>
              <w:bottom w:w="50" w:type="dxa"/>
              <w:left w:w="60" w:type="dxa"/>
              <w:right w:w="60" w:type="dxa"/>
            </w:tcMar>
          </w:tcPr>
          <w:p>
            <w:pPr>
              <w:jc w:val="center"/>
            </w:pPr>
            <w:r>
              <w:rPr>
                <w:sz w:val="17"/>
              </w:rPr>
              <w:t>32.61%</w:t>
            </w:r>
          </w:p>
        </w:tc>
        <w:tc>
          <w:tcPr>
            <w:tcW w:type="dxa" w:w="1152"/>
            <w:shd w:fill="F8FAFC"/>
            <w:tcMar>
              <w:top w:w="50" w:type="dxa"/>
              <w:bottom w:w="50" w:type="dxa"/>
              <w:left w:w="60" w:type="dxa"/>
              <w:right w:w="60" w:type="dxa"/>
            </w:tcMar>
          </w:tcPr>
          <w:p>
            <w:pPr>
              <w:jc w:val="center"/>
            </w:pPr>
            <w:r>
              <w:rPr>
                <w:sz w:val="17"/>
              </w:rPr>
              <w:t>33.15%</w:t>
            </w:r>
          </w:p>
        </w:tc>
        <w:tc>
          <w:tcPr>
            <w:tcW w:type="dxa" w:w="1152"/>
            <w:shd w:fill="F8FAFC"/>
            <w:tcMar>
              <w:top w:w="50" w:type="dxa"/>
              <w:bottom w:w="50" w:type="dxa"/>
              <w:left w:w="60" w:type="dxa"/>
              <w:right w:w="60" w:type="dxa"/>
            </w:tcMar>
          </w:tcPr>
          <w:p>
            <w:pPr>
              <w:jc w:val="center"/>
            </w:pPr>
            <w:r>
              <w:rPr>
                <w:sz w:val="17"/>
              </w:rPr>
              <w:t>28.97%</w:t>
            </w:r>
          </w:p>
        </w:tc>
        <w:tc>
          <w:tcPr>
            <w:tcW w:type="dxa" w:w="1152"/>
            <w:shd w:fill="F8FAFC"/>
            <w:tcMar>
              <w:top w:w="50" w:type="dxa"/>
              <w:bottom w:w="50" w:type="dxa"/>
              <w:left w:w="60" w:type="dxa"/>
              <w:right w:w="60" w:type="dxa"/>
            </w:tcMar>
          </w:tcPr>
          <w:p>
            <w:pPr>
              <w:jc w:val="center"/>
            </w:pPr>
            <w:r>
              <w:rPr>
                <w:sz w:val="17"/>
              </w:rPr>
              <w:t>53.20%</w:t>
            </w:r>
          </w:p>
        </w:tc>
        <w:tc>
          <w:tcPr>
            <w:tcW w:type="dxa" w:w="1152"/>
            <w:shd w:fill="F8FAFC"/>
            <w:tcMar>
              <w:top w:w="50" w:type="dxa"/>
              <w:bottom w:w="50" w:type="dxa"/>
              <w:left w:w="60" w:type="dxa"/>
              <w:right w:w="60" w:type="dxa"/>
            </w:tcMar>
          </w:tcPr>
          <w:p>
            <w:pPr>
              <w:jc w:val="center"/>
            </w:pPr>
            <w:r>
              <w:rPr>
                <w:sz w:val="17"/>
              </w:rPr>
              <w:t>0.045 ms</w:t>
            </w:r>
          </w:p>
        </w:tc>
      </w:tr>
      <w:tr>
        <w:tc>
          <w:tcPr>
            <w:tcW w:type="dxa" w:w="2160"/>
            <w:shd w:fill="FFFFFF"/>
            <w:tcMar>
              <w:top w:w="50" w:type="dxa"/>
              <w:bottom w:w="50" w:type="dxa"/>
              <w:left w:w="60" w:type="dxa"/>
              <w:right w:w="60" w:type="dxa"/>
            </w:tcMar>
          </w:tcPr>
          <w:p>
            <w:pPr>
              <w:jc w:val="left"/>
            </w:pPr>
            <w:r>
              <w:rPr>
                <w:sz w:val="17"/>
              </w:rPr>
              <w:t>Model B: PyTorch MLP (Deep NN)</w:t>
            </w:r>
          </w:p>
        </w:tc>
        <w:tc>
          <w:tcPr>
            <w:tcW w:type="dxa" w:w="1440"/>
            <w:shd w:fill="FFFFFF"/>
            <w:tcMar>
              <w:top w:w="50" w:type="dxa"/>
              <w:bottom w:w="50" w:type="dxa"/>
              <w:left w:w="60" w:type="dxa"/>
              <w:right w:w="60" w:type="dxa"/>
            </w:tcMar>
          </w:tcPr>
          <w:p>
            <w:pPr>
              <w:jc w:val="left"/>
            </w:pPr>
            <w:r>
              <w:rPr>
                <w:sz w:val="17"/>
              </w:rPr>
              <w:t>22 Tabular Feats</w:t>
            </w:r>
          </w:p>
        </w:tc>
        <w:tc>
          <w:tcPr>
            <w:tcW w:type="dxa" w:w="1152"/>
            <w:shd w:fill="FFFFFF"/>
            <w:tcMar>
              <w:top w:w="50" w:type="dxa"/>
              <w:bottom w:w="50" w:type="dxa"/>
              <w:left w:w="60" w:type="dxa"/>
              <w:right w:w="60" w:type="dxa"/>
            </w:tcMar>
          </w:tcPr>
          <w:p>
            <w:pPr>
              <w:jc w:val="center"/>
            </w:pPr>
            <w:r>
              <w:rPr>
                <w:sz w:val="17"/>
              </w:rPr>
              <w:t>33.87%</w:t>
            </w:r>
          </w:p>
        </w:tc>
        <w:tc>
          <w:tcPr>
            <w:tcW w:type="dxa" w:w="1152"/>
            <w:shd w:fill="FFFFFF"/>
            <w:tcMar>
              <w:top w:w="50" w:type="dxa"/>
              <w:bottom w:w="50" w:type="dxa"/>
              <w:left w:w="60" w:type="dxa"/>
              <w:right w:w="60" w:type="dxa"/>
            </w:tcMar>
          </w:tcPr>
          <w:p>
            <w:pPr>
              <w:jc w:val="center"/>
            </w:pPr>
            <w:r>
              <w:rPr>
                <w:sz w:val="17"/>
              </w:rPr>
              <w:t>31.95%</w:t>
            </w:r>
          </w:p>
        </w:tc>
        <w:tc>
          <w:tcPr>
            <w:tcW w:type="dxa" w:w="1152"/>
            <w:shd w:fill="FFFFFF"/>
            <w:tcMar>
              <w:top w:w="50" w:type="dxa"/>
              <w:bottom w:w="50" w:type="dxa"/>
              <w:left w:w="60" w:type="dxa"/>
              <w:right w:w="60" w:type="dxa"/>
            </w:tcMar>
          </w:tcPr>
          <w:p>
            <w:pPr>
              <w:jc w:val="center"/>
            </w:pPr>
            <w:r>
              <w:rPr>
                <w:sz w:val="17"/>
              </w:rPr>
              <w:t>34.02%</w:t>
            </w:r>
          </w:p>
        </w:tc>
        <w:tc>
          <w:tcPr>
            <w:tcW w:type="dxa" w:w="1152"/>
            <w:shd w:fill="FFFFFF"/>
            <w:tcMar>
              <w:top w:w="50" w:type="dxa"/>
              <w:bottom w:w="50" w:type="dxa"/>
              <w:left w:w="60" w:type="dxa"/>
              <w:right w:w="60" w:type="dxa"/>
            </w:tcMar>
          </w:tcPr>
          <w:p>
            <w:pPr>
              <w:jc w:val="center"/>
            </w:pPr>
            <w:r>
              <w:rPr>
                <w:sz w:val="17"/>
              </w:rPr>
              <w:t>28.52%</w:t>
            </w:r>
          </w:p>
        </w:tc>
        <w:tc>
          <w:tcPr>
            <w:tcW w:type="dxa" w:w="1152"/>
            <w:shd w:fill="FFFFFF"/>
            <w:tcMar>
              <w:top w:w="50" w:type="dxa"/>
              <w:bottom w:w="50" w:type="dxa"/>
              <w:left w:w="60" w:type="dxa"/>
              <w:right w:w="60" w:type="dxa"/>
            </w:tcMar>
          </w:tcPr>
          <w:p>
            <w:pPr>
              <w:jc w:val="center"/>
            </w:pPr>
            <w:r>
              <w:rPr>
                <w:sz w:val="17"/>
              </w:rPr>
              <w:t>52.80%</w:t>
            </w:r>
          </w:p>
        </w:tc>
        <w:tc>
          <w:tcPr>
            <w:tcW w:type="dxa" w:w="1152"/>
            <w:shd w:fill="FFFFFF"/>
            <w:tcMar>
              <w:top w:w="50" w:type="dxa"/>
              <w:bottom w:w="50" w:type="dxa"/>
              <w:left w:w="60" w:type="dxa"/>
              <w:right w:w="60" w:type="dxa"/>
            </w:tcMar>
          </w:tcPr>
          <w:p>
            <w:pPr>
              <w:jc w:val="center"/>
            </w:pPr>
            <w:r>
              <w:rPr>
                <w:sz w:val="17"/>
              </w:rPr>
              <w:t>0.082 ms</w:t>
            </w:r>
          </w:p>
        </w:tc>
      </w:tr>
      <w:tr>
        <w:tc>
          <w:tcPr>
            <w:tcW w:type="dxa" w:w="2160"/>
            <w:shd w:fill="F8FAFC"/>
            <w:tcMar>
              <w:top w:w="50" w:type="dxa"/>
              <w:bottom w:w="50" w:type="dxa"/>
              <w:left w:w="60" w:type="dxa"/>
              <w:right w:w="60" w:type="dxa"/>
            </w:tcMar>
          </w:tcPr>
          <w:p>
            <w:pPr>
              <w:jc w:val="left"/>
            </w:pPr>
            <w:r>
              <w:rPr>
                <w:sz w:val="17"/>
              </w:rPr>
              <w:t>Model C: TimeSeriesConv1D (CNN)</w:t>
            </w:r>
          </w:p>
        </w:tc>
        <w:tc>
          <w:tcPr>
            <w:tcW w:type="dxa" w:w="1440"/>
            <w:shd w:fill="F8FAFC"/>
            <w:tcMar>
              <w:top w:w="50" w:type="dxa"/>
              <w:bottom w:w="50" w:type="dxa"/>
              <w:left w:w="60" w:type="dxa"/>
              <w:right w:w="60" w:type="dxa"/>
            </w:tcMar>
          </w:tcPr>
          <w:p>
            <w:pPr>
              <w:jc w:val="left"/>
            </w:pPr>
            <w:r>
              <w:rPr>
                <w:sz w:val="17"/>
              </w:rPr>
              <w:t>10 Channels x 30 Bars</w:t>
            </w:r>
          </w:p>
        </w:tc>
        <w:tc>
          <w:tcPr>
            <w:tcW w:type="dxa" w:w="1152"/>
            <w:shd w:fill="F8FAFC"/>
            <w:tcMar>
              <w:top w:w="50" w:type="dxa"/>
              <w:bottom w:w="50" w:type="dxa"/>
              <w:left w:w="60" w:type="dxa"/>
              <w:right w:w="60" w:type="dxa"/>
            </w:tcMar>
          </w:tcPr>
          <w:p>
            <w:pPr>
              <w:jc w:val="center"/>
            </w:pPr>
            <w:r>
              <w:rPr>
                <w:sz w:val="17"/>
              </w:rPr>
              <w:t>35.08%</w:t>
            </w:r>
          </w:p>
        </w:tc>
        <w:tc>
          <w:tcPr>
            <w:tcW w:type="dxa" w:w="1152"/>
            <w:shd w:fill="F8FAFC"/>
            <w:tcMar>
              <w:top w:w="50" w:type="dxa"/>
              <w:bottom w:w="50" w:type="dxa"/>
              <w:left w:w="60" w:type="dxa"/>
              <w:right w:w="60" w:type="dxa"/>
            </w:tcMar>
          </w:tcPr>
          <w:p>
            <w:pPr>
              <w:jc w:val="center"/>
            </w:pPr>
            <w:r>
              <w:rPr>
                <w:sz w:val="17"/>
              </w:rPr>
              <w:t>40.00%</w:t>
            </w:r>
          </w:p>
        </w:tc>
        <w:tc>
          <w:tcPr>
            <w:tcW w:type="dxa" w:w="1152"/>
            <w:shd w:fill="F8FAFC"/>
            <w:tcMar>
              <w:top w:w="50" w:type="dxa"/>
              <w:bottom w:w="50" w:type="dxa"/>
              <w:left w:w="60" w:type="dxa"/>
              <w:right w:w="60" w:type="dxa"/>
            </w:tcMar>
          </w:tcPr>
          <w:p>
            <w:pPr>
              <w:jc w:val="center"/>
            </w:pPr>
            <w:r>
              <w:rPr>
                <w:sz w:val="17"/>
              </w:rPr>
              <w:t>37.61%</w:t>
            </w:r>
          </w:p>
        </w:tc>
        <w:tc>
          <w:tcPr>
            <w:tcW w:type="dxa" w:w="1152"/>
            <w:shd w:fill="F8FAFC"/>
            <w:tcMar>
              <w:top w:w="50" w:type="dxa"/>
              <w:bottom w:w="50" w:type="dxa"/>
              <w:left w:w="60" w:type="dxa"/>
              <w:right w:w="60" w:type="dxa"/>
            </w:tcMar>
          </w:tcPr>
          <w:p>
            <w:pPr>
              <w:jc w:val="center"/>
            </w:pPr>
            <w:r>
              <w:rPr>
                <w:sz w:val="17"/>
              </w:rPr>
              <w:t>34.77%</w:t>
            </w:r>
          </w:p>
        </w:tc>
        <w:tc>
          <w:tcPr>
            <w:tcW w:type="dxa" w:w="1152"/>
            <w:shd w:fill="F8FAFC"/>
            <w:tcMar>
              <w:top w:w="50" w:type="dxa"/>
              <w:bottom w:w="50" w:type="dxa"/>
              <w:left w:w="60" w:type="dxa"/>
              <w:right w:w="60" w:type="dxa"/>
            </w:tcMar>
          </w:tcPr>
          <w:p>
            <w:pPr>
              <w:jc w:val="center"/>
            </w:pPr>
            <w:r>
              <w:rPr>
                <w:sz w:val="17"/>
              </w:rPr>
              <w:t>48.26%</w:t>
            </w:r>
          </w:p>
        </w:tc>
        <w:tc>
          <w:tcPr>
            <w:tcW w:type="dxa" w:w="1152"/>
            <w:shd w:fill="F8FAFC"/>
            <w:tcMar>
              <w:top w:w="50" w:type="dxa"/>
              <w:bottom w:w="50" w:type="dxa"/>
              <w:left w:w="60" w:type="dxa"/>
              <w:right w:w="60" w:type="dxa"/>
            </w:tcMar>
          </w:tcPr>
          <w:p>
            <w:pPr>
              <w:jc w:val="center"/>
            </w:pPr>
            <w:r>
              <w:rPr>
                <w:sz w:val="17"/>
              </w:rPr>
              <w:t>0.095 ms</w:t>
            </w:r>
          </w:p>
        </w:tc>
      </w:tr>
    </w:tbl>
    <w:p/>
    <w:p>
      <w:pPr>
        <w:spacing w:before="160" w:after="8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model_comparison_bars.png"/>
                    <pic:cNvPicPr/>
                  </pic:nvPicPr>
                  <pic:blipFill>
                    <a:blip r:embed="rId11"/>
                    <a:stretch>
                      <a:fillRect/>
                    </a:stretch>
                  </pic:blipFill>
                  <pic:spPr>
                    <a:xfrm>
                      <a:off x="0" y="0"/>
                      <a:ext cx="5303520" cy="3182112"/>
                    </a:xfrm>
                    <a:prstGeom prst="rect"/>
                  </pic:spPr>
                </pic:pic>
              </a:graphicData>
            </a:graphic>
          </wp:inline>
        </w:drawing>
      </w:r>
    </w:p>
    <w:p>
      <w:pPr>
        <w:spacing w:after="200"/>
        <w:jc w:val="center"/>
      </w:pPr>
      <w:r>
        <w:rPr>
          <w:i/>
          <w:color w:val="64748B"/>
          <w:sz w:val="18"/>
        </w:rPr>
        <w:t>Figure 3: Baseline Predictive Performance Comparison on Untouched Chronological Test Split (248 Days) Without XAI Feedback.</w:t>
      </w:r>
    </w:p>
    <w:p>
      <w:pPr>
        <w:pStyle w:val="Heading2"/>
      </w:pPr>
      <w:r>
        <w:t>7.2 Explanation Generation Scenarios (SHAP, LIME, Grad-CAM)</w:t>
      </w:r>
    </w:p>
    <w:p>
      <w:pPr>
        <w:spacing w:line="276" w:lineRule="auto" w:after="200"/>
      </w:pPr>
      <w:r>
        <w:t>On test sample candle 2026-05-06 (predicted BUY with 78.5% confidence):</w:t>
        <w:br/>
        <w:t>• SHAP TreeExplainer identified ema_30 (+0.0803), ema_50 (+0.0612), and macd_signal (+0.0415) as the primary positive drivers supporting the BUY signal. Volatility indicators (atr_14: -0.0210) provided negative resistance.</w:t>
        <w:br/>
        <w:t>• LIME TabularExplainer extracted the primary linear decision rule: '-0.27 &lt; rsi_14 &lt;= 0.49' with weight -0.0315, and 'ema_10 &gt; 0.35' with weight +0.0482.</w:t>
        <w:br/>
        <w:t>• Model C 1D Grad-CAM localized peak temporal saliency to bar T-4 (2026-05-02, Saliency = 0.941), identifying that an EMA golden crossover and volume expansion 4 days prior was the decisive causal catalyst. Saliency map visualized in Figure 4.</w:t>
      </w:r>
    </w:p>
    <w:p>
      <w:pPr>
        <w:spacing w:before="160" w:after="80"/>
        <w:jc w:val="center"/>
      </w:pPr>
      <w:r>
        <w:drawing>
          <wp:inline xmlns:a="http://schemas.openxmlformats.org/drawingml/2006/main" xmlns:pic="http://schemas.openxmlformats.org/drawingml/2006/picture">
            <wp:extent cx="5669280" cy="2387065"/>
            <wp:docPr id="4" name="Picture 4"/>
            <wp:cNvGraphicFramePr>
              <a:graphicFrameLocks noChangeAspect="1"/>
            </wp:cNvGraphicFramePr>
            <a:graphic>
              <a:graphicData uri="http://schemas.openxmlformats.org/drawingml/2006/picture">
                <pic:pic>
                  <pic:nvPicPr>
                    <pic:cNvPr id="0" name="gradcam_temporal_heatmap.png"/>
                    <pic:cNvPicPr/>
                  </pic:nvPicPr>
                  <pic:blipFill>
                    <a:blip r:embed="rId12"/>
                    <a:stretch>
                      <a:fillRect/>
                    </a:stretch>
                  </pic:blipFill>
                  <pic:spPr>
                    <a:xfrm>
                      <a:off x="0" y="0"/>
                      <a:ext cx="5669280" cy="2387065"/>
                    </a:xfrm>
                    <a:prstGeom prst="rect"/>
                  </pic:spPr>
                </pic:pic>
              </a:graphicData>
            </a:graphic>
          </wp:inline>
        </w:drawing>
      </w:r>
    </w:p>
    <w:p>
      <w:pPr>
        <w:spacing w:after="200"/>
        <w:jc w:val="center"/>
      </w:pPr>
      <w:r>
        <w:rPr>
          <w:i/>
          <w:color w:val="64748B"/>
          <w:sz w:val="18"/>
        </w:rPr>
        <w:t>Figure 4: Model C (TimeSeriesConv1D) 1D Grad-CAM Temporal Saliency Heatmap across 30-Day Lookback Window (RELIANCE Candle: 2026-05-06).</w:t>
      </w:r>
    </w:p>
    <w:p>
      <w:pPr>
        <w:pStyle w:val="Heading2"/>
      </w:pPr>
      <w:r>
        <w:t>7.3 Closed-Loop Explanation Feedback &amp; Re-Evaluation Outcomes</w:t>
      </w:r>
    </w:p>
    <w:p>
      <w:pPr>
        <w:spacing w:line="276" w:lineRule="auto" w:after="200"/>
      </w:pPr>
      <w:r>
        <w:t>To satisfy the core faculty instruction ('revert the explanation generated into the models involved again and evaluate performance'), we executed controlled feature perturbation experiments:</w:t>
        <w:br/>
        <w:t>1. Intervening on the top-4 SHAP features via empirical mean imputation collapsed BUY class probability from 78.5% to 36.4% (ΔP = -42.1%), successfully flipping the model prediction from BUY to HOLD.</w:t>
        <w:br/>
        <w:t>2. Intervening on the Random-4 Control dropped probability by only -7.1% (no flip).</w:t>
        <w:br/>
        <w:t>3. Intervening on the Least-4 Control dropped probability by only -3.8% (no flip).</w:t>
        <w:br/>
        <w:t>4. Faithfulness Drop Ratio: 42.1% / 7.1% = 5.93x steeper drop for explainer-selected features than random controls, confirming causal faithfulness.</w:t>
        <w:br/>
        <w:t>5. For Model C Grad-CAM, masking the 5-bar peak salient temporal window (bars T-6 to T-2) dropped winning probability by -24.8% and flipped the decision to SELL, compared to only -2.9% for random window masking. Results illustrated in Figure 5.</w:t>
      </w:r>
    </w:p>
    <w:p>
      <w:pPr>
        <w:spacing w:before="160" w:after="80"/>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closed_loop_score_drop.png"/>
                    <pic:cNvPicPr/>
                  </pic:nvPicPr>
                  <pic:blipFill>
                    <a:blip r:embed="rId13"/>
                    <a:stretch>
                      <a:fillRect/>
                    </a:stretch>
                  </pic:blipFill>
                  <pic:spPr>
                    <a:xfrm>
                      <a:off x="0" y="0"/>
                      <a:ext cx="5029200" cy="3017520"/>
                    </a:xfrm>
                    <a:prstGeom prst="rect"/>
                  </pic:spPr>
                </pic:pic>
              </a:graphicData>
            </a:graphic>
          </wp:inline>
        </w:drawing>
      </w:r>
    </w:p>
    <w:p>
      <w:pPr>
        <w:spacing w:after="200"/>
        <w:jc w:val="center"/>
      </w:pPr>
      <w:r>
        <w:rPr>
          <w:i/>
          <w:color w:val="64748B"/>
          <w:sz w:val="18"/>
        </w:rPr>
        <w:t>Figure 5: Closed-Loop Model Re-Evaluation: Target Class Probability Drop ΔP of Top-4 SHAP Features vs Random-4 and Least-4 Control Baselines.</w:t>
      </w:r>
    </w:p>
    <w:p>
      <w:pPr>
        <w:pStyle w:val="Heading2"/>
      </w:pPr>
      <w:r>
        <w:t>7.4 Explanation-Guided Retraining Benchmark Leaderboard</w:t>
      </w:r>
    </w:p>
    <w:p>
      <w:pPr>
        <w:spacing w:line="276" w:lineRule="auto" w:after="200"/>
      </w:pPr>
      <w:r>
        <w:t>To test feature sufficiency globally, we trained 6 model variants on the training split using explanation-derived feature subsets and evaluated them on the untouched 248-day test split. Table 5 and Figure 6 document the benchmark.</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864"/>
            <w:shd w:fill="1E293B"/>
            <w:tcMar>
              <w:top w:w="60" w:type="dxa"/>
              <w:bottom w:w="60" w:type="dxa"/>
              <w:left w:w="60" w:type="dxa"/>
              <w:right w:w="60" w:type="dxa"/>
            </w:tcMar>
          </w:tcPr>
          <w:p>
            <w:pPr>
              <w:jc w:val="center"/>
            </w:pPr>
            <w:r>
              <w:rPr>
                <w:b/>
                <w:color w:val="FFFFFF"/>
                <w:sz w:val="17"/>
              </w:rPr>
              <w:t>Rank</w:t>
            </w:r>
          </w:p>
        </w:tc>
        <w:tc>
          <w:tcPr>
            <w:tcW w:type="dxa" w:w="3312"/>
            <w:shd w:fill="1E293B"/>
            <w:tcMar>
              <w:top w:w="60" w:type="dxa"/>
              <w:bottom w:w="60" w:type="dxa"/>
              <w:left w:w="60" w:type="dxa"/>
              <w:right w:w="60" w:type="dxa"/>
            </w:tcMar>
          </w:tcPr>
          <w:p>
            <w:pPr>
              <w:jc w:val="center"/>
            </w:pPr>
            <w:r>
              <w:rPr>
                <w:b/>
                <w:color w:val="FFFFFF"/>
                <w:sz w:val="17"/>
              </w:rPr>
              <w:t>Model Variant</w:t>
            </w:r>
          </w:p>
        </w:tc>
        <w:tc>
          <w:tcPr>
            <w:tcW w:type="dxa" w:w="1296"/>
            <w:shd w:fill="1E293B"/>
            <w:tcMar>
              <w:top w:w="60" w:type="dxa"/>
              <w:bottom w:w="60" w:type="dxa"/>
              <w:left w:w="60" w:type="dxa"/>
              <w:right w:w="60" w:type="dxa"/>
            </w:tcMar>
          </w:tcPr>
          <w:p>
            <w:pPr>
              <w:jc w:val="center"/>
            </w:pPr>
            <w:r>
              <w:rPr>
                <w:b/>
                <w:color w:val="FFFFFF"/>
                <w:sz w:val="17"/>
              </w:rPr>
              <w:t>Features (#)</w:t>
            </w:r>
          </w:p>
        </w:tc>
        <w:tc>
          <w:tcPr>
            <w:tcW w:type="dxa" w:w="1440"/>
            <w:shd w:fill="1E293B"/>
            <w:tcMar>
              <w:top w:w="60" w:type="dxa"/>
              <w:bottom w:w="60" w:type="dxa"/>
              <w:left w:w="60" w:type="dxa"/>
              <w:right w:w="60" w:type="dxa"/>
            </w:tcMar>
          </w:tcPr>
          <w:p>
            <w:pPr>
              <w:jc w:val="center"/>
            </w:pPr>
            <w:r>
              <w:rPr>
                <w:b/>
                <w:color w:val="FFFFFF"/>
                <w:sz w:val="17"/>
              </w:rPr>
              <w:t>Test Accuracy</w:t>
            </w:r>
          </w:p>
        </w:tc>
        <w:tc>
          <w:tcPr>
            <w:tcW w:type="dxa" w:w="1296"/>
            <w:shd w:fill="1E293B"/>
            <w:tcMar>
              <w:top w:w="60" w:type="dxa"/>
              <w:bottom w:w="60" w:type="dxa"/>
              <w:left w:w="60" w:type="dxa"/>
              <w:right w:w="60" w:type="dxa"/>
            </w:tcMar>
          </w:tcPr>
          <w:p>
            <w:pPr>
              <w:jc w:val="center"/>
            </w:pPr>
            <w:r>
              <w:rPr>
                <w:b/>
                <w:color w:val="FFFFFF"/>
                <w:sz w:val="17"/>
              </w:rPr>
              <w:t>Macro F1</w:t>
            </w:r>
          </w:p>
        </w:tc>
        <w:tc>
          <w:tcPr>
            <w:tcW w:type="dxa" w:w="1296"/>
            <w:shd w:fill="1E293B"/>
            <w:tcMar>
              <w:top w:w="60" w:type="dxa"/>
              <w:bottom w:w="60" w:type="dxa"/>
              <w:left w:w="60" w:type="dxa"/>
              <w:right w:w="60" w:type="dxa"/>
            </w:tcMar>
          </w:tcPr>
          <w:p>
            <w:pPr>
              <w:jc w:val="center"/>
            </w:pPr>
            <w:r>
              <w:rPr>
                <w:b/>
                <w:color w:val="FFFFFF"/>
                <w:sz w:val="17"/>
              </w:rPr>
              <w:t>Log Loss</w:t>
            </w:r>
          </w:p>
        </w:tc>
        <w:tc>
          <w:tcPr>
            <w:tcW w:type="dxa" w:w="1296"/>
            <w:shd w:fill="1E293B"/>
            <w:tcMar>
              <w:top w:w="60" w:type="dxa"/>
              <w:bottom w:w="60" w:type="dxa"/>
              <w:left w:w="60" w:type="dxa"/>
              <w:right w:w="60" w:type="dxa"/>
            </w:tcMar>
          </w:tcPr>
          <w:p>
            <w:pPr>
              <w:jc w:val="center"/>
            </w:pPr>
            <w:r>
              <w:rPr>
                <w:b/>
                <w:color w:val="FFFFFF"/>
                <w:sz w:val="17"/>
              </w:rPr>
              <w:t>Inference Latency</w:t>
            </w:r>
          </w:p>
        </w:tc>
      </w:tr>
      <w:tr>
        <w:tc>
          <w:tcPr>
            <w:tcW w:type="dxa" w:w="864"/>
            <w:shd w:fill="EFF6FF"/>
            <w:tcMar>
              <w:top w:w="50" w:type="dxa"/>
              <w:bottom w:w="50" w:type="dxa"/>
              <w:left w:w="60" w:type="dxa"/>
              <w:right w:w="60" w:type="dxa"/>
            </w:tcMar>
          </w:tcPr>
          <w:p>
            <w:pPr>
              <w:jc w:val="center"/>
            </w:pPr>
            <w:r>
              <w:rPr>
                <w:sz w:val="17"/>
              </w:rPr>
              <w:t>1</w:t>
            </w:r>
          </w:p>
        </w:tc>
        <w:tc>
          <w:tcPr>
            <w:tcW w:type="dxa" w:w="3312"/>
            <w:shd w:fill="EFF6FF"/>
            <w:tcMar>
              <w:top w:w="50" w:type="dxa"/>
              <w:bottom w:w="50" w:type="dxa"/>
              <w:left w:w="60" w:type="dxa"/>
              <w:right w:w="60" w:type="dxa"/>
            </w:tcMar>
          </w:tcPr>
          <w:p>
            <w:pPr>
              <w:jc w:val="left"/>
            </w:pPr>
            <w:r>
              <w:rPr>
                <w:b/>
                <w:color w:val="10B981"/>
                <w:sz w:val="17"/>
              </w:rPr>
              <w:t>SHAP-Selected (Top-6)</w:t>
            </w:r>
          </w:p>
        </w:tc>
        <w:tc>
          <w:tcPr>
            <w:tcW w:type="dxa" w:w="1296"/>
            <w:shd w:fill="EFF6FF"/>
            <w:tcMar>
              <w:top w:w="50" w:type="dxa"/>
              <w:bottom w:w="50" w:type="dxa"/>
              <w:left w:w="60" w:type="dxa"/>
              <w:right w:w="60" w:type="dxa"/>
            </w:tcMar>
          </w:tcPr>
          <w:p>
            <w:pPr>
              <w:jc w:val="center"/>
            </w:pPr>
            <w:r>
              <w:rPr>
                <w:sz w:val="17"/>
              </w:rPr>
              <w:t>6</w:t>
            </w:r>
          </w:p>
        </w:tc>
        <w:tc>
          <w:tcPr>
            <w:tcW w:type="dxa" w:w="1440"/>
            <w:shd w:fill="EFF6FF"/>
            <w:tcMar>
              <w:top w:w="50" w:type="dxa"/>
              <w:bottom w:w="50" w:type="dxa"/>
              <w:left w:w="60" w:type="dxa"/>
              <w:right w:w="60" w:type="dxa"/>
            </w:tcMar>
          </w:tcPr>
          <w:p>
            <w:pPr>
              <w:jc w:val="center"/>
            </w:pPr>
            <w:r>
              <w:rPr>
                <w:sz w:val="17"/>
              </w:rPr>
              <w:t>35.92%</w:t>
            </w:r>
          </w:p>
        </w:tc>
        <w:tc>
          <w:tcPr>
            <w:tcW w:type="dxa" w:w="1296"/>
            <w:shd w:fill="EFF6FF"/>
            <w:tcMar>
              <w:top w:w="50" w:type="dxa"/>
              <w:bottom w:w="50" w:type="dxa"/>
              <w:left w:w="60" w:type="dxa"/>
              <w:right w:w="60" w:type="dxa"/>
            </w:tcMar>
          </w:tcPr>
          <w:p>
            <w:pPr>
              <w:jc w:val="center"/>
            </w:pPr>
            <w:r>
              <w:rPr>
                <w:b/>
                <w:color w:val="10B981"/>
                <w:sz w:val="17"/>
              </w:rPr>
              <w:t>0.3410</w:t>
            </w:r>
          </w:p>
        </w:tc>
        <w:tc>
          <w:tcPr>
            <w:tcW w:type="dxa" w:w="1296"/>
            <w:shd w:fill="EFF6FF"/>
            <w:tcMar>
              <w:top w:w="50" w:type="dxa"/>
              <w:bottom w:w="50" w:type="dxa"/>
              <w:left w:w="60" w:type="dxa"/>
              <w:right w:w="60" w:type="dxa"/>
            </w:tcMar>
          </w:tcPr>
          <w:p>
            <w:pPr>
              <w:jc w:val="center"/>
            </w:pPr>
            <w:r>
              <w:rPr>
                <w:sz w:val="17"/>
              </w:rPr>
              <w:t>1.2399</w:t>
            </w:r>
          </w:p>
        </w:tc>
        <w:tc>
          <w:tcPr>
            <w:tcW w:type="dxa" w:w="1296"/>
            <w:shd w:fill="EFF6FF"/>
            <w:tcMar>
              <w:top w:w="50" w:type="dxa"/>
              <w:bottom w:w="50" w:type="dxa"/>
              <w:left w:w="60" w:type="dxa"/>
              <w:right w:w="60" w:type="dxa"/>
            </w:tcMar>
          </w:tcPr>
          <w:p>
            <w:pPr>
              <w:jc w:val="center"/>
            </w:pPr>
            <w:r>
              <w:rPr>
                <w:sz w:val="17"/>
              </w:rPr>
              <w:t>0.023 ms</w:t>
            </w:r>
          </w:p>
        </w:tc>
      </w:tr>
      <w:tr>
        <w:tc>
          <w:tcPr>
            <w:tcW w:type="dxa" w:w="864"/>
            <w:shd w:fill="FFFFFF"/>
            <w:tcMar>
              <w:top w:w="50" w:type="dxa"/>
              <w:bottom w:w="50" w:type="dxa"/>
              <w:left w:w="60" w:type="dxa"/>
              <w:right w:w="60" w:type="dxa"/>
            </w:tcMar>
          </w:tcPr>
          <w:p>
            <w:pPr>
              <w:jc w:val="center"/>
            </w:pPr>
            <w:r>
              <w:rPr>
                <w:sz w:val="17"/>
              </w:rPr>
              <w:t>2</w:t>
            </w:r>
          </w:p>
        </w:tc>
        <w:tc>
          <w:tcPr>
            <w:tcW w:type="dxa" w:w="3312"/>
            <w:shd w:fill="FFFFFF"/>
            <w:tcMar>
              <w:top w:w="50" w:type="dxa"/>
              <w:bottom w:w="50" w:type="dxa"/>
              <w:left w:w="60" w:type="dxa"/>
              <w:right w:w="60" w:type="dxa"/>
            </w:tcMar>
          </w:tcPr>
          <w:p>
            <w:pPr>
              <w:jc w:val="left"/>
            </w:pPr>
            <w:r>
              <w:rPr>
                <w:sz w:val="17"/>
              </w:rPr>
              <w:t>Random Control (6 Feats)</w:t>
            </w:r>
          </w:p>
        </w:tc>
        <w:tc>
          <w:tcPr>
            <w:tcW w:type="dxa" w:w="1296"/>
            <w:shd w:fill="FFFFFF"/>
            <w:tcMar>
              <w:top w:w="50" w:type="dxa"/>
              <w:bottom w:w="50" w:type="dxa"/>
              <w:left w:w="60" w:type="dxa"/>
              <w:right w:w="60" w:type="dxa"/>
            </w:tcMar>
          </w:tcPr>
          <w:p>
            <w:pPr>
              <w:jc w:val="center"/>
            </w:pPr>
            <w:r>
              <w:rPr>
                <w:sz w:val="17"/>
              </w:rPr>
              <w:t>6</w:t>
            </w:r>
          </w:p>
        </w:tc>
        <w:tc>
          <w:tcPr>
            <w:tcW w:type="dxa" w:w="1440"/>
            <w:shd w:fill="FFFFFF"/>
            <w:tcMar>
              <w:top w:w="50" w:type="dxa"/>
              <w:bottom w:w="50" w:type="dxa"/>
              <w:left w:w="60" w:type="dxa"/>
              <w:right w:w="60" w:type="dxa"/>
            </w:tcMar>
          </w:tcPr>
          <w:p>
            <w:pPr>
              <w:jc w:val="center"/>
            </w:pPr>
            <w:r>
              <w:rPr>
                <w:sz w:val="17"/>
              </w:rPr>
              <w:t>37.55%</w:t>
            </w:r>
          </w:p>
        </w:tc>
        <w:tc>
          <w:tcPr>
            <w:tcW w:type="dxa" w:w="1296"/>
            <w:shd w:fill="FFFFFF"/>
            <w:tcMar>
              <w:top w:w="50" w:type="dxa"/>
              <w:bottom w:w="50" w:type="dxa"/>
              <w:left w:w="60" w:type="dxa"/>
              <w:right w:w="60" w:type="dxa"/>
            </w:tcMar>
          </w:tcPr>
          <w:p>
            <w:pPr>
              <w:jc w:val="center"/>
            </w:pPr>
            <w:r>
              <w:rPr>
                <w:sz w:val="17"/>
              </w:rPr>
              <w:t>0.3280</w:t>
            </w:r>
          </w:p>
        </w:tc>
        <w:tc>
          <w:tcPr>
            <w:tcW w:type="dxa" w:w="1296"/>
            <w:shd w:fill="FFFFFF"/>
            <w:tcMar>
              <w:top w:w="50" w:type="dxa"/>
              <w:bottom w:w="50" w:type="dxa"/>
              <w:left w:w="60" w:type="dxa"/>
              <w:right w:w="60" w:type="dxa"/>
            </w:tcMar>
          </w:tcPr>
          <w:p>
            <w:pPr>
              <w:jc w:val="center"/>
            </w:pPr>
            <w:r>
              <w:rPr>
                <w:sz w:val="17"/>
              </w:rPr>
              <w:t>1.1561</w:t>
            </w:r>
          </w:p>
        </w:tc>
        <w:tc>
          <w:tcPr>
            <w:tcW w:type="dxa" w:w="1296"/>
            <w:shd w:fill="FFFFFF"/>
            <w:tcMar>
              <w:top w:w="50" w:type="dxa"/>
              <w:bottom w:w="50" w:type="dxa"/>
              <w:left w:w="60" w:type="dxa"/>
              <w:right w:w="60" w:type="dxa"/>
            </w:tcMar>
          </w:tcPr>
          <w:p>
            <w:pPr>
              <w:jc w:val="center"/>
            </w:pPr>
            <w:r>
              <w:rPr>
                <w:sz w:val="17"/>
              </w:rPr>
              <w:t>0.022 ms</w:t>
            </w:r>
          </w:p>
        </w:tc>
      </w:tr>
      <w:tr>
        <w:tc>
          <w:tcPr>
            <w:tcW w:type="dxa" w:w="864"/>
            <w:shd w:fill="F8FAFC"/>
            <w:tcMar>
              <w:top w:w="50" w:type="dxa"/>
              <w:bottom w:w="50" w:type="dxa"/>
              <w:left w:w="60" w:type="dxa"/>
              <w:right w:w="60" w:type="dxa"/>
            </w:tcMar>
          </w:tcPr>
          <w:p>
            <w:pPr>
              <w:jc w:val="center"/>
            </w:pPr>
            <w:r>
              <w:rPr>
                <w:sz w:val="17"/>
              </w:rPr>
              <w:t>3</w:t>
            </w:r>
          </w:p>
        </w:tc>
        <w:tc>
          <w:tcPr>
            <w:tcW w:type="dxa" w:w="3312"/>
            <w:shd w:fill="F8FAFC"/>
            <w:tcMar>
              <w:top w:w="50" w:type="dxa"/>
              <w:bottom w:w="50" w:type="dxa"/>
              <w:left w:w="60" w:type="dxa"/>
              <w:right w:w="60" w:type="dxa"/>
            </w:tcMar>
          </w:tcPr>
          <w:p>
            <w:pPr>
              <w:jc w:val="left"/>
            </w:pPr>
            <w:r>
              <w:rPr>
                <w:sz w:val="17"/>
              </w:rPr>
              <w:t>Ablation (Drop Top-3 SHAP)</w:t>
            </w:r>
          </w:p>
        </w:tc>
        <w:tc>
          <w:tcPr>
            <w:tcW w:type="dxa" w:w="1296"/>
            <w:shd w:fill="F8FAFC"/>
            <w:tcMar>
              <w:top w:w="50" w:type="dxa"/>
              <w:bottom w:w="50" w:type="dxa"/>
              <w:left w:w="60" w:type="dxa"/>
              <w:right w:w="60" w:type="dxa"/>
            </w:tcMar>
          </w:tcPr>
          <w:p>
            <w:pPr>
              <w:jc w:val="center"/>
            </w:pPr>
            <w:r>
              <w:rPr>
                <w:sz w:val="17"/>
              </w:rPr>
              <w:t>19</w:t>
            </w:r>
          </w:p>
        </w:tc>
        <w:tc>
          <w:tcPr>
            <w:tcW w:type="dxa" w:w="1440"/>
            <w:shd w:fill="F8FAFC"/>
            <w:tcMar>
              <w:top w:w="50" w:type="dxa"/>
              <w:bottom w:w="50" w:type="dxa"/>
              <w:left w:w="60" w:type="dxa"/>
              <w:right w:w="60" w:type="dxa"/>
            </w:tcMar>
          </w:tcPr>
          <w:p>
            <w:pPr>
              <w:jc w:val="center"/>
            </w:pPr>
            <w:r>
              <w:rPr>
                <w:sz w:val="17"/>
              </w:rPr>
              <w:t>34.69%</w:t>
            </w:r>
          </w:p>
        </w:tc>
        <w:tc>
          <w:tcPr>
            <w:tcW w:type="dxa" w:w="1296"/>
            <w:shd w:fill="F8FAFC"/>
            <w:tcMar>
              <w:top w:w="50" w:type="dxa"/>
              <w:bottom w:w="50" w:type="dxa"/>
              <w:left w:w="60" w:type="dxa"/>
              <w:right w:w="60" w:type="dxa"/>
            </w:tcMar>
          </w:tcPr>
          <w:p>
            <w:pPr>
              <w:jc w:val="center"/>
            </w:pPr>
            <w:r>
              <w:rPr>
                <w:sz w:val="17"/>
              </w:rPr>
              <w:t>0.3083</w:t>
            </w:r>
          </w:p>
        </w:tc>
        <w:tc>
          <w:tcPr>
            <w:tcW w:type="dxa" w:w="1296"/>
            <w:shd w:fill="F8FAFC"/>
            <w:tcMar>
              <w:top w:w="50" w:type="dxa"/>
              <w:bottom w:w="50" w:type="dxa"/>
              <w:left w:w="60" w:type="dxa"/>
              <w:right w:w="60" w:type="dxa"/>
            </w:tcMar>
          </w:tcPr>
          <w:p>
            <w:pPr>
              <w:jc w:val="center"/>
            </w:pPr>
            <w:r>
              <w:rPr>
                <w:sz w:val="17"/>
              </w:rPr>
              <w:t>1.1963</w:t>
            </w:r>
          </w:p>
        </w:tc>
        <w:tc>
          <w:tcPr>
            <w:tcW w:type="dxa" w:w="1296"/>
            <w:shd w:fill="F8FAFC"/>
            <w:tcMar>
              <w:top w:w="50" w:type="dxa"/>
              <w:bottom w:w="50" w:type="dxa"/>
              <w:left w:w="60" w:type="dxa"/>
              <w:right w:w="60" w:type="dxa"/>
            </w:tcMar>
          </w:tcPr>
          <w:p>
            <w:pPr>
              <w:jc w:val="center"/>
            </w:pPr>
            <w:r>
              <w:rPr>
                <w:sz w:val="17"/>
              </w:rPr>
              <w:t>0.041 ms</w:t>
            </w:r>
          </w:p>
        </w:tc>
      </w:tr>
      <w:tr>
        <w:tc>
          <w:tcPr>
            <w:tcW w:type="dxa" w:w="864"/>
            <w:shd w:fill="FFFFFF"/>
            <w:tcMar>
              <w:top w:w="50" w:type="dxa"/>
              <w:bottom w:w="50" w:type="dxa"/>
              <w:left w:w="60" w:type="dxa"/>
              <w:right w:w="60" w:type="dxa"/>
            </w:tcMar>
          </w:tcPr>
          <w:p>
            <w:pPr>
              <w:jc w:val="center"/>
            </w:pPr>
            <w:r>
              <w:rPr>
                <w:sz w:val="17"/>
              </w:rPr>
              <w:t>4</w:t>
            </w:r>
          </w:p>
        </w:tc>
        <w:tc>
          <w:tcPr>
            <w:tcW w:type="dxa" w:w="3312"/>
            <w:shd w:fill="FFFFFF"/>
            <w:tcMar>
              <w:top w:w="50" w:type="dxa"/>
              <w:bottom w:w="50" w:type="dxa"/>
              <w:left w:w="60" w:type="dxa"/>
              <w:right w:w="60" w:type="dxa"/>
            </w:tcMar>
          </w:tcPr>
          <w:p>
            <w:pPr>
              <w:jc w:val="left"/>
            </w:pPr>
            <w:r>
              <w:rPr>
                <w:sz w:val="17"/>
              </w:rPr>
              <w:t>Mutual Info (Top-6)</w:t>
            </w:r>
          </w:p>
        </w:tc>
        <w:tc>
          <w:tcPr>
            <w:tcW w:type="dxa" w:w="1296"/>
            <w:shd w:fill="FFFFFF"/>
            <w:tcMar>
              <w:top w:w="50" w:type="dxa"/>
              <w:bottom w:w="50" w:type="dxa"/>
              <w:left w:w="60" w:type="dxa"/>
              <w:right w:w="60" w:type="dxa"/>
            </w:tcMar>
          </w:tcPr>
          <w:p>
            <w:pPr>
              <w:jc w:val="center"/>
            </w:pPr>
            <w:r>
              <w:rPr>
                <w:sz w:val="17"/>
              </w:rPr>
              <w:t>6</w:t>
            </w:r>
          </w:p>
        </w:tc>
        <w:tc>
          <w:tcPr>
            <w:tcW w:type="dxa" w:w="1440"/>
            <w:shd w:fill="FFFFFF"/>
            <w:tcMar>
              <w:top w:w="50" w:type="dxa"/>
              <w:bottom w:w="50" w:type="dxa"/>
              <w:left w:w="60" w:type="dxa"/>
              <w:right w:w="60" w:type="dxa"/>
            </w:tcMar>
          </w:tcPr>
          <w:p>
            <w:pPr>
              <w:jc w:val="center"/>
            </w:pPr>
            <w:r>
              <w:rPr>
                <w:sz w:val="17"/>
              </w:rPr>
              <w:t>43.67%</w:t>
            </w:r>
          </w:p>
        </w:tc>
        <w:tc>
          <w:tcPr>
            <w:tcW w:type="dxa" w:w="1296"/>
            <w:shd w:fill="FFFFFF"/>
            <w:tcMar>
              <w:top w:w="50" w:type="dxa"/>
              <w:bottom w:w="50" w:type="dxa"/>
              <w:left w:w="60" w:type="dxa"/>
              <w:right w:w="60" w:type="dxa"/>
            </w:tcMar>
          </w:tcPr>
          <w:p>
            <w:pPr>
              <w:jc w:val="center"/>
            </w:pPr>
            <w:r>
              <w:rPr>
                <w:sz w:val="17"/>
              </w:rPr>
              <w:t>0.3062</w:t>
            </w:r>
          </w:p>
        </w:tc>
        <w:tc>
          <w:tcPr>
            <w:tcW w:type="dxa" w:w="1296"/>
            <w:shd w:fill="FFFFFF"/>
            <w:tcMar>
              <w:top w:w="50" w:type="dxa"/>
              <w:bottom w:w="50" w:type="dxa"/>
              <w:left w:w="60" w:type="dxa"/>
              <w:right w:w="60" w:type="dxa"/>
            </w:tcMar>
          </w:tcPr>
          <w:p>
            <w:pPr>
              <w:jc w:val="center"/>
            </w:pPr>
            <w:r>
              <w:rPr>
                <w:sz w:val="17"/>
              </w:rPr>
              <w:t>1.1396</w:t>
            </w:r>
          </w:p>
        </w:tc>
        <w:tc>
          <w:tcPr>
            <w:tcW w:type="dxa" w:w="1296"/>
            <w:shd w:fill="FFFFFF"/>
            <w:tcMar>
              <w:top w:w="50" w:type="dxa"/>
              <w:bottom w:w="50" w:type="dxa"/>
              <w:left w:w="60" w:type="dxa"/>
              <w:right w:w="60" w:type="dxa"/>
            </w:tcMar>
          </w:tcPr>
          <w:p>
            <w:pPr>
              <w:jc w:val="center"/>
            </w:pPr>
            <w:r>
              <w:rPr>
                <w:sz w:val="17"/>
              </w:rPr>
              <w:t>0.023 ms</w:t>
            </w:r>
          </w:p>
        </w:tc>
      </w:tr>
      <w:tr>
        <w:tc>
          <w:tcPr>
            <w:tcW w:type="dxa" w:w="864"/>
            <w:shd w:fill="F8FAFC"/>
            <w:tcMar>
              <w:top w:w="50" w:type="dxa"/>
              <w:bottom w:w="50" w:type="dxa"/>
              <w:left w:w="60" w:type="dxa"/>
              <w:right w:w="60" w:type="dxa"/>
            </w:tcMar>
          </w:tcPr>
          <w:p>
            <w:pPr>
              <w:jc w:val="center"/>
            </w:pPr>
            <w:r>
              <w:rPr>
                <w:sz w:val="17"/>
              </w:rPr>
              <w:t>5</w:t>
            </w:r>
          </w:p>
        </w:tc>
        <w:tc>
          <w:tcPr>
            <w:tcW w:type="dxa" w:w="3312"/>
            <w:shd w:fill="F8FAFC"/>
            <w:tcMar>
              <w:top w:w="50" w:type="dxa"/>
              <w:bottom w:w="50" w:type="dxa"/>
              <w:left w:w="60" w:type="dxa"/>
              <w:right w:w="60" w:type="dxa"/>
            </w:tcMar>
          </w:tcPr>
          <w:p>
            <w:pPr>
              <w:jc w:val="left"/>
            </w:pPr>
            <w:r>
              <w:rPr>
                <w:sz w:val="17"/>
              </w:rPr>
              <w:t>LIME-Selected (Top-6)</w:t>
            </w:r>
          </w:p>
        </w:tc>
        <w:tc>
          <w:tcPr>
            <w:tcW w:type="dxa" w:w="1296"/>
            <w:shd w:fill="F8FAFC"/>
            <w:tcMar>
              <w:top w:w="50" w:type="dxa"/>
              <w:bottom w:w="50" w:type="dxa"/>
              <w:left w:w="60" w:type="dxa"/>
              <w:right w:w="60" w:type="dxa"/>
            </w:tcMar>
          </w:tcPr>
          <w:p>
            <w:pPr>
              <w:jc w:val="center"/>
            </w:pPr>
            <w:r>
              <w:rPr>
                <w:sz w:val="17"/>
              </w:rPr>
              <w:t>6</w:t>
            </w:r>
          </w:p>
        </w:tc>
        <w:tc>
          <w:tcPr>
            <w:tcW w:type="dxa" w:w="1440"/>
            <w:shd w:fill="F8FAFC"/>
            <w:tcMar>
              <w:top w:w="50" w:type="dxa"/>
              <w:bottom w:w="50" w:type="dxa"/>
              <w:left w:w="60" w:type="dxa"/>
              <w:right w:w="60" w:type="dxa"/>
            </w:tcMar>
          </w:tcPr>
          <w:p>
            <w:pPr>
              <w:jc w:val="center"/>
            </w:pPr>
            <w:r>
              <w:rPr>
                <w:sz w:val="17"/>
              </w:rPr>
              <w:t>34.29%</w:t>
            </w:r>
          </w:p>
        </w:tc>
        <w:tc>
          <w:tcPr>
            <w:tcW w:type="dxa" w:w="1296"/>
            <w:shd w:fill="F8FAFC"/>
            <w:tcMar>
              <w:top w:w="50" w:type="dxa"/>
              <w:bottom w:w="50" w:type="dxa"/>
              <w:left w:w="60" w:type="dxa"/>
              <w:right w:w="60" w:type="dxa"/>
            </w:tcMar>
          </w:tcPr>
          <w:p>
            <w:pPr>
              <w:jc w:val="center"/>
            </w:pPr>
            <w:r>
              <w:rPr>
                <w:sz w:val="17"/>
              </w:rPr>
              <w:t>0.2993</w:t>
            </w:r>
          </w:p>
        </w:tc>
        <w:tc>
          <w:tcPr>
            <w:tcW w:type="dxa" w:w="1296"/>
            <w:shd w:fill="F8FAFC"/>
            <w:tcMar>
              <w:top w:w="50" w:type="dxa"/>
              <w:bottom w:w="50" w:type="dxa"/>
              <w:left w:w="60" w:type="dxa"/>
              <w:right w:w="60" w:type="dxa"/>
            </w:tcMar>
          </w:tcPr>
          <w:p>
            <w:pPr>
              <w:jc w:val="center"/>
            </w:pPr>
            <w:r>
              <w:rPr>
                <w:sz w:val="17"/>
              </w:rPr>
              <w:t>1.1718</w:t>
            </w:r>
          </w:p>
        </w:tc>
        <w:tc>
          <w:tcPr>
            <w:tcW w:type="dxa" w:w="1296"/>
            <w:shd w:fill="F8FAFC"/>
            <w:tcMar>
              <w:top w:w="50" w:type="dxa"/>
              <w:bottom w:w="50" w:type="dxa"/>
              <w:left w:w="60" w:type="dxa"/>
              <w:right w:w="60" w:type="dxa"/>
            </w:tcMar>
          </w:tcPr>
          <w:p>
            <w:pPr>
              <w:jc w:val="center"/>
            </w:pPr>
            <w:r>
              <w:rPr>
                <w:sz w:val="17"/>
              </w:rPr>
              <w:t>0.023 ms</w:t>
            </w:r>
          </w:p>
        </w:tc>
      </w:tr>
      <w:tr>
        <w:tc>
          <w:tcPr>
            <w:tcW w:type="dxa" w:w="864"/>
            <w:shd w:fill="FFFFFF"/>
            <w:tcMar>
              <w:top w:w="50" w:type="dxa"/>
              <w:bottom w:w="50" w:type="dxa"/>
              <w:left w:w="60" w:type="dxa"/>
              <w:right w:w="60" w:type="dxa"/>
            </w:tcMar>
          </w:tcPr>
          <w:p>
            <w:pPr>
              <w:jc w:val="center"/>
            </w:pPr>
            <w:r>
              <w:rPr>
                <w:sz w:val="17"/>
              </w:rPr>
              <w:t>6</w:t>
            </w:r>
          </w:p>
        </w:tc>
        <w:tc>
          <w:tcPr>
            <w:tcW w:type="dxa" w:w="3312"/>
            <w:shd w:fill="FFFFFF"/>
            <w:tcMar>
              <w:top w:w="50" w:type="dxa"/>
              <w:bottom w:w="50" w:type="dxa"/>
              <w:left w:w="60" w:type="dxa"/>
              <w:right w:w="60" w:type="dxa"/>
            </w:tcMar>
          </w:tcPr>
          <w:p>
            <w:pPr>
              <w:jc w:val="left"/>
            </w:pPr>
            <w:r>
              <w:rPr>
                <w:sz w:val="17"/>
              </w:rPr>
              <w:t>Full Baseline (All 22)</w:t>
            </w:r>
          </w:p>
        </w:tc>
        <w:tc>
          <w:tcPr>
            <w:tcW w:type="dxa" w:w="1296"/>
            <w:shd w:fill="FFFFFF"/>
            <w:tcMar>
              <w:top w:w="50" w:type="dxa"/>
              <w:bottom w:w="50" w:type="dxa"/>
              <w:left w:w="60" w:type="dxa"/>
              <w:right w:w="60" w:type="dxa"/>
            </w:tcMar>
          </w:tcPr>
          <w:p>
            <w:pPr>
              <w:jc w:val="center"/>
            </w:pPr>
            <w:r>
              <w:rPr>
                <w:sz w:val="17"/>
              </w:rPr>
              <w:t>22</w:t>
            </w:r>
          </w:p>
        </w:tc>
        <w:tc>
          <w:tcPr>
            <w:tcW w:type="dxa" w:w="1440"/>
            <w:shd w:fill="FFFFFF"/>
            <w:tcMar>
              <w:top w:w="50" w:type="dxa"/>
              <w:bottom w:w="50" w:type="dxa"/>
              <w:left w:w="60" w:type="dxa"/>
              <w:right w:w="60" w:type="dxa"/>
            </w:tcMar>
          </w:tcPr>
          <w:p>
            <w:pPr>
              <w:jc w:val="center"/>
            </w:pPr>
            <w:r>
              <w:rPr>
                <w:sz w:val="17"/>
              </w:rPr>
              <w:t>32.24%</w:t>
            </w:r>
          </w:p>
        </w:tc>
        <w:tc>
          <w:tcPr>
            <w:tcW w:type="dxa" w:w="1296"/>
            <w:shd w:fill="FFFFFF"/>
            <w:tcMar>
              <w:top w:w="50" w:type="dxa"/>
              <w:bottom w:w="50" w:type="dxa"/>
              <w:left w:w="60" w:type="dxa"/>
              <w:right w:w="60" w:type="dxa"/>
            </w:tcMar>
          </w:tcPr>
          <w:p>
            <w:pPr>
              <w:jc w:val="center"/>
            </w:pPr>
            <w:r>
              <w:rPr>
                <w:sz w:val="17"/>
              </w:rPr>
              <w:t>0.2897</w:t>
            </w:r>
          </w:p>
        </w:tc>
        <w:tc>
          <w:tcPr>
            <w:tcW w:type="dxa" w:w="1296"/>
            <w:shd w:fill="FFFFFF"/>
            <w:tcMar>
              <w:top w:w="50" w:type="dxa"/>
              <w:bottom w:w="50" w:type="dxa"/>
              <w:left w:w="60" w:type="dxa"/>
              <w:right w:w="60" w:type="dxa"/>
            </w:tcMar>
          </w:tcPr>
          <w:p>
            <w:pPr>
              <w:jc w:val="center"/>
            </w:pPr>
            <w:r>
              <w:rPr>
                <w:sz w:val="17"/>
              </w:rPr>
              <w:t>1.2589</w:t>
            </w:r>
          </w:p>
        </w:tc>
        <w:tc>
          <w:tcPr>
            <w:tcW w:type="dxa" w:w="1296"/>
            <w:shd w:fill="FFFFFF"/>
            <w:tcMar>
              <w:top w:w="50" w:type="dxa"/>
              <w:bottom w:w="50" w:type="dxa"/>
              <w:left w:w="60" w:type="dxa"/>
              <w:right w:w="60" w:type="dxa"/>
            </w:tcMar>
          </w:tcPr>
          <w:p>
            <w:pPr>
              <w:jc w:val="center"/>
            </w:pPr>
            <w:r>
              <w:rPr>
                <w:sz w:val="17"/>
              </w:rPr>
              <w:t>0.045 ms</w:t>
            </w:r>
          </w:p>
        </w:tc>
      </w:tr>
    </w:tbl>
    <w:p/>
    <w:p>
      <w:pPr>
        <w:spacing w:before="160" w:after="80"/>
        <w:jc w:val="center"/>
      </w:pPr>
      <w:r>
        <w:drawing>
          <wp:inline xmlns:a="http://schemas.openxmlformats.org/drawingml/2006/main" xmlns:pic="http://schemas.openxmlformats.org/drawingml/2006/picture">
            <wp:extent cx="5486400" cy="2880360"/>
            <wp:docPr id="6" name="Picture 6"/>
            <wp:cNvGraphicFramePr>
              <a:graphicFrameLocks noChangeAspect="1"/>
            </wp:cNvGraphicFramePr>
            <a:graphic>
              <a:graphicData uri="http://schemas.openxmlformats.org/drawingml/2006/picture">
                <pic:pic>
                  <pic:nvPicPr>
                    <pic:cNvPr id="0" name="retraining_leaderboard_f1.png"/>
                    <pic:cNvPicPr/>
                  </pic:nvPicPr>
                  <pic:blipFill>
                    <a:blip r:embed="rId14"/>
                    <a:stretch>
                      <a:fillRect/>
                    </a:stretch>
                  </pic:blipFill>
                  <pic:spPr>
                    <a:xfrm>
                      <a:off x="0" y="0"/>
                      <a:ext cx="5486400" cy="2880360"/>
                    </a:xfrm>
                    <a:prstGeom prst="rect"/>
                  </pic:spPr>
                </pic:pic>
              </a:graphicData>
            </a:graphic>
          </wp:inline>
        </w:drawing>
      </w:r>
    </w:p>
    <w:p>
      <w:pPr>
        <w:spacing w:after="200"/>
        <w:jc w:val="center"/>
      </w:pPr>
      <w:r>
        <w:rPr>
          <w:i/>
          <w:color w:val="64748B"/>
          <w:sz w:val="18"/>
        </w:rPr>
        <w:t>Figure 6: Explanation-Guided Retraining Benchmark: Out-of-Sample Macro F1 Score Across 6 Model Variants on Untouched Test Split.</w:t>
      </w:r>
    </w:p>
    <w:p>
      <w:pPr>
        <w:pStyle w:val="Heading2"/>
      </w:pPr>
      <w:r>
        <w:t>7.5 Quantitative 10-Metric Scientific XAI Quality Evaluation</w:t>
      </w:r>
    </w:p>
    <w:p>
      <w:pPr>
        <w:spacing w:line="276" w:lineRule="auto" w:after="200"/>
      </w:pPr>
      <w:r>
        <w:t>Table 6 documents the comprehensive quantitative benchmarking across all 10 faculty-mandated XAI quality dimensions, comparing SHAP, LIME, and Grad-CAM head-to-head on identical test samples.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576"/>
            <w:shd w:fill="1E293B"/>
            <w:tcMar>
              <w:top w:w="60" w:type="dxa"/>
              <w:bottom w:w="60" w:type="dxa"/>
              <w:left w:w="60" w:type="dxa"/>
              <w:right w:w="60" w:type="dxa"/>
            </w:tcMar>
          </w:tcPr>
          <w:p>
            <w:pPr>
              <w:jc w:val="center"/>
            </w:pPr>
            <w:r>
              <w:rPr>
                <w:b/>
                <w:color w:val="FFFFFF"/>
                <w:sz w:val="17"/>
              </w:rPr>
              <w:t>#</w:t>
            </w:r>
          </w:p>
        </w:tc>
        <w:tc>
          <w:tcPr>
            <w:tcW w:type="dxa" w:w="3168"/>
            <w:shd w:fill="1E293B"/>
            <w:tcMar>
              <w:top w:w="60" w:type="dxa"/>
              <w:bottom w:w="60" w:type="dxa"/>
              <w:left w:w="60" w:type="dxa"/>
              <w:right w:w="60" w:type="dxa"/>
            </w:tcMar>
          </w:tcPr>
          <w:p>
            <w:pPr>
              <w:jc w:val="center"/>
            </w:pPr>
            <w:r>
              <w:rPr>
                <w:b/>
                <w:color w:val="FFFFFF"/>
                <w:sz w:val="17"/>
              </w:rPr>
              <w:t>Academic Metric</w:t>
            </w:r>
          </w:p>
        </w:tc>
        <w:tc>
          <w:tcPr>
            <w:tcW w:type="dxa" w:w="1584"/>
            <w:shd w:fill="1E293B"/>
            <w:tcMar>
              <w:top w:w="60" w:type="dxa"/>
              <w:bottom w:w="60" w:type="dxa"/>
              <w:left w:w="60" w:type="dxa"/>
              <w:right w:w="60" w:type="dxa"/>
            </w:tcMar>
          </w:tcPr>
          <w:p>
            <w:pPr>
              <w:jc w:val="center"/>
            </w:pPr>
            <w:r>
              <w:rPr>
                <w:b/>
                <w:color w:val="FFFFFF"/>
                <w:sz w:val="17"/>
              </w:rPr>
              <w:t>SHAP</w:t>
            </w:r>
          </w:p>
        </w:tc>
        <w:tc>
          <w:tcPr>
            <w:tcW w:type="dxa" w:w="1584"/>
            <w:shd w:fill="1E293B"/>
            <w:tcMar>
              <w:top w:w="60" w:type="dxa"/>
              <w:bottom w:w="60" w:type="dxa"/>
              <w:left w:w="60" w:type="dxa"/>
              <w:right w:w="60" w:type="dxa"/>
            </w:tcMar>
          </w:tcPr>
          <w:p>
            <w:pPr>
              <w:jc w:val="center"/>
            </w:pPr>
            <w:r>
              <w:rPr>
                <w:b/>
                <w:color w:val="FFFFFF"/>
                <w:sz w:val="17"/>
              </w:rPr>
              <w:t>LIME</w:t>
            </w:r>
          </w:p>
        </w:tc>
        <w:tc>
          <w:tcPr>
            <w:tcW w:type="dxa" w:w="1584"/>
            <w:shd w:fill="1E293B"/>
            <w:tcMar>
              <w:top w:w="60" w:type="dxa"/>
              <w:bottom w:w="60" w:type="dxa"/>
              <w:left w:w="60" w:type="dxa"/>
              <w:right w:w="60" w:type="dxa"/>
            </w:tcMar>
          </w:tcPr>
          <w:p>
            <w:pPr>
              <w:jc w:val="center"/>
            </w:pPr>
            <w:r>
              <w:rPr>
                <w:b/>
                <w:color w:val="FFFFFF"/>
                <w:sz w:val="17"/>
              </w:rPr>
              <w:t>Model C Grad-CAM</w:t>
            </w:r>
          </w:p>
        </w:tc>
        <w:tc>
          <w:tcPr>
            <w:tcW w:type="dxa" w:w="2304"/>
            <w:shd w:fill="1E293B"/>
            <w:tcMar>
              <w:top w:w="60" w:type="dxa"/>
              <w:bottom w:w="60" w:type="dxa"/>
              <w:left w:w="60" w:type="dxa"/>
              <w:right w:w="60" w:type="dxa"/>
            </w:tcMar>
          </w:tcPr>
          <w:p>
            <w:pPr>
              <w:jc w:val="center"/>
            </w:pPr>
            <w:r>
              <w:rPr>
                <w:b/>
                <w:color w:val="FFFFFF"/>
                <w:sz w:val="17"/>
              </w:rPr>
              <w:t>Scientific Winner &amp; Interpretation</w:t>
            </w:r>
          </w:p>
        </w:tc>
      </w:tr>
      <w:tr>
        <w:tc>
          <w:tcPr>
            <w:tcW w:type="dxa" w:w="576"/>
            <w:shd w:fill="F8FAFC"/>
            <w:tcMar>
              <w:top w:w="50" w:type="dxa"/>
              <w:bottom w:w="50" w:type="dxa"/>
              <w:left w:w="60" w:type="dxa"/>
              <w:right w:w="60" w:type="dxa"/>
            </w:tcMar>
          </w:tcPr>
          <w:p>
            <w:pPr>
              <w:jc w:val="center"/>
            </w:pPr>
            <w:r>
              <w:rPr>
                <w:sz w:val="17"/>
              </w:rPr>
              <w:t>1</w:t>
            </w:r>
          </w:p>
        </w:tc>
        <w:tc>
          <w:tcPr>
            <w:tcW w:type="dxa" w:w="3168"/>
            <w:shd w:fill="F8FAFC"/>
            <w:tcMar>
              <w:top w:w="50" w:type="dxa"/>
              <w:bottom w:w="50" w:type="dxa"/>
              <w:left w:w="60" w:type="dxa"/>
              <w:right w:w="60" w:type="dxa"/>
            </w:tcMar>
          </w:tcPr>
          <w:p>
            <w:pPr>
              <w:jc w:val="left"/>
            </w:pPr>
            <w:r>
              <w:rPr>
                <w:sz w:val="17"/>
              </w:rPr>
              <w:t>Stability (Cosine Sim, 0.05σ)</w:t>
            </w:r>
          </w:p>
        </w:tc>
        <w:tc>
          <w:tcPr>
            <w:tcW w:type="dxa" w:w="1584"/>
            <w:shd w:fill="F8FAFC"/>
            <w:tcMar>
              <w:top w:w="50" w:type="dxa"/>
              <w:bottom w:w="50" w:type="dxa"/>
              <w:left w:w="60" w:type="dxa"/>
              <w:right w:w="60" w:type="dxa"/>
            </w:tcMar>
          </w:tcPr>
          <w:p>
            <w:pPr>
              <w:jc w:val="center"/>
            </w:pPr>
            <w:r>
              <w:rPr>
                <w:sz w:val="17"/>
              </w:rPr>
              <w:t>0.941</w:t>
            </w:r>
          </w:p>
        </w:tc>
        <w:tc>
          <w:tcPr>
            <w:tcW w:type="dxa" w:w="1584"/>
            <w:shd w:fill="F8FAFC"/>
            <w:tcMar>
              <w:top w:w="50" w:type="dxa"/>
              <w:bottom w:w="50" w:type="dxa"/>
              <w:left w:w="60" w:type="dxa"/>
              <w:right w:w="60" w:type="dxa"/>
            </w:tcMar>
          </w:tcPr>
          <w:p>
            <w:pPr>
              <w:jc w:val="center"/>
            </w:pPr>
            <w:r>
              <w:rPr>
                <w:sz w:val="17"/>
              </w:rPr>
              <w:t>0.724</w:t>
            </w:r>
          </w:p>
        </w:tc>
        <w:tc>
          <w:tcPr>
            <w:tcW w:type="dxa" w:w="1584"/>
            <w:shd w:fill="F8FAFC"/>
            <w:tcMar>
              <w:top w:w="50" w:type="dxa"/>
              <w:bottom w:w="50" w:type="dxa"/>
              <w:left w:w="60" w:type="dxa"/>
              <w:right w:w="60" w:type="dxa"/>
            </w:tcMar>
          </w:tcPr>
          <w:p>
            <w:pPr>
              <w:jc w:val="center"/>
            </w:pPr>
            <w:r>
              <w:rPr>
                <w:sz w:val="17"/>
              </w:rPr>
              <w:t>0.912</w:t>
            </w:r>
          </w:p>
        </w:tc>
        <w:tc>
          <w:tcPr>
            <w:tcW w:type="dxa" w:w="2304"/>
            <w:shd w:fill="F8FAFC"/>
            <w:tcMar>
              <w:top w:w="50" w:type="dxa"/>
              <w:bottom w:w="50" w:type="dxa"/>
              <w:left w:w="60" w:type="dxa"/>
              <w:right w:w="60" w:type="dxa"/>
            </w:tcMar>
          </w:tcPr>
          <w:p>
            <w:pPr>
              <w:jc w:val="left"/>
            </w:pPr>
            <w:r>
              <w:rPr>
                <w:b/>
                <w:color w:val="7C3AED"/>
                <w:sz w:val="17"/>
              </w:rPr>
              <w:t>SHAP (Tree Invariant)</w:t>
            </w:r>
          </w:p>
        </w:tc>
      </w:tr>
      <w:tr>
        <w:tc>
          <w:tcPr>
            <w:tcW w:type="dxa" w:w="576"/>
            <w:shd w:fill="FFFFFF"/>
            <w:tcMar>
              <w:top w:w="50" w:type="dxa"/>
              <w:bottom w:w="50" w:type="dxa"/>
              <w:left w:w="60" w:type="dxa"/>
              <w:right w:w="60" w:type="dxa"/>
            </w:tcMar>
          </w:tcPr>
          <w:p>
            <w:pPr>
              <w:jc w:val="center"/>
            </w:pPr>
            <w:r>
              <w:rPr>
                <w:sz w:val="17"/>
              </w:rPr>
              <w:t>2</w:t>
            </w:r>
          </w:p>
        </w:tc>
        <w:tc>
          <w:tcPr>
            <w:tcW w:type="dxa" w:w="3168"/>
            <w:shd w:fill="FFFFFF"/>
            <w:tcMar>
              <w:top w:w="50" w:type="dxa"/>
              <w:bottom w:w="50" w:type="dxa"/>
              <w:left w:w="60" w:type="dxa"/>
              <w:right w:w="60" w:type="dxa"/>
            </w:tcMar>
          </w:tcPr>
          <w:p>
            <w:pPr>
              <w:jc w:val="left"/>
            </w:pPr>
            <w:r>
              <w:rPr>
                <w:sz w:val="17"/>
              </w:rPr>
              <w:t>Consistency (Spearman ρ)</w:t>
            </w:r>
          </w:p>
        </w:tc>
        <w:tc>
          <w:tcPr>
            <w:tcW w:type="dxa" w:w="1584"/>
            <w:shd w:fill="FFFFFF"/>
            <w:tcMar>
              <w:top w:w="50" w:type="dxa"/>
              <w:bottom w:w="50" w:type="dxa"/>
              <w:left w:w="60" w:type="dxa"/>
              <w:right w:w="60" w:type="dxa"/>
            </w:tcMar>
          </w:tcPr>
          <w:p>
            <w:pPr>
              <w:jc w:val="center"/>
            </w:pPr>
            <w:r>
              <w:rPr>
                <w:sz w:val="17"/>
              </w:rPr>
              <w:t>ρ = 0.352</w:t>
            </w:r>
          </w:p>
        </w:tc>
        <w:tc>
          <w:tcPr>
            <w:tcW w:type="dxa" w:w="1584"/>
            <w:shd w:fill="FFFFFF"/>
            <w:tcMar>
              <w:top w:w="50" w:type="dxa"/>
              <w:bottom w:w="50" w:type="dxa"/>
              <w:left w:w="60" w:type="dxa"/>
              <w:right w:w="60" w:type="dxa"/>
            </w:tcMar>
          </w:tcPr>
          <w:p>
            <w:pPr>
              <w:jc w:val="center"/>
            </w:pPr>
            <w:r>
              <w:rPr>
                <w:sz w:val="17"/>
              </w:rPr>
              <w:t>τ = 0.284</w:t>
            </w:r>
          </w:p>
        </w:tc>
        <w:tc>
          <w:tcPr>
            <w:tcW w:type="dxa" w:w="1584"/>
            <w:shd w:fill="FFFFFF"/>
            <w:tcMar>
              <w:top w:w="50" w:type="dxa"/>
              <w:bottom w:w="50" w:type="dxa"/>
              <w:left w:w="60" w:type="dxa"/>
              <w:right w:w="60" w:type="dxa"/>
            </w:tcMar>
          </w:tcPr>
          <w:p>
            <w:pPr>
              <w:jc w:val="center"/>
            </w:pPr>
            <w:r>
              <w:rPr>
                <w:sz w:val="17"/>
              </w:rPr>
              <w:t>Jaccard = 0.40</w:t>
            </w:r>
          </w:p>
        </w:tc>
        <w:tc>
          <w:tcPr>
            <w:tcW w:type="dxa" w:w="2304"/>
            <w:shd w:fill="FFFFFF"/>
            <w:tcMar>
              <w:top w:w="50" w:type="dxa"/>
              <w:bottom w:w="50" w:type="dxa"/>
              <w:left w:w="60" w:type="dxa"/>
              <w:right w:w="60" w:type="dxa"/>
            </w:tcMar>
          </w:tcPr>
          <w:p>
            <w:pPr>
              <w:jc w:val="left"/>
            </w:pPr>
            <w:r>
              <w:rPr>
                <w:b/>
                <w:color w:val="7C3AED"/>
                <w:sz w:val="17"/>
              </w:rPr>
              <w:t>Moderate Cross-Agreement</w:t>
            </w:r>
          </w:p>
        </w:tc>
      </w:tr>
      <w:tr>
        <w:tc>
          <w:tcPr>
            <w:tcW w:type="dxa" w:w="576"/>
            <w:shd w:fill="F8FAFC"/>
            <w:tcMar>
              <w:top w:w="50" w:type="dxa"/>
              <w:bottom w:w="50" w:type="dxa"/>
              <w:left w:w="60" w:type="dxa"/>
              <w:right w:w="60" w:type="dxa"/>
            </w:tcMar>
          </w:tcPr>
          <w:p>
            <w:pPr>
              <w:jc w:val="center"/>
            </w:pPr>
            <w:r>
              <w:rPr>
                <w:sz w:val="17"/>
              </w:rPr>
              <w:t>3</w:t>
            </w:r>
          </w:p>
        </w:tc>
        <w:tc>
          <w:tcPr>
            <w:tcW w:type="dxa" w:w="3168"/>
            <w:shd w:fill="F8FAFC"/>
            <w:tcMar>
              <w:top w:w="50" w:type="dxa"/>
              <w:bottom w:w="50" w:type="dxa"/>
              <w:left w:w="60" w:type="dxa"/>
              <w:right w:w="60" w:type="dxa"/>
            </w:tcMar>
          </w:tcPr>
          <w:p>
            <w:pPr>
              <w:jc w:val="left"/>
            </w:pPr>
            <w:r>
              <w:rPr>
                <w:sz w:val="17"/>
              </w:rPr>
              <w:t>Faithfulness (Monotonicity)</w:t>
            </w:r>
          </w:p>
        </w:tc>
        <w:tc>
          <w:tcPr>
            <w:tcW w:type="dxa" w:w="1584"/>
            <w:shd w:fill="F8FAFC"/>
            <w:tcMar>
              <w:top w:w="50" w:type="dxa"/>
              <w:bottom w:w="50" w:type="dxa"/>
              <w:left w:w="60" w:type="dxa"/>
              <w:right w:w="60" w:type="dxa"/>
            </w:tcMar>
          </w:tcPr>
          <w:p>
            <w:pPr>
              <w:jc w:val="center"/>
            </w:pPr>
            <w:r>
              <w:rPr>
                <w:sz w:val="17"/>
              </w:rPr>
              <w:t>0.833</w:t>
            </w:r>
          </w:p>
        </w:tc>
        <w:tc>
          <w:tcPr>
            <w:tcW w:type="dxa" w:w="1584"/>
            <w:shd w:fill="F8FAFC"/>
            <w:tcMar>
              <w:top w:w="50" w:type="dxa"/>
              <w:bottom w:w="50" w:type="dxa"/>
              <w:left w:w="60" w:type="dxa"/>
              <w:right w:w="60" w:type="dxa"/>
            </w:tcMar>
          </w:tcPr>
          <w:p>
            <w:pPr>
              <w:jc w:val="center"/>
            </w:pPr>
            <w:r>
              <w:rPr>
                <w:sz w:val="17"/>
              </w:rPr>
              <w:t>0.667</w:t>
            </w:r>
          </w:p>
        </w:tc>
        <w:tc>
          <w:tcPr>
            <w:tcW w:type="dxa" w:w="1584"/>
            <w:shd w:fill="F8FAFC"/>
            <w:tcMar>
              <w:top w:w="50" w:type="dxa"/>
              <w:bottom w:w="50" w:type="dxa"/>
              <w:left w:w="60" w:type="dxa"/>
              <w:right w:w="60" w:type="dxa"/>
            </w:tcMar>
          </w:tcPr>
          <w:p>
            <w:pPr>
              <w:jc w:val="center"/>
            </w:pPr>
            <w:r>
              <w:rPr>
                <w:sz w:val="17"/>
              </w:rPr>
              <w:t>Confirmed</w:t>
            </w:r>
          </w:p>
        </w:tc>
        <w:tc>
          <w:tcPr>
            <w:tcW w:type="dxa" w:w="2304"/>
            <w:shd w:fill="F8FAFC"/>
            <w:tcMar>
              <w:top w:w="50" w:type="dxa"/>
              <w:bottom w:w="50" w:type="dxa"/>
              <w:left w:w="60" w:type="dxa"/>
              <w:right w:w="60" w:type="dxa"/>
            </w:tcMar>
          </w:tcPr>
          <w:p>
            <w:pPr>
              <w:jc w:val="left"/>
            </w:pPr>
            <w:r>
              <w:rPr>
                <w:b/>
                <w:color w:val="7C3AED"/>
                <w:sz w:val="17"/>
              </w:rPr>
              <w:t>SHAP (Steeper Deletion AUC)</w:t>
            </w:r>
          </w:p>
        </w:tc>
      </w:tr>
      <w:tr>
        <w:tc>
          <w:tcPr>
            <w:tcW w:type="dxa" w:w="576"/>
            <w:shd w:fill="FFFFFF"/>
            <w:tcMar>
              <w:top w:w="50" w:type="dxa"/>
              <w:bottom w:w="50" w:type="dxa"/>
              <w:left w:w="60" w:type="dxa"/>
              <w:right w:w="60" w:type="dxa"/>
            </w:tcMar>
          </w:tcPr>
          <w:p>
            <w:pPr>
              <w:jc w:val="center"/>
            </w:pPr>
            <w:r>
              <w:rPr>
                <w:sz w:val="17"/>
              </w:rPr>
              <w:t>4</w:t>
            </w:r>
          </w:p>
        </w:tc>
        <w:tc>
          <w:tcPr>
            <w:tcW w:type="dxa" w:w="3168"/>
            <w:shd w:fill="FFFFFF"/>
            <w:tcMar>
              <w:top w:w="50" w:type="dxa"/>
              <w:bottom w:w="50" w:type="dxa"/>
              <w:left w:w="60" w:type="dxa"/>
              <w:right w:w="60" w:type="dxa"/>
            </w:tcMar>
          </w:tcPr>
          <w:p>
            <w:pPr>
              <w:jc w:val="left"/>
            </w:pPr>
            <w:r>
              <w:rPr>
                <w:sz w:val="17"/>
              </w:rPr>
              <w:t>Fidelity (Additivity / R²)</w:t>
            </w:r>
          </w:p>
        </w:tc>
        <w:tc>
          <w:tcPr>
            <w:tcW w:type="dxa" w:w="1584"/>
            <w:shd w:fill="FFFFFF"/>
            <w:tcMar>
              <w:top w:w="50" w:type="dxa"/>
              <w:bottom w:w="50" w:type="dxa"/>
              <w:left w:w="60" w:type="dxa"/>
              <w:right w:w="60" w:type="dxa"/>
            </w:tcMar>
          </w:tcPr>
          <w:p>
            <w:pPr>
              <w:jc w:val="center"/>
            </w:pPr>
            <w:r>
              <w:rPr>
                <w:sz w:val="17"/>
              </w:rPr>
              <w:t>1.000</w:t>
            </w:r>
          </w:p>
        </w:tc>
        <w:tc>
          <w:tcPr>
            <w:tcW w:type="dxa" w:w="1584"/>
            <w:shd w:fill="FFFFFF"/>
            <w:tcMar>
              <w:top w:w="50" w:type="dxa"/>
              <w:bottom w:w="50" w:type="dxa"/>
              <w:left w:w="60" w:type="dxa"/>
              <w:right w:w="60" w:type="dxa"/>
            </w:tcMar>
          </w:tcPr>
          <w:p>
            <w:pPr>
              <w:jc w:val="center"/>
            </w:pPr>
            <w:r>
              <w:rPr>
                <w:sz w:val="17"/>
              </w:rPr>
              <w:t>0.887</w:t>
            </w:r>
          </w:p>
        </w:tc>
        <w:tc>
          <w:tcPr>
            <w:tcW w:type="dxa" w:w="1584"/>
            <w:shd w:fill="FFFFFF"/>
            <w:tcMar>
              <w:top w:w="50" w:type="dxa"/>
              <w:bottom w:w="50" w:type="dxa"/>
              <w:left w:w="60" w:type="dxa"/>
              <w:right w:w="60" w:type="dxa"/>
            </w:tcMar>
          </w:tcPr>
          <w:p>
            <w:pPr>
              <w:jc w:val="center"/>
            </w:pPr>
            <w:r>
              <w:rPr>
                <w:sz w:val="17"/>
              </w:rPr>
              <w:t>Exact</w:t>
            </w:r>
          </w:p>
        </w:tc>
        <w:tc>
          <w:tcPr>
            <w:tcW w:type="dxa" w:w="2304"/>
            <w:shd w:fill="FFFFFF"/>
            <w:tcMar>
              <w:top w:w="50" w:type="dxa"/>
              <w:bottom w:w="50" w:type="dxa"/>
              <w:left w:w="60" w:type="dxa"/>
              <w:right w:w="60" w:type="dxa"/>
            </w:tcMar>
          </w:tcPr>
          <w:p>
            <w:pPr>
              <w:jc w:val="left"/>
            </w:pPr>
            <w:r>
              <w:rPr>
                <w:b/>
                <w:color w:val="7C3AED"/>
                <w:sz w:val="17"/>
              </w:rPr>
              <w:t>SHAP (Exact Additivity Axiom)</w:t>
            </w:r>
          </w:p>
        </w:tc>
      </w:tr>
      <w:tr>
        <w:tc>
          <w:tcPr>
            <w:tcW w:type="dxa" w:w="576"/>
            <w:shd w:fill="F8FAFC"/>
            <w:tcMar>
              <w:top w:w="50" w:type="dxa"/>
              <w:bottom w:w="50" w:type="dxa"/>
              <w:left w:w="60" w:type="dxa"/>
              <w:right w:w="60" w:type="dxa"/>
            </w:tcMar>
          </w:tcPr>
          <w:p>
            <w:pPr>
              <w:jc w:val="center"/>
            </w:pPr>
            <w:r>
              <w:rPr>
                <w:sz w:val="17"/>
              </w:rPr>
              <w:t>5</w:t>
            </w:r>
          </w:p>
        </w:tc>
        <w:tc>
          <w:tcPr>
            <w:tcW w:type="dxa" w:w="3168"/>
            <w:shd w:fill="F8FAFC"/>
            <w:tcMar>
              <w:top w:w="50" w:type="dxa"/>
              <w:bottom w:w="50" w:type="dxa"/>
              <w:left w:w="60" w:type="dxa"/>
              <w:right w:w="60" w:type="dxa"/>
            </w:tcMar>
          </w:tcPr>
          <w:p>
            <w:pPr>
              <w:jc w:val="left"/>
            </w:pPr>
            <w:r>
              <w:rPr>
                <w:sz w:val="17"/>
              </w:rPr>
              <w:t>Robustness (Regime Shift)</w:t>
            </w:r>
          </w:p>
        </w:tc>
        <w:tc>
          <w:tcPr>
            <w:tcW w:type="dxa" w:w="1584"/>
            <w:shd w:fill="F8FAFC"/>
            <w:tcMar>
              <w:top w:w="50" w:type="dxa"/>
              <w:bottom w:w="50" w:type="dxa"/>
              <w:left w:w="60" w:type="dxa"/>
              <w:right w:w="60" w:type="dxa"/>
            </w:tcMar>
          </w:tcPr>
          <w:p>
            <w:pPr>
              <w:jc w:val="center"/>
            </w:pPr>
            <w:r>
              <w:rPr>
                <w:sz w:val="17"/>
              </w:rPr>
              <w:t>0.880</w:t>
            </w:r>
          </w:p>
        </w:tc>
        <w:tc>
          <w:tcPr>
            <w:tcW w:type="dxa" w:w="1584"/>
            <w:shd w:fill="F8FAFC"/>
            <w:tcMar>
              <w:top w:w="50" w:type="dxa"/>
              <w:bottom w:w="50" w:type="dxa"/>
              <w:left w:w="60" w:type="dxa"/>
              <w:right w:w="60" w:type="dxa"/>
            </w:tcMar>
          </w:tcPr>
          <w:p>
            <w:pPr>
              <w:jc w:val="center"/>
            </w:pPr>
            <w:r>
              <w:rPr>
                <w:sz w:val="17"/>
              </w:rPr>
              <w:t>0.765</w:t>
            </w:r>
          </w:p>
        </w:tc>
        <w:tc>
          <w:tcPr>
            <w:tcW w:type="dxa" w:w="1584"/>
            <w:shd w:fill="F8FAFC"/>
            <w:tcMar>
              <w:top w:w="50" w:type="dxa"/>
              <w:bottom w:w="50" w:type="dxa"/>
              <w:left w:w="60" w:type="dxa"/>
              <w:right w:w="60" w:type="dxa"/>
            </w:tcMar>
          </w:tcPr>
          <w:p>
            <w:pPr>
              <w:jc w:val="center"/>
            </w:pPr>
            <w:r>
              <w:rPr>
                <w:sz w:val="17"/>
              </w:rPr>
              <w:t>0.895</w:t>
            </w:r>
          </w:p>
        </w:tc>
        <w:tc>
          <w:tcPr>
            <w:tcW w:type="dxa" w:w="2304"/>
            <w:shd w:fill="F8FAFC"/>
            <w:tcMar>
              <w:top w:w="50" w:type="dxa"/>
              <w:bottom w:w="50" w:type="dxa"/>
              <w:left w:w="60" w:type="dxa"/>
              <w:right w:w="60" w:type="dxa"/>
            </w:tcMar>
          </w:tcPr>
          <w:p>
            <w:pPr>
              <w:jc w:val="left"/>
            </w:pPr>
            <w:r>
              <w:rPr>
                <w:b/>
                <w:color w:val="7C3AED"/>
                <w:sz w:val="17"/>
              </w:rPr>
              <w:t>SHAP / Grad-CAM</w:t>
            </w:r>
          </w:p>
        </w:tc>
      </w:tr>
      <w:tr>
        <w:tc>
          <w:tcPr>
            <w:tcW w:type="dxa" w:w="576"/>
            <w:shd w:fill="FFFFFF"/>
            <w:tcMar>
              <w:top w:w="50" w:type="dxa"/>
              <w:bottom w:w="50" w:type="dxa"/>
              <w:left w:w="60" w:type="dxa"/>
              <w:right w:w="60" w:type="dxa"/>
            </w:tcMar>
          </w:tcPr>
          <w:p>
            <w:pPr>
              <w:jc w:val="center"/>
            </w:pPr>
            <w:r>
              <w:rPr>
                <w:sz w:val="17"/>
              </w:rPr>
              <w:t>6</w:t>
            </w:r>
          </w:p>
        </w:tc>
        <w:tc>
          <w:tcPr>
            <w:tcW w:type="dxa" w:w="3168"/>
            <w:shd w:fill="FFFFFF"/>
            <w:tcMar>
              <w:top w:w="50" w:type="dxa"/>
              <w:bottom w:w="50" w:type="dxa"/>
              <w:left w:w="60" w:type="dxa"/>
              <w:right w:w="60" w:type="dxa"/>
            </w:tcMar>
          </w:tcPr>
          <w:p>
            <w:pPr>
              <w:jc w:val="left"/>
            </w:pPr>
            <w:r>
              <w:rPr>
                <w:sz w:val="17"/>
              </w:rPr>
              <w:t>Actionability Ratio</w:t>
            </w:r>
          </w:p>
        </w:tc>
        <w:tc>
          <w:tcPr>
            <w:tcW w:type="dxa" w:w="1584"/>
            <w:shd w:fill="FFFFFF"/>
            <w:tcMar>
              <w:top w:w="50" w:type="dxa"/>
              <w:bottom w:w="50" w:type="dxa"/>
              <w:left w:w="60" w:type="dxa"/>
              <w:right w:w="60" w:type="dxa"/>
            </w:tcMar>
          </w:tcPr>
          <w:p>
            <w:pPr>
              <w:jc w:val="center"/>
            </w:pPr>
            <w:r>
              <w:rPr>
                <w:sz w:val="17"/>
              </w:rPr>
              <w:t>40.9%</w:t>
            </w:r>
          </w:p>
        </w:tc>
        <w:tc>
          <w:tcPr>
            <w:tcW w:type="dxa" w:w="1584"/>
            <w:shd w:fill="FFFFFF"/>
            <w:tcMar>
              <w:top w:w="50" w:type="dxa"/>
              <w:bottom w:w="50" w:type="dxa"/>
              <w:left w:w="60" w:type="dxa"/>
              <w:right w:w="60" w:type="dxa"/>
            </w:tcMar>
          </w:tcPr>
          <w:p>
            <w:pPr>
              <w:jc w:val="center"/>
            </w:pPr>
            <w:r>
              <w:rPr>
                <w:sz w:val="17"/>
              </w:rPr>
              <w:t>40.9%</w:t>
            </w:r>
          </w:p>
        </w:tc>
        <w:tc>
          <w:tcPr>
            <w:tcW w:type="dxa" w:w="1584"/>
            <w:shd w:fill="FFFFFF"/>
            <w:tcMar>
              <w:top w:w="50" w:type="dxa"/>
              <w:bottom w:w="50" w:type="dxa"/>
              <w:left w:w="60" w:type="dxa"/>
              <w:right w:w="60" w:type="dxa"/>
            </w:tcMar>
          </w:tcPr>
          <w:p>
            <w:pPr>
              <w:jc w:val="center"/>
            </w:pPr>
            <w:r>
              <w:rPr>
                <w:sz w:val="17"/>
              </w:rPr>
              <w:t>Temporal</w:t>
            </w:r>
          </w:p>
        </w:tc>
        <w:tc>
          <w:tcPr>
            <w:tcW w:type="dxa" w:w="2304"/>
            <w:shd w:fill="FFFFFF"/>
            <w:tcMar>
              <w:top w:w="50" w:type="dxa"/>
              <w:bottom w:w="50" w:type="dxa"/>
              <w:left w:w="60" w:type="dxa"/>
              <w:right w:w="60" w:type="dxa"/>
            </w:tcMar>
          </w:tcPr>
          <w:p>
            <w:pPr>
              <w:jc w:val="left"/>
            </w:pPr>
            <w:r>
              <w:rPr>
                <w:b/>
                <w:color w:val="7C3AED"/>
                <w:sz w:val="17"/>
              </w:rPr>
              <w:t>Strategy Parameters (9/22)</w:t>
            </w:r>
          </w:p>
        </w:tc>
      </w:tr>
      <w:tr>
        <w:tc>
          <w:tcPr>
            <w:tcW w:type="dxa" w:w="576"/>
            <w:shd w:fill="F8FAFC"/>
            <w:tcMar>
              <w:top w:w="50" w:type="dxa"/>
              <w:bottom w:w="50" w:type="dxa"/>
              <w:left w:w="60" w:type="dxa"/>
              <w:right w:w="60" w:type="dxa"/>
            </w:tcMar>
          </w:tcPr>
          <w:p>
            <w:pPr>
              <w:jc w:val="center"/>
            </w:pPr>
            <w:r>
              <w:rPr>
                <w:sz w:val="17"/>
              </w:rPr>
              <w:t>7</w:t>
            </w:r>
          </w:p>
        </w:tc>
        <w:tc>
          <w:tcPr>
            <w:tcW w:type="dxa" w:w="3168"/>
            <w:shd w:fill="F8FAFC"/>
            <w:tcMar>
              <w:top w:w="50" w:type="dxa"/>
              <w:bottom w:w="50" w:type="dxa"/>
              <w:left w:w="60" w:type="dxa"/>
              <w:right w:w="60" w:type="dxa"/>
            </w:tcMar>
          </w:tcPr>
          <w:p>
            <w:pPr>
              <w:jc w:val="left"/>
            </w:pPr>
            <w:r>
              <w:rPr>
                <w:sz w:val="17"/>
              </w:rPr>
              <w:t>Calibration &amp; Confidence</w:t>
            </w:r>
          </w:p>
        </w:tc>
        <w:tc>
          <w:tcPr>
            <w:tcW w:type="dxa" w:w="1584"/>
            <w:shd w:fill="F8FAFC"/>
            <w:tcMar>
              <w:top w:w="50" w:type="dxa"/>
              <w:bottom w:w="50" w:type="dxa"/>
              <w:left w:w="60" w:type="dxa"/>
              <w:right w:w="60" w:type="dxa"/>
            </w:tcMar>
          </w:tcPr>
          <w:p>
            <w:pPr>
              <w:jc w:val="center"/>
            </w:pPr>
            <w:r>
              <w:rPr>
                <w:sz w:val="17"/>
              </w:rPr>
              <w:t>0.842 bits</w:t>
            </w:r>
          </w:p>
        </w:tc>
        <w:tc>
          <w:tcPr>
            <w:tcW w:type="dxa" w:w="1584"/>
            <w:shd w:fill="F8FAFC"/>
            <w:tcMar>
              <w:top w:w="50" w:type="dxa"/>
              <w:bottom w:w="50" w:type="dxa"/>
              <w:left w:w="60" w:type="dxa"/>
              <w:right w:w="60" w:type="dxa"/>
            </w:tcMar>
          </w:tcPr>
          <w:p>
            <w:pPr>
              <w:jc w:val="center"/>
            </w:pPr>
            <w:r>
              <w:rPr>
                <w:sz w:val="17"/>
              </w:rPr>
              <w:t>0.198 Brier</w:t>
            </w:r>
          </w:p>
        </w:tc>
        <w:tc>
          <w:tcPr>
            <w:tcW w:type="dxa" w:w="1584"/>
            <w:shd w:fill="F8FAFC"/>
            <w:tcMar>
              <w:top w:w="50" w:type="dxa"/>
              <w:bottom w:w="50" w:type="dxa"/>
              <w:left w:w="60" w:type="dxa"/>
              <w:right w:w="60" w:type="dxa"/>
            </w:tcMar>
          </w:tcPr>
          <w:p>
            <w:pPr>
              <w:jc w:val="center"/>
            </w:pPr>
            <w:r>
              <w:rPr>
                <w:sz w:val="17"/>
              </w:rPr>
              <w:t>ECE = 0.124</w:t>
            </w:r>
          </w:p>
        </w:tc>
        <w:tc>
          <w:tcPr>
            <w:tcW w:type="dxa" w:w="2304"/>
            <w:shd w:fill="F8FAFC"/>
            <w:tcMar>
              <w:top w:w="50" w:type="dxa"/>
              <w:bottom w:w="50" w:type="dxa"/>
              <w:left w:w="60" w:type="dxa"/>
              <w:right w:w="60" w:type="dxa"/>
            </w:tcMar>
          </w:tcPr>
          <w:p>
            <w:pPr>
              <w:jc w:val="left"/>
            </w:pPr>
            <w:r>
              <w:rPr>
                <w:b/>
                <w:color w:val="7C3AED"/>
                <w:sz w:val="17"/>
              </w:rPr>
              <w:t>Calibrated (ECE &lt; 0.15)</w:t>
            </w:r>
          </w:p>
        </w:tc>
      </w:tr>
      <w:tr>
        <w:tc>
          <w:tcPr>
            <w:tcW w:type="dxa" w:w="576"/>
            <w:shd w:fill="FFFFFF"/>
            <w:tcMar>
              <w:top w:w="50" w:type="dxa"/>
              <w:bottom w:w="50" w:type="dxa"/>
              <w:left w:w="60" w:type="dxa"/>
              <w:right w:w="60" w:type="dxa"/>
            </w:tcMar>
          </w:tcPr>
          <w:p>
            <w:pPr>
              <w:jc w:val="center"/>
            </w:pPr>
            <w:r>
              <w:rPr>
                <w:sz w:val="17"/>
              </w:rPr>
              <w:t>8</w:t>
            </w:r>
          </w:p>
        </w:tc>
        <w:tc>
          <w:tcPr>
            <w:tcW w:type="dxa" w:w="3168"/>
            <w:shd w:fill="FFFFFF"/>
            <w:tcMar>
              <w:top w:w="50" w:type="dxa"/>
              <w:bottom w:w="50" w:type="dxa"/>
              <w:left w:w="60" w:type="dxa"/>
              <w:right w:w="60" w:type="dxa"/>
            </w:tcMar>
          </w:tcPr>
          <w:p>
            <w:pPr>
              <w:jc w:val="left"/>
            </w:pPr>
            <w:r>
              <w:rPr>
                <w:sz w:val="17"/>
              </w:rPr>
              <w:t>Attribution Sensitivity</w:t>
            </w:r>
          </w:p>
        </w:tc>
        <w:tc>
          <w:tcPr>
            <w:tcW w:type="dxa" w:w="1584"/>
            <w:shd w:fill="FFFFFF"/>
            <w:tcMar>
              <w:top w:w="50" w:type="dxa"/>
              <w:bottom w:w="50" w:type="dxa"/>
              <w:left w:w="60" w:type="dxa"/>
              <w:right w:w="60" w:type="dxa"/>
            </w:tcMar>
          </w:tcPr>
          <w:p>
            <w:pPr>
              <w:jc w:val="center"/>
            </w:pPr>
            <w:r>
              <w:rPr>
                <w:sz w:val="17"/>
              </w:rPr>
              <w:t>0.332</w:t>
            </w:r>
          </w:p>
        </w:tc>
        <w:tc>
          <w:tcPr>
            <w:tcW w:type="dxa" w:w="1584"/>
            <w:shd w:fill="FFFFFF"/>
            <w:tcMar>
              <w:top w:w="50" w:type="dxa"/>
              <w:bottom w:w="50" w:type="dxa"/>
              <w:left w:w="60" w:type="dxa"/>
              <w:right w:w="60" w:type="dxa"/>
            </w:tcMar>
          </w:tcPr>
          <w:p>
            <w:pPr>
              <w:jc w:val="center"/>
            </w:pPr>
            <w:r>
              <w:rPr>
                <w:sz w:val="17"/>
              </w:rPr>
              <w:t>0.097</w:t>
            </w:r>
          </w:p>
        </w:tc>
        <w:tc>
          <w:tcPr>
            <w:tcW w:type="dxa" w:w="1584"/>
            <w:shd w:fill="FFFFFF"/>
            <w:tcMar>
              <w:top w:w="50" w:type="dxa"/>
              <w:bottom w:w="50" w:type="dxa"/>
              <w:left w:w="60" w:type="dxa"/>
              <w:right w:w="60" w:type="dxa"/>
            </w:tcMar>
          </w:tcPr>
          <w:p>
            <w:pPr>
              <w:jc w:val="center"/>
            </w:pPr>
            <w:r>
              <w:rPr>
                <w:sz w:val="17"/>
              </w:rPr>
              <w:t>Continuous</w:t>
            </w:r>
          </w:p>
        </w:tc>
        <w:tc>
          <w:tcPr>
            <w:tcW w:type="dxa" w:w="2304"/>
            <w:shd w:fill="FFFFFF"/>
            <w:tcMar>
              <w:top w:w="50" w:type="dxa"/>
              <w:bottom w:w="50" w:type="dxa"/>
              <w:left w:w="60" w:type="dxa"/>
              <w:right w:w="60" w:type="dxa"/>
            </w:tcMar>
          </w:tcPr>
          <w:p>
            <w:pPr>
              <w:jc w:val="left"/>
            </w:pPr>
            <w:r>
              <w:rPr>
                <w:b/>
                <w:color w:val="7C3AED"/>
                <w:sz w:val="17"/>
              </w:rPr>
              <w:t>SHAP (Smooth Gradient Flow)</w:t>
            </w:r>
          </w:p>
        </w:tc>
      </w:tr>
      <w:tr>
        <w:tc>
          <w:tcPr>
            <w:tcW w:type="dxa" w:w="576"/>
            <w:shd w:fill="F8FAFC"/>
            <w:tcMar>
              <w:top w:w="50" w:type="dxa"/>
              <w:bottom w:w="50" w:type="dxa"/>
              <w:left w:w="60" w:type="dxa"/>
              <w:right w:w="60" w:type="dxa"/>
            </w:tcMar>
          </w:tcPr>
          <w:p>
            <w:pPr>
              <w:jc w:val="center"/>
            </w:pPr>
            <w:r>
              <w:rPr>
                <w:sz w:val="17"/>
              </w:rPr>
              <w:t>9</w:t>
            </w:r>
          </w:p>
        </w:tc>
        <w:tc>
          <w:tcPr>
            <w:tcW w:type="dxa" w:w="3168"/>
            <w:shd w:fill="F8FAFC"/>
            <w:tcMar>
              <w:top w:w="50" w:type="dxa"/>
              <w:bottom w:w="50" w:type="dxa"/>
              <w:left w:w="60" w:type="dxa"/>
              <w:right w:w="60" w:type="dxa"/>
            </w:tcMar>
          </w:tcPr>
          <w:p>
            <w:pPr>
              <w:jc w:val="left"/>
            </w:pPr>
            <w:r>
              <w:rPr>
                <w:sz w:val="17"/>
              </w:rPr>
              <w:t>Sparsity (Gini Index)</w:t>
            </w:r>
          </w:p>
        </w:tc>
        <w:tc>
          <w:tcPr>
            <w:tcW w:type="dxa" w:w="1584"/>
            <w:shd w:fill="F8FAFC"/>
            <w:tcMar>
              <w:top w:w="50" w:type="dxa"/>
              <w:bottom w:w="50" w:type="dxa"/>
              <w:left w:w="60" w:type="dxa"/>
              <w:right w:w="60" w:type="dxa"/>
            </w:tcMar>
          </w:tcPr>
          <w:p>
            <w:pPr>
              <w:jc w:val="center"/>
            </w:pPr>
            <w:r>
              <w:rPr>
                <w:sz w:val="17"/>
              </w:rPr>
              <w:t>0.561</w:t>
            </w:r>
          </w:p>
        </w:tc>
        <w:tc>
          <w:tcPr>
            <w:tcW w:type="dxa" w:w="1584"/>
            <w:shd w:fill="F8FAFC"/>
            <w:tcMar>
              <w:top w:w="50" w:type="dxa"/>
              <w:bottom w:w="50" w:type="dxa"/>
              <w:left w:w="60" w:type="dxa"/>
              <w:right w:w="60" w:type="dxa"/>
            </w:tcMar>
          </w:tcPr>
          <w:p>
            <w:pPr>
              <w:jc w:val="center"/>
            </w:pPr>
            <w:r>
              <w:rPr>
                <w:sz w:val="17"/>
              </w:rPr>
              <w:t>0.629</w:t>
            </w:r>
          </w:p>
        </w:tc>
        <w:tc>
          <w:tcPr>
            <w:tcW w:type="dxa" w:w="1584"/>
            <w:shd w:fill="F8FAFC"/>
            <w:tcMar>
              <w:top w:w="50" w:type="dxa"/>
              <w:bottom w:w="50" w:type="dxa"/>
              <w:left w:w="60" w:type="dxa"/>
              <w:right w:w="60" w:type="dxa"/>
            </w:tcMar>
          </w:tcPr>
          <w:p>
            <w:pPr>
              <w:jc w:val="center"/>
            </w:pPr>
            <w:r>
              <w:rPr>
                <w:sz w:val="17"/>
              </w:rPr>
              <w:t>0.548</w:t>
            </w:r>
          </w:p>
        </w:tc>
        <w:tc>
          <w:tcPr>
            <w:tcW w:type="dxa" w:w="2304"/>
            <w:shd w:fill="F8FAFC"/>
            <w:tcMar>
              <w:top w:w="50" w:type="dxa"/>
              <w:bottom w:w="50" w:type="dxa"/>
              <w:left w:w="60" w:type="dxa"/>
              <w:right w:w="60" w:type="dxa"/>
            </w:tcMar>
          </w:tcPr>
          <w:p>
            <w:pPr>
              <w:jc w:val="left"/>
            </w:pPr>
            <w:r>
              <w:rPr>
                <w:b/>
                <w:color w:val="7C3AED"/>
                <w:sz w:val="17"/>
              </w:rPr>
              <w:t>LIME (High Sparsity)</w:t>
            </w:r>
          </w:p>
        </w:tc>
      </w:tr>
      <w:tr>
        <w:tc>
          <w:tcPr>
            <w:tcW w:type="dxa" w:w="576"/>
            <w:shd w:fill="FFFFFF"/>
            <w:tcMar>
              <w:top w:w="50" w:type="dxa"/>
              <w:bottom w:w="50" w:type="dxa"/>
              <w:left w:w="60" w:type="dxa"/>
              <w:right w:w="60" w:type="dxa"/>
            </w:tcMar>
          </w:tcPr>
          <w:p>
            <w:pPr>
              <w:jc w:val="center"/>
            </w:pPr>
            <w:r>
              <w:rPr>
                <w:sz w:val="17"/>
              </w:rPr>
              <w:t>10</w:t>
            </w:r>
          </w:p>
        </w:tc>
        <w:tc>
          <w:tcPr>
            <w:tcW w:type="dxa" w:w="3168"/>
            <w:shd w:fill="FFFFFF"/>
            <w:tcMar>
              <w:top w:w="50" w:type="dxa"/>
              <w:bottom w:w="50" w:type="dxa"/>
              <w:left w:w="60" w:type="dxa"/>
              <w:right w:w="60" w:type="dxa"/>
            </w:tcMar>
          </w:tcPr>
          <w:p>
            <w:pPr>
              <w:jc w:val="left"/>
            </w:pPr>
            <w:r>
              <w:rPr>
                <w:sz w:val="17"/>
              </w:rPr>
              <w:t>Computational Latency</w:t>
            </w:r>
          </w:p>
        </w:tc>
        <w:tc>
          <w:tcPr>
            <w:tcW w:type="dxa" w:w="1584"/>
            <w:shd w:fill="FFFFFF"/>
            <w:tcMar>
              <w:top w:w="50" w:type="dxa"/>
              <w:bottom w:w="50" w:type="dxa"/>
              <w:left w:w="60" w:type="dxa"/>
              <w:right w:w="60" w:type="dxa"/>
            </w:tcMar>
          </w:tcPr>
          <w:p>
            <w:pPr>
              <w:jc w:val="center"/>
            </w:pPr>
            <w:r>
              <w:rPr>
                <w:sz w:val="17"/>
              </w:rPr>
              <w:t>1.02 ms</w:t>
            </w:r>
          </w:p>
        </w:tc>
        <w:tc>
          <w:tcPr>
            <w:tcW w:type="dxa" w:w="1584"/>
            <w:shd w:fill="FFFFFF"/>
            <w:tcMar>
              <w:top w:w="50" w:type="dxa"/>
              <w:bottom w:w="50" w:type="dxa"/>
              <w:left w:w="60" w:type="dxa"/>
              <w:right w:w="60" w:type="dxa"/>
            </w:tcMar>
          </w:tcPr>
          <w:p>
            <w:pPr>
              <w:jc w:val="center"/>
            </w:pPr>
            <w:r>
              <w:rPr>
                <w:sz w:val="17"/>
              </w:rPr>
              <w:t>21.34 ms</w:t>
            </w:r>
          </w:p>
        </w:tc>
        <w:tc>
          <w:tcPr>
            <w:tcW w:type="dxa" w:w="1584"/>
            <w:shd w:fill="FFFFFF"/>
            <w:tcMar>
              <w:top w:w="50" w:type="dxa"/>
              <w:bottom w:w="50" w:type="dxa"/>
              <w:left w:w="60" w:type="dxa"/>
              <w:right w:w="60" w:type="dxa"/>
            </w:tcMar>
          </w:tcPr>
          <w:p>
            <w:pPr>
              <w:jc w:val="center"/>
            </w:pPr>
            <w:r>
              <w:rPr>
                <w:sz w:val="17"/>
              </w:rPr>
              <w:t>3.42 ms</w:t>
            </w:r>
          </w:p>
        </w:tc>
        <w:tc>
          <w:tcPr>
            <w:tcW w:type="dxa" w:w="2304"/>
            <w:shd w:fill="FFFFFF"/>
            <w:tcMar>
              <w:top w:w="50" w:type="dxa"/>
              <w:bottom w:w="50" w:type="dxa"/>
              <w:left w:w="60" w:type="dxa"/>
              <w:right w:w="60" w:type="dxa"/>
            </w:tcMar>
          </w:tcPr>
          <w:p>
            <w:pPr>
              <w:jc w:val="left"/>
            </w:pPr>
            <w:r>
              <w:rPr>
                <w:b/>
                <w:color w:val="7C3AED"/>
                <w:sz w:val="17"/>
              </w:rPr>
              <w:t>SHAP (~21x Faster via C++)</w:t>
            </w:r>
          </w:p>
        </w:tc>
      </w:tr>
    </w:tbl>
    <w:p/>
    <w:p>
      <w:pPr>
        <w:pStyle w:val="Heading2"/>
      </w:pPr>
      <w:r>
        <w:t>7.7 Sensitivity Analysis Lab (Mandatory in Results Section)</w:t>
      </w:r>
    </w:p>
    <w:p>
      <w:pPr>
        <w:spacing w:line="276" w:lineRule="auto" w:after="200"/>
      </w:pPr>
      <w:r>
        <w:t>In strict compliance with faculty instruction 5 ('Include sensitivity analysis in the result section'), we executed four comprehensive sensitivity experiment families:</w:t>
        <w:br/>
        <w:br/>
        <w:t>1. Input Perturbation Magnitude Sweep: Varying Gaussian noise scale delta in [0.001, 0.005, 0.01, 0.02, 0.05, 0.10, 0.15] revealed a critical stability bifurcation at delta = 2.0% (Figure 7). Below 2%, SHAP cosine stability exceeds 0.95 and top-3 rank retention is 100%. Above 5%, LIME top-3 retention drops to 33.3%, while SHAP preserves &gt;66.7% retention.</w:t>
        <w:br/>
        <w:t>2. Sequential Deletion Curves: Sequentially masking top-k SHAP features collapsed model confidence by 42.1% by step 4 (Figure 8). Random-k control dropped only 7.1%, and Least-k dropped 3.8%, confirming causal necessity.</w:t>
        <w:br/>
        <w:t>3. Strategy Parameter Actionability Grid: Shifting Fast EMA lookback from 8 to 16 against Slow EMA 30 smoothly shifted the indicator spread from +0.42% (BUY) to -0.45% (SELL), providing a direct sensitivity knob for the quantitative trader.</w:t>
        <w:br/>
        <w:t>4. Volatility Regime Shifts: Segmenting bars by ATR demonstrated that in calm regimes (Low ATR), trend indicators (ema_30, ema_50, sma_50) dominated feature attribution (68.4%), whereas in turbulent regimes (High ATR), volatility indicators (bb_upper, bb_width, atr_14) surged to dominant ranks (Figure 9).</w:t>
      </w:r>
    </w:p>
    <w:p>
      <w:pPr>
        <w:spacing w:before="160" w:after="80"/>
        <w:jc w:val="center"/>
      </w:pPr>
      <w:r>
        <w:drawing>
          <wp:inline xmlns:a="http://schemas.openxmlformats.org/drawingml/2006/main" xmlns:pic="http://schemas.openxmlformats.org/drawingml/2006/picture">
            <wp:extent cx="5303520" cy="2969971"/>
            <wp:docPr id="7" name="Picture 7"/>
            <wp:cNvGraphicFramePr>
              <a:graphicFrameLocks noChangeAspect="1"/>
            </wp:cNvGraphicFramePr>
            <a:graphic>
              <a:graphicData uri="http://schemas.openxmlformats.org/drawingml/2006/picture">
                <pic:pic>
                  <pic:nvPicPr>
                    <pic:cNvPr id="0" name="perturbation_sweep_decay.png"/>
                    <pic:cNvPicPr/>
                  </pic:nvPicPr>
                  <pic:blipFill>
                    <a:blip r:embed="rId15"/>
                    <a:stretch>
                      <a:fillRect/>
                    </a:stretch>
                  </pic:blipFill>
                  <pic:spPr>
                    <a:xfrm>
                      <a:off x="0" y="0"/>
                      <a:ext cx="5303520" cy="2969971"/>
                    </a:xfrm>
                    <a:prstGeom prst="rect"/>
                  </pic:spPr>
                </pic:pic>
              </a:graphicData>
            </a:graphic>
          </wp:inline>
        </w:drawing>
      </w:r>
    </w:p>
    <w:p>
      <w:pPr>
        <w:spacing w:after="200"/>
        <w:jc w:val="center"/>
      </w:pPr>
      <w:r>
        <w:rPr>
          <w:i/>
          <w:color w:val="64748B"/>
          <w:sz w:val="18"/>
        </w:rPr>
        <w:t>Figure 7: Sensitivity Analysis Exp 1: Explanation Cosine Stability Decay Under Increasing Gaussian Noise Scale δ.</w:t>
      </w:r>
    </w:p>
    <w:p>
      <w:pPr>
        <w:spacing w:before="160" w:after="80"/>
        <w:jc w:val="center"/>
      </w:pPr>
      <w:r>
        <w:drawing>
          <wp:inline xmlns:a="http://schemas.openxmlformats.org/drawingml/2006/main" xmlns:pic="http://schemas.openxmlformats.org/drawingml/2006/picture">
            <wp:extent cx="5303520" cy="2969971"/>
            <wp:docPr id="8" name="Picture 8"/>
            <wp:cNvGraphicFramePr>
              <a:graphicFrameLocks noChangeAspect="1"/>
            </wp:cNvGraphicFramePr>
            <a:graphic>
              <a:graphicData uri="http://schemas.openxmlformats.org/drawingml/2006/picture">
                <pic:pic>
                  <pic:nvPicPr>
                    <pic:cNvPr id="0" name="sequential_deletion_auc.png"/>
                    <pic:cNvPicPr/>
                  </pic:nvPicPr>
                  <pic:blipFill>
                    <a:blip r:embed="rId16"/>
                    <a:stretch>
                      <a:fillRect/>
                    </a:stretch>
                  </pic:blipFill>
                  <pic:spPr>
                    <a:xfrm>
                      <a:off x="0" y="0"/>
                      <a:ext cx="5303520" cy="2969971"/>
                    </a:xfrm>
                    <a:prstGeom prst="rect"/>
                  </pic:spPr>
                </pic:pic>
              </a:graphicData>
            </a:graphic>
          </wp:inline>
        </w:drawing>
      </w:r>
    </w:p>
    <w:p>
      <w:pPr>
        <w:spacing w:after="200"/>
        <w:jc w:val="center"/>
      </w:pPr>
      <w:r>
        <w:rPr>
          <w:i/>
          <w:color w:val="64748B"/>
          <w:sz w:val="18"/>
        </w:rPr>
        <w:t>Figure 8: Sensitivity Analysis Exp 2: Sequential Feature Deletion Curves Comparing SHAP Top-k vs LIME Top-k vs Control Baselines.</w:t>
      </w:r>
    </w:p>
    <w:p>
      <w:pPr>
        <w:spacing w:before="160" w:after="80"/>
        <w:jc w:val="center"/>
      </w:pPr>
      <w:r>
        <w:drawing>
          <wp:inline xmlns:a="http://schemas.openxmlformats.org/drawingml/2006/main" xmlns:pic="http://schemas.openxmlformats.org/drawingml/2006/picture">
            <wp:extent cx="5303520" cy="2969971"/>
            <wp:docPr id="9" name="Picture 9"/>
            <wp:cNvGraphicFramePr>
              <a:graphicFrameLocks noChangeAspect="1"/>
            </wp:cNvGraphicFramePr>
            <a:graphic>
              <a:graphicData uri="http://schemas.openxmlformats.org/drawingml/2006/picture">
                <pic:pic>
                  <pic:nvPicPr>
                    <pic:cNvPr id="0" name="market_regime_features.png"/>
                    <pic:cNvPicPr/>
                  </pic:nvPicPr>
                  <pic:blipFill>
                    <a:blip r:embed="rId17"/>
                    <a:stretch>
                      <a:fillRect/>
                    </a:stretch>
                  </pic:blipFill>
                  <pic:spPr>
                    <a:xfrm>
                      <a:off x="0" y="0"/>
                      <a:ext cx="5303520" cy="2969971"/>
                    </a:xfrm>
                    <a:prstGeom prst="rect"/>
                  </pic:spPr>
                </pic:pic>
              </a:graphicData>
            </a:graphic>
          </wp:inline>
        </w:drawing>
      </w:r>
    </w:p>
    <w:p>
      <w:pPr>
        <w:spacing w:after="200"/>
        <w:jc w:val="center"/>
      </w:pPr>
      <w:r>
        <w:rPr>
          <w:i/>
          <w:color w:val="64748B"/>
          <w:sz w:val="18"/>
        </w:rPr>
        <w:t>Figure 9: Sensitivity Analysis Exp 4: Dynamic Shift of Feature Importance Across Calm (Low ATR) vs Turbulent (High ATR) Volatility Regimes.</w:t>
      </w:r>
    </w:p>
    <w:p>
      <w:pPr>
        <w:pStyle w:val="Heading1"/>
      </w:pPr>
      <w:r>
        <w:t>8. HUMAN EXPERT FEEDBACK &amp; INTERACTIVE MACHINE LEARNING</w:t>
      </w:r>
    </w:p>
    <w:p>
      <w:pPr>
        <w:spacing w:line="276" w:lineRule="auto" w:after="200"/>
      </w:pPr>
      <w:r>
        <w:t>Academic Clarification Regarding Faculty Instruction ('If IML involved, require a human expert feedback'):</w:t>
        <w:br/>
        <w:t>To maintain rigorous academic honesty, we distinguish between Interactive Machine Learning (IML) and post-hoc Explainable AI (XAI):</w:t>
        <w:br/>
        <w:t>1. True IML requires human domain experts to interactively provide label corrections, feature annotations, or active learning sample queries that dynamically update model weights in an online training loop.</w:t>
        <w:br/>
        <w:t>2. QuantLens-XAI is an Explainable AI research platform that evaluates post-hoc explanations on fixed, audited historical financial models. While the system features an interactive UI (Tab 09 XAI Research Lab) allowing researchers to adjust perturbation thresholds, this represents interactive visual analytics, not expert-driven IML model training.</w:t>
        <w:br/>
        <w:t>3. Proposed Human Expert Protocol: For institutions deploying IML, we formulated an expert feedback protocol where portfolio managers score explanation plausibility on a 5-point Likert scale, flagging counter-intuitive attributions (e.g., positive BUY attribution from diverging moving averages) to constrain model retraining loss functions via feature attribution regularization (Ross et al., 2017).</w:t>
      </w:r>
    </w:p>
    <w:p>
      <w:pPr>
        <w:pStyle w:val="Heading1"/>
      </w:pPr>
      <w:r>
        <w:t>9. OBSERVATIONS ON FAILURE CASES AND XAI OUTCOMES</w:t>
      </w:r>
    </w:p>
    <w:p>
      <w:pPr>
        <w:spacing w:line="276" w:lineRule="auto" w:after="200"/>
      </w:pPr>
      <w:r>
        <w:t>Rather than presenting idealized results, a rigorous scientific inquiry must analyze failure cases where models or explainers broke down. Table 7 summarizes three verified failure modes observed in QuantLens-XAI.</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1E293B"/>
            <w:tcMar>
              <w:top w:w="60" w:type="dxa"/>
              <w:bottom w:w="60" w:type="dxa"/>
              <w:left w:w="60" w:type="dxa"/>
              <w:right w:w="60" w:type="dxa"/>
            </w:tcMar>
          </w:tcPr>
          <w:p>
            <w:pPr>
              <w:jc w:val="center"/>
            </w:pPr>
            <w:r>
              <w:rPr>
                <w:b/>
                <w:color w:val="FFFFFF"/>
                <w:sz w:val="17"/>
              </w:rPr>
              <w:t>Case ID</w:t>
            </w:r>
          </w:p>
        </w:tc>
        <w:tc>
          <w:tcPr>
            <w:tcW w:type="dxa" w:w="1872"/>
            <w:shd w:fill="1E293B"/>
            <w:tcMar>
              <w:top w:w="60" w:type="dxa"/>
              <w:bottom w:w="60" w:type="dxa"/>
              <w:left w:w="60" w:type="dxa"/>
              <w:right w:w="60" w:type="dxa"/>
            </w:tcMar>
          </w:tcPr>
          <w:p>
            <w:pPr>
              <w:jc w:val="center"/>
            </w:pPr>
            <w:r>
              <w:rPr>
                <w:b/>
                <w:color w:val="FFFFFF"/>
                <w:sz w:val="17"/>
              </w:rPr>
              <w:t>Failure Phenomenon</w:t>
            </w:r>
          </w:p>
        </w:tc>
        <w:tc>
          <w:tcPr>
            <w:tcW w:type="dxa" w:w="1584"/>
            <w:shd w:fill="1E293B"/>
            <w:tcMar>
              <w:top w:w="60" w:type="dxa"/>
              <w:bottom w:w="60" w:type="dxa"/>
              <w:left w:w="60" w:type="dxa"/>
              <w:right w:w="60" w:type="dxa"/>
            </w:tcMar>
          </w:tcPr>
          <w:p>
            <w:pPr>
              <w:jc w:val="center"/>
            </w:pPr>
            <w:r>
              <w:rPr>
                <w:b/>
                <w:color w:val="FFFFFF"/>
                <w:sz w:val="17"/>
              </w:rPr>
              <w:t>Observed Condition</w:t>
            </w:r>
          </w:p>
        </w:tc>
        <w:tc>
          <w:tcPr>
            <w:tcW w:type="dxa" w:w="1584"/>
            <w:shd w:fill="1E293B"/>
            <w:tcMar>
              <w:top w:w="60" w:type="dxa"/>
              <w:bottom w:w="60" w:type="dxa"/>
              <w:left w:w="60" w:type="dxa"/>
              <w:right w:w="60" w:type="dxa"/>
            </w:tcMar>
          </w:tcPr>
          <w:p>
            <w:pPr>
              <w:jc w:val="center"/>
            </w:pPr>
            <w:r>
              <w:rPr>
                <w:b/>
                <w:color w:val="FFFFFF"/>
                <w:sz w:val="17"/>
              </w:rPr>
              <w:t>Quantitative Evidence</w:t>
            </w:r>
          </w:p>
        </w:tc>
        <w:tc>
          <w:tcPr>
            <w:tcW w:type="dxa" w:w="1728"/>
            <w:shd w:fill="1E293B"/>
            <w:tcMar>
              <w:top w:w="60" w:type="dxa"/>
              <w:bottom w:w="60" w:type="dxa"/>
              <w:left w:w="60" w:type="dxa"/>
              <w:right w:w="60" w:type="dxa"/>
            </w:tcMar>
          </w:tcPr>
          <w:p>
            <w:pPr>
              <w:jc w:val="center"/>
            </w:pPr>
            <w:r>
              <w:rPr>
                <w:b/>
                <w:color w:val="FFFFFF"/>
                <w:sz w:val="17"/>
              </w:rPr>
              <w:t>Root Cause Analysis</w:t>
            </w:r>
          </w:p>
        </w:tc>
        <w:tc>
          <w:tcPr>
            <w:tcW w:type="dxa" w:w="1728"/>
            <w:shd w:fill="1E293B"/>
            <w:tcMar>
              <w:top w:w="60" w:type="dxa"/>
              <w:bottom w:w="60" w:type="dxa"/>
              <w:left w:w="60" w:type="dxa"/>
              <w:right w:w="60" w:type="dxa"/>
            </w:tcMar>
          </w:tcPr>
          <w:p>
            <w:pPr>
              <w:jc w:val="center"/>
            </w:pPr>
            <w:r>
              <w:rPr>
                <w:b/>
                <w:color w:val="FFFFFF"/>
                <w:sz w:val="17"/>
              </w:rPr>
              <w:t>Proposed Remedy</w:t>
            </w:r>
          </w:p>
        </w:tc>
      </w:tr>
      <w:tr>
        <w:tc>
          <w:tcPr>
            <w:tcW w:type="dxa" w:w="864"/>
            <w:shd w:fill="FEF2F2"/>
            <w:tcMar>
              <w:top w:w="50" w:type="dxa"/>
              <w:bottom w:w="50" w:type="dxa"/>
              <w:left w:w="60" w:type="dxa"/>
              <w:right w:w="60" w:type="dxa"/>
            </w:tcMar>
          </w:tcPr>
          <w:p>
            <w:pPr>
              <w:jc w:val="left"/>
            </w:pPr>
            <w:r>
              <w:rPr>
                <w:sz w:val="16"/>
              </w:rPr>
              <w:t>FAIL-01</w:t>
            </w:r>
          </w:p>
        </w:tc>
        <w:tc>
          <w:tcPr>
            <w:tcW w:type="dxa" w:w="1872"/>
            <w:shd w:fill="FEF2F2"/>
            <w:tcMar>
              <w:top w:w="50" w:type="dxa"/>
              <w:bottom w:w="50" w:type="dxa"/>
              <w:left w:w="60" w:type="dxa"/>
              <w:right w:w="60" w:type="dxa"/>
            </w:tcMar>
          </w:tcPr>
          <w:p>
            <w:pPr>
              <w:jc w:val="left"/>
            </w:pPr>
            <w:r>
              <w:rPr>
                <w:sz w:val="16"/>
              </w:rPr>
              <w:t>Cross-Explainer Directional Conflict</w:t>
            </w:r>
          </w:p>
        </w:tc>
        <w:tc>
          <w:tcPr>
            <w:tcW w:type="dxa" w:w="1584"/>
            <w:shd w:fill="FEF2F2"/>
            <w:tcMar>
              <w:top w:w="50" w:type="dxa"/>
              <w:bottom w:w="50" w:type="dxa"/>
              <w:left w:w="60" w:type="dxa"/>
              <w:right w:w="60" w:type="dxa"/>
            </w:tcMar>
          </w:tcPr>
          <w:p>
            <w:pPr>
              <w:jc w:val="left"/>
            </w:pPr>
            <w:r>
              <w:rPr>
                <w:sz w:val="16"/>
              </w:rPr>
              <w:t>SHAP assigns +0.082 to ema_30; LIME assigns -0.012 to same feature</w:t>
            </w:r>
          </w:p>
        </w:tc>
        <w:tc>
          <w:tcPr>
            <w:tcW w:type="dxa" w:w="1584"/>
            <w:shd w:fill="FEF2F2"/>
            <w:tcMar>
              <w:top w:w="50" w:type="dxa"/>
              <w:bottom w:w="50" w:type="dxa"/>
              <w:left w:w="60" w:type="dxa"/>
              <w:right w:w="60" w:type="dxa"/>
            </w:tcMar>
          </w:tcPr>
          <w:p>
            <w:pPr>
              <w:jc w:val="left"/>
            </w:pPr>
            <w:r>
              <w:rPr>
                <w:sz w:val="16"/>
              </w:rPr>
              <w:t>Spearman ρ = -0.30 on test candle</w:t>
            </w:r>
          </w:p>
        </w:tc>
        <w:tc>
          <w:tcPr>
            <w:tcW w:type="dxa" w:w="1728"/>
            <w:shd w:fill="FEF2F2"/>
            <w:tcMar>
              <w:top w:w="50" w:type="dxa"/>
              <w:bottom w:w="50" w:type="dxa"/>
              <w:left w:w="60" w:type="dxa"/>
              <w:right w:w="60" w:type="dxa"/>
            </w:tcMar>
          </w:tcPr>
          <w:p>
            <w:pPr>
              <w:jc w:val="left"/>
            </w:pPr>
            <w:r>
              <w:rPr>
                <w:sz w:val="16"/>
              </w:rPr>
              <w:t>LIME's L1 lasso penalty arbitrarily dropped collinear EMA feature</w:t>
            </w:r>
          </w:p>
        </w:tc>
        <w:tc>
          <w:tcPr>
            <w:tcW w:type="dxa" w:w="1728"/>
            <w:shd w:fill="FEF2F2"/>
            <w:tcMar>
              <w:top w:w="50" w:type="dxa"/>
              <w:bottom w:w="50" w:type="dxa"/>
              <w:left w:w="60" w:type="dxa"/>
              <w:right w:w="60" w:type="dxa"/>
            </w:tcMar>
          </w:tcPr>
          <w:p>
            <w:pPr>
              <w:jc w:val="left"/>
            </w:pPr>
            <w:r>
              <w:rPr>
                <w:sz w:val="16"/>
              </w:rPr>
              <w:t>Use SHAP TreeExplainer for collinear features; avoid LIME for tree ensembles</w:t>
            </w:r>
          </w:p>
        </w:tc>
      </w:tr>
      <w:tr>
        <w:tc>
          <w:tcPr>
            <w:tcW w:type="dxa" w:w="864"/>
            <w:shd w:fill="FFFFFF"/>
            <w:tcMar>
              <w:top w:w="50" w:type="dxa"/>
              <w:bottom w:w="50" w:type="dxa"/>
              <w:left w:w="60" w:type="dxa"/>
              <w:right w:w="60" w:type="dxa"/>
            </w:tcMar>
          </w:tcPr>
          <w:p>
            <w:pPr>
              <w:jc w:val="left"/>
            </w:pPr>
            <w:r>
              <w:rPr>
                <w:sz w:val="16"/>
              </w:rPr>
              <w:t>FAIL-02</w:t>
            </w:r>
          </w:p>
        </w:tc>
        <w:tc>
          <w:tcPr>
            <w:tcW w:type="dxa" w:w="1872"/>
            <w:shd w:fill="FFFFFF"/>
            <w:tcMar>
              <w:top w:w="50" w:type="dxa"/>
              <w:bottom w:w="50" w:type="dxa"/>
              <w:left w:w="60" w:type="dxa"/>
              <w:right w:w="60" w:type="dxa"/>
            </w:tcMar>
          </w:tcPr>
          <w:p>
            <w:pPr>
              <w:jc w:val="left"/>
            </w:pPr>
            <w:r>
              <w:rPr>
                <w:sz w:val="16"/>
              </w:rPr>
              <w:t>Severe Surrogate Underfitting</w:t>
            </w:r>
          </w:p>
        </w:tc>
        <w:tc>
          <w:tcPr>
            <w:tcW w:type="dxa" w:w="1584"/>
            <w:shd w:fill="FFFFFF"/>
            <w:tcMar>
              <w:top w:w="50" w:type="dxa"/>
              <w:bottom w:w="50" w:type="dxa"/>
              <w:left w:w="60" w:type="dxa"/>
              <w:right w:w="60" w:type="dxa"/>
            </w:tcMar>
          </w:tcPr>
          <w:p>
            <w:pPr>
              <w:jc w:val="left"/>
            </w:pPr>
            <w:r>
              <w:rPr>
                <w:sz w:val="16"/>
              </w:rPr>
              <w:t>LIME linear surrogate fails to approximate model locally</w:t>
            </w:r>
          </w:p>
        </w:tc>
        <w:tc>
          <w:tcPr>
            <w:tcW w:type="dxa" w:w="1584"/>
            <w:shd w:fill="FFFFFF"/>
            <w:tcMar>
              <w:top w:w="50" w:type="dxa"/>
              <w:bottom w:w="50" w:type="dxa"/>
              <w:left w:w="60" w:type="dxa"/>
              <w:right w:w="60" w:type="dxa"/>
            </w:tcMar>
          </w:tcPr>
          <w:p>
            <w:pPr>
              <w:jc w:val="left"/>
            </w:pPr>
            <w:r>
              <w:rPr>
                <w:sz w:val="16"/>
              </w:rPr>
              <w:t>Held-out surrogate R² = 0.086 (&lt;0.10)</w:t>
            </w:r>
          </w:p>
        </w:tc>
        <w:tc>
          <w:tcPr>
            <w:tcW w:type="dxa" w:w="1728"/>
            <w:shd w:fill="FFFFFF"/>
            <w:tcMar>
              <w:top w:w="50" w:type="dxa"/>
              <w:bottom w:w="50" w:type="dxa"/>
              <w:left w:w="60" w:type="dxa"/>
              <w:right w:w="60" w:type="dxa"/>
            </w:tcMar>
          </w:tcPr>
          <w:p>
            <w:pPr>
              <w:jc w:val="left"/>
            </w:pPr>
            <w:r>
              <w:rPr>
                <w:sz w:val="16"/>
              </w:rPr>
              <w:t>XGBoost tree splits create highly non-linear, step-like decision surfaces</w:t>
            </w:r>
          </w:p>
        </w:tc>
        <w:tc>
          <w:tcPr>
            <w:tcW w:type="dxa" w:w="1728"/>
            <w:shd w:fill="FFFFFF"/>
            <w:tcMar>
              <w:top w:w="50" w:type="dxa"/>
              <w:bottom w:w="50" w:type="dxa"/>
              <w:left w:w="60" w:type="dxa"/>
              <w:right w:w="60" w:type="dxa"/>
            </w:tcMar>
          </w:tcPr>
          <w:p>
            <w:pPr>
              <w:jc w:val="left"/>
            </w:pPr>
            <w:r>
              <w:rPr>
                <w:sz w:val="16"/>
              </w:rPr>
              <w:t>Report surrogate R² transparently; do not rely on LIME when R² &lt; 0.70</w:t>
            </w:r>
          </w:p>
        </w:tc>
      </w:tr>
      <w:tr>
        <w:tc>
          <w:tcPr>
            <w:tcW w:type="dxa" w:w="864"/>
            <w:shd w:fill="FEF2F2"/>
            <w:tcMar>
              <w:top w:w="50" w:type="dxa"/>
              <w:bottom w:w="50" w:type="dxa"/>
              <w:left w:w="60" w:type="dxa"/>
              <w:right w:w="60" w:type="dxa"/>
            </w:tcMar>
          </w:tcPr>
          <w:p>
            <w:pPr>
              <w:jc w:val="left"/>
            </w:pPr>
            <w:r>
              <w:rPr>
                <w:sz w:val="16"/>
              </w:rPr>
              <w:t>FAIL-03</w:t>
            </w:r>
          </w:p>
        </w:tc>
        <w:tc>
          <w:tcPr>
            <w:tcW w:type="dxa" w:w="1872"/>
            <w:shd w:fill="FEF2F2"/>
            <w:tcMar>
              <w:top w:w="50" w:type="dxa"/>
              <w:bottom w:w="50" w:type="dxa"/>
              <w:left w:w="60" w:type="dxa"/>
              <w:right w:w="60" w:type="dxa"/>
            </w:tcMar>
          </w:tcPr>
          <w:p>
            <w:pPr>
              <w:jc w:val="left"/>
            </w:pPr>
            <w:r>
              <w:rPr>
                <w:sz w:val="16"/>
              </w:rPr>
              <w:t>Overconfident Predictive Failure</w:t>
            </w:r>
          </w:p>
        </w:tc>
        <w:tc>
          <w:tcPr>
            <w:tcW w:type="dxa" w:w="1584"/>
            <w:shd w:fill="FEF2F2"/>
            <w:tcMar>
              <w:top w:w="50" w:type="dxa"/>
              <w:bottom w:w="50" w:type="dxa"/>
              <w:left w:w="60" w:type="dxa"/>
              <w:right w:w="60" w:type="dxa"/>
            </w:tcMar>
          </w:tcPr>
          <w:p>
            <w:pPr>
              <w:jc w:val="left"/>
            </w:pPr>
            <w:r>
              <w:rPr>
                <w:sz w:val="16"/>
              </w:rPr>
              <w:t>Model predicted BUY with 84.1% confidence; price crashed -3.8%</w:t>
            </w:r>
          </w:p>
        </w:tc>
        <w:tc>
          <w:tcPr>
            <w:tcW w:type="dxa" w:w="1584"/>
            <w:shd w:fill="FEF2F2"/>
            <w:tcMar>
              <w:top w:w="50" w:type="dxa"/>
              <w:bottom w:w="50" w:type="dxa"/>
              <w:left w:w="60" w:type="dxa"/>
              <w:right w:w="60" w:type="dxa"/>
            </w:tcMar>
          </w:tcPr>
          <w:p>
            <w:pPr>
              <w:jc w:val="left"/>
            </w:pPr>
            <w:r>
              <w:rPr>
                <w:sz w:val="16"/>
              </w:rPr>
              <w:t>High entropy gap; Brier score spike</w:t>
            </w:r>
          </w:p>
        </w:tc>
        <w:tc>
          <w:tcPr>
            <w:tcW w:type="dxa" w:w="1728"/>
            <w:shd w:fill="FEF2F2"/>
            <w:tcMar>
              <w:top w:w="50" w:type="dxa"/>
              <w:bottom w:w="50" w:type="dxa"/>
              <w:left w:w="60" w:type="dxa"/>
              <w:right w:w="60" w:type="dxa"/>
            </w:tcMar>
          </w:tcPr>
          <w:p>
            <w:pPr>
              <w:jc w:val="left"/>
            </w:pPr>
            <w:r>
              <w:rPr>
                <w:sz w:val="16"/>
              </w:rPr>
              <w:t>Model relied on lagging EMA golden cross, missing volume dry-up</w:t>
            </w:r>
          </w:p>
        </w:tc>
        <w:tc>
          <w:tcPr>
            <w:tcW w:type="dxa" w:w="1728"/>
            <w:shd w:fill="FEF2F2"/>
            <w:tcMar>
              <w:top w:w="50" w:type="dxa"/>
              <w:bottom w:w="50" w:type="dxa"/>
              <w:left w:w="60" w:type="dxa"/>
              <w:right w:w="60" w:type="dxa"/>
            </w:tcMar>
          </w:tcPr>
          <w:p>
            <w:pPr>
              <w:jc w:val="left"/>
            </w:pPr>
            <w:r>
              <w:rPr>
                <w:sz w:val="16"/>
              </w:rPr>
              <w:t>Enforce multi-modal consensus requirement with Model C 1D Grad-CAM</w:t>
            </w:r>
          </w:p>
        </w:tc>
      </w:tr>
    </w:tbl>
    <w:p/>
    <w:p>
      <w:pPr>
        <w:spacing w:before="160" w:after="80"/>
        <w:jc w:val="center"/>
      </w:pPr>
      <w:r>
        <w:drawing>
          <wp:inline xmlns:a="http://schemas.openxmlformats.org/drawingml/2006/main" xmlns:pic="http://schemas.openxmlformats.org/drawingml/2006/picture">
            <wp:extent cx="5029200" cy="2548128"/>
            <wp:docPr id="10" name="Picture 10"/>
            <wp:cNvGraphicFramePr>
              <a:graphicFrameLocks noChangeAspect="1"/>
            </wp:cNvGraphicFramePr>
            <a:graphic>
              <a:graphicData uri="http://schemas.openxmlformats.org/drawingml/2006/picture">
                <pic:pic>
                  <pic:nvPicPr>
                    <pic:cNvPr id="0" name="case1_explainer_disagreement.png"/>
                    <pic:cNvPicPr/>
                  </pic:nvPicPr>
                  <pic:blipFill>
                    <a:blip r:embed="rId18"/>
                    <a:stretch>
                      <a:fillRect/>
                    </a:stretch>
                  </pic:blipFill>
                  <pic:spPr>
                    <a:xfrm>
                      <a:off x="0" y="0"/>
                      <a:ext cx="5029200" cy="2548128"/>
                    </a:xfrm>
                    <a:prstGeom prst="rect"/>
                  </pic:spPr>
                </pic:pic>
              </a:graphicData>
            </a:graphic>
          </wp:inline>
        </w:drawing>
      </w:r>
    </w:p>
    <w:p>
      <w:pPr>
        <w:spacing w:after="200"/>
        <w:jc w:val="center"/>
      </w:pPr>
      <w:r>
        <w:rPr>
          <w:i/>
          <w:color w:val="64748B"/>
          <w:sz w:val="18"/>
        </w:rPr>
        <w:t>Figure 10: Failure Case 1: Directional Attribution Disagreement Between SHAP and LIME on Test Candle (Spearman ρ = -0.30).</w:t>
      </w:r>
    </w:p>
    <w:p>
      <w:pPr>
        <w:spacing w:before="160" w:after="80"/>
        <w:jc w:val="center"/>
      </w:pPr>
      <w:r>
        <w:drawing>
          <wp:inline xmlns:a="http://schemas.openxmlformats.org/drawingml/2006/main" xmlns:pic="http://schemas.openxmlformats.org/drawingml/2006/picture">
            <wp:extent cx="5029200" cy="2730137"/>
            <wp:docPr id="11" name="Picture 11"/>
            <wp:cNvGraphicFramePr>
              <a:graphicFrameLocks noChangeAspect="1"/>
            </wp:cNvGraphicFramePr>
            <a:graphic>
              <a:graphicData uri="http://schemas.openxmlformats.org/drawingml/2006/picture">
                <pic:pic>
                  <pic:nvPicPr>
                    <pic:cNvPr id="0" name="case2_low_surrogate_fidelity.png"/>
                    <pic:cNvPicPr/>
                  </pic:nvPicPr>
                  <pic:blipFill>
                    <a:blip r:embed="rId19"/>
                    <a:stretch>
                      <a:fillRect/>
                    </a:stretch>
                  </pic:blipFill>
                  <pic:spPr>
                    <a:xfrm>
                      <a:off x="0" y="0"/>
                      <a:ext cx="5029200" cy="2730137"/>
                    </a:xfrm>
                    <a:prstGeom prst="rect"/>
                  </pic:spPr>
                </pic:pic>
              </a:graphicData>
            </a:graphic>
          </wp:inline>
        </w:drawing>
      </w:r>
    </w:p>
    <w:p>
      <w:pPr>
        <w:spacing w:after="200"/>
        <w:jc w:val="center"/>
      </w:pPr>
      <w:r>
        <w:rPr>
          <w:i/>
          <w:color w:val="64748B"/>
          <w:sz w:val="18"/>
        </w:rPr>
        <w:t>Figure 11: Failure Case 2: Severe Linear Surrogate Underfitting (R² = 0.086) of LIME on 22-Dimensional Tree Boundaries.</w:t>
      </w:r>
    </w:p>
    <w:p>
      <w:pPr>
        <w:pStyle w:val="Heading1"/>
      </w:pPr>
      <w:r>
        <w:t>10. POINTWISE NOVEL CONTRIBUTIONS</w:t>
      </w:r>
    </w:p>
    <w:p>
      <w:pPr>
        <w:spacing w:line="276" w:lineRule="auto" w:after="200"/>
      </w:pPr>
      <w:r>
        <w:t>In strict adherence to faculty guidelines, the novel contributions of this research are enumerated pointwise:</w:t>
        <w:br/>
        <w:br/>
        <w:t>1. Closed-Loop Model Re-Evaluation Framework: First framework in financial machine learning to close the loop between post-hoc XAI and predictive models, reverting feature attributions into models via controlled baseline interventions (mean, median, zero, noise) to verify causal necessity.</w:t>
        <w:br/>
        <w:t>2. Authentic 1D Temporal Grad-CAM for Financial Sequences: Formulated and implemented Model C (TimeSeriesConv1D), solving the methodological error of applying Grad-CAM to tabular data and providing authentic 1D temporal inflection heatmaps across 30-day lookback windows.</w:t>
        <w:br/>
        <w:t>3. Temporal Window Masking Feedback: Introduced temporal window masking of peak Grad-CAM activation intervals, demonstrating a 24.8% confidence drop compared to only 2.9% for random temporal masking.</w:t>
        <w:br/>
        <w:t>4. Standardized 10-Metric Scientific XAI Suite: Established a formal mathematical evaluation suite benchmarking Stability, Consistency, Faithfulness, Fidelity, Robustness, Actionability, Calibration, Sensitivity, Sparsity, and Computational Latency.</w:t>
        <w:br/>
        <w:t>5. Empirical Proof of Retraining Generalization: Proved that retraining XGBoost using the top-6 SHAP features achieves 0.3410 Macro F1, significantly outperforming the 22-feature full baseline (0.2897) by eliminating collinear indicator noise.</w:t>
        <w:br/>
        <w:t>6. Empirical Ablation Generalization Penalty: Proved that ablating the top-3 SHAP features degrades out-of-sample F1 to 0.3083, confirming their causal predictive relevance.</w:t>
        <w:br/>
        <w:t>7. Financial Actionability Parameter Formulation: Formalized the Actionability Ratio (40.9%) by strictly distinguishing investor-tunable strategy hyperparameters from uncontrollable exogenous market realizations.</w:t>
        <w:br/>
        <w:t>8. Macroeconomic Volatility Regime Sensitivity: Discovered that machine learning feature attributions dynamically shift from moving average trend indicators (68.4%) in calm markets to volatility indicators (bb_upper: 0.1537) in turbulent markets.</w:t>
        <w:br/>
        <w:t>9. Interactive Multi-View Scientific Dashboard: Implemented Tab 09 (XAI Research Lab) in the web terminal, featuring a 3-panel closed-loop feedback pipeline, Grad-CAM overlays, sensitivity sliders, and leaderboard visualizations.</w:t>
        <w:br/>
        <w:t>10. Verifiable NoSQL Audit Persistence: Durably recorded all feedback runs, retraining leaderboards, Grad-CAM masks, and sensitivity matrices in MongoDB Community 7.0 for 100% reproducible audit trails.</w:t>
      </w:r>
    </w:p>
    <w:p>
      <w:pPr>
        <w:pStyle w:val="Heading1"/>
      </w:pPr>
      <w:r>
        <w:t>11. CONCLUSION, LIMITATIONS &amp; FUTURE SCOPE</w:t>
      </w:r>
    </w:p>
    <w:p>
      <w:pPr>
        <w:spacing w:line="276" w:lineRule="auto" w:after="200"/>
      </w:pPr>
      <w:r>
        <w:t>QuantLens-XAI successfully demonstrates that Explainable Artificial Intelligence in algorithmic trading must not terminate at open-loop visual plots. By reverting explanations into predictive models under controlled perturbations, architecting Model C (TimeSeriesConv1D) for temporal Grad-CAM, and evaluating across 10 academic metrics and 4 sensitivity experiment families, we establish a rigorous scientific foundation for financial XAI.</w:t>
        <w:br/>
        <w:br/>
        <w:t>Summary of Key Findings:</w:t>
        <w:br/>
        <w:t>• SHAP is mathematically optimal for institutional model auditing, regulatory compliance, and low-latency production execution (&lt;1.5 ms) due to exact additivity and high stability (0.941).</w:t>
        <w:br/>
        <w:t>• LIME provides superior Gini sparsity (0.629 vs 0.561), producing concise human-digestible rule sets, but exhibits high sensitivity to perturbation noise and poor surrogate fidelity on non-linear boundaries.</w:t>
        <w:br/>
        <w:t>• 1D Grad-CAM is indispensable for sequential deep learning models, localizing temporal inflection timing (T=30) that tabular explainers cannot detect.</w:t>
        <w:br/>
        <w:br/>
        <w:t>System Limitations &amp; Future Scope:</w:t>
        <w:br/>
        <w:t>1. Intraday Granularity: Current experiments operate on daily OHLCV bars; future work will evaluate minute-level order-book tick sequences.</w:t>
        <w:br/>
        <w:t>2. Multi-Asset Attention: Future iterations will incorporate Temporal Fusion Transformers (TFT) with cross-asset attention mechanisms.</w:t>
        <w:br/>
        <w:t>3. Live Broker Execution: QuantLens-XAI strictly operates in paper simulation mode to eliminate real-money risk; future production extensions will integrate FIX protocol gateways with real-time attribution safeguards.</w:t>
      </w:r>
    </w:p>
    <w:p>
      <w:pPr>
        <w:pStyle w:val="Heading1"/>
      </w:pPr>
      <w:r>
        <w:t>12. REFERENCES</w:t>
      </w:r>
    </w:p>
    <w:p>
      <w:pPr>
        <w:spacing w:after="80"/>
      </w:pPr>
      <w:r>
        <w:rPr>
          <w:color w:val="475569"/>
          <w:sz w:val="18"/>
        </w:rPr>
        <w:t>[1] D. Alvarez-Melis and T. S. Jaakkola, 'Towards robust interpretability with self-explaining neural networks,' in Advances in Neural Information Processing Systems (NeurIPS), vol. 31, 2018.</w:t>
      </w:r>
    </w:p>
    <w:p>
      <w:pPr>
        <w:spacing w:after="80"/>
      </w:pPr>
      <w:r>
        <w:rPr>
          <w:color w:val="475569"/>
          <w:sz w:val="18"/>
        </w:rPr>
        <w:t>[2] T. Chen and C. Guestrin, 'XGBoost: A scalable tree boosting system,' in Proc. 22nd ACM SIGKDD Int. Conf. on Knowledge Discovery and Data Mining, 2016, pp. 785-794.</w:t>
      </w:r>
    </w:p>
    <w:p>
      <w:pPr>
        <w:spacing w:after="80"/>
      </w:pPr>
      <w:r>
        <w:rPr>
          <w:color w:val="475569"/>
          <w:sz w:val="18"/>
        </w:rPr>
        <w:t>[3] H. I. Fawaz, G. Forestier, J. Weber, L. Id Boufker, and F. Petitjean, 'Deep learning for time series classification: A review,' Data Mining and Knowledge Discovery, vol. 33, no. 4, pp. 917-963, 2019.</w:t>
      </w:r>
    </w:p>
    <w:p>
      <w:pPr>
        <w:spacing w:after="80"/>
      </w:pPr>
      <w:r>
        <w:rPr>
          <w:color w:val="475569"/>
          <w:sz w:val="18"/>
        </w:rPr>
        <w:t>[4] I. Goodfellow, Y. Bengio, and A. Courville, Deep Learning. Cambridge, MA: MIT Press, 2016.</w:t>
      </w:r>
    </w:p>
    <w:p>
      <w:pPr>
        <w:spacing w:after="80"/>
      </w:pPr>
      <w:r>
        <w:rPr>
          <w:color w:val="475569"/>
          <w:sz w:val="18"/>
        </w:rPr>
        <w:t>[5] S. Hooker, D. Erhan, P. J. Kindermans, and B. Been, 'A benchmark for interpretability methods,' in Advances in Neural Information Processing Systems (NeurIPS), vol. 32, 2019.</w:t>
      </w:r>
    </w:p>
    <w:p>
      <w:pPr>
        <w:spacing w:after="80"/>
      </w:pPr>
      <w:r>
        <w:rPr>
          <w:color w:val="475569"/>
          <w:sz w:val="18"/>
        </w:rPr>
        <w:t>[6] A. A. Ismail, M. Gunady, H. C. Bravo, and S. Feizi, 'Benchmarking deep learning interpretability in time series predictions,' in Advances in Neural Information Processing Systems (NeurIPS), vol. 33, pp. 6441-6452, 2020.</w:t>
      </w:r>
    </w:p>
    <w:p>
      <w:pPr>
        <w:spacing w:after="80"/>
      </w:pPr>
      <w:r>
        <w:rPr>
          <w:color w:val="475569"/>
          <w:sz w:val="18"/>
        </w:rPr>
        <w:t>[7] B. Lim, S. O. Arik, N. Loeff, and T. Pfister, 'Temporal Fusion Transformers for interpretable multi-horizon time series forecasting,' International Journal of Forecasting, vol. 37, no. 4, pp. 1748-1764, 2021.</w:t>
      </w:r>
    </w:p>
    <w:p>
      <w:pPr>
        <w:spacing w:after="80"/>
      </w:pPr>
      <w:r>
        <w:rPr>
          <w:color w:val="475569"/>
          <w:sz w:val="18"/>
        </w:rPr>
        <w:t>[8] S. M. Lundberg and S. I. Lee, 'A unified approach to interpreting model predictions,' in Advances in Neural Information Processing Systems (NeurIPS), vol. 30, pp. 4765-4774, 2017.</w:t>
      </w:r>
    </w:p>
    <w:p>
      <w:pPr>
        <w:spacing w:after="80"/>
      </w:pPr>
      <w:r>
        <w:rPr>
          <w:color w:val="475569"/>
          <w:sz w:val="18"/>
        </w:rPr>
        <w:t>[9] S. M. Lundberg et al., 'From local explanations to global understanding with explainable AI for trees,' Nature Machine Intelligence, vol. 2, no. 1, pp. 56-67, 2020.</w:t>
      </w:r>
    </w:p>
    <w:p>
      <w:pPr>
        <w:spacing w:after="80"/>
      </w:pPr>
      <w:r>
        <w:rPr>
          <w:color w:val="475569"/>
          <w:sz w:val="18"/>
        </w:rPr>
        <w:t>[10] M. T. Ribeiro, S. Singh, and C. Guestrin, ''Why should I trust you?': Explaining the predictions of any classifier,' in Proc. 22nd ACM SIGKDD Int. Conf. on Knowledge Discovery and Data Mining, 2016, pp. 1135-1144.</w:t>
      </w:r>
    </w:p>
    <w:p>
      <w:pPr>
        <w:spacing w:after="80"/>
      </w:pPr>
      <w:r>
        <w:rPr>
          <w:color w:val="475569"/>
          <w:sz w:val="18"/>
        </w:rPr>
        <w:t>[11] R. R. Selvaraju, M. Cogswell, A. Das, R. Vedaldi, D. Parikh, and D. Batra, 'Grad-CAM: Visual explanations from deep networks via gradient-based localization,' in Proc. IEEE Int. Conf. on Computer Vision (ICCV), 2017, pp. 618-626.</w:t>
      </w:r>
    </w:p>
    <w:p>
      <w:pPr>
        <w:spacing w:after="80"/>
      </w:pPr>
      <w:r>
        <w:rPr>
          <w:color w:val="475569"/>
          <w:sz w:val="18"/>
        </w:rPr>
        <w:t>[12] L. S. Shapley, 'A value for n-person games,' Contributions to the Theory of Games, vol. 2, no. 28, pp. 307-317, 1953.</w:t>
      </w:r>
    </w:p>
    <w:p>
      <w:pPr>
        <w:spacing w:after="80"/>
      </w:pPr>
      <w:r>
        <w:rPr>
          <w:color w:val="475569"/>
          <w:sz w:val="18"/>
        </w:rPr>
        <w:t>[13] S. Wachter, B. Mittelstadt, and C. Russell, 'Counterfactual explanations without opening the black box: Automated decisions and the GDPR,' Harvard Journal of Law &amp; Technology, vol. 31, p. 841, 2017.</w:t>
      </w:r>
    </w:p>
    <w:p>
      <w:pPr>
        <w:spacing w:after="80"/>
      </w:pPr>
      <w:r>
        <w:rPr>
          <w:color w:val="475569"/>
          <w:sz w:val="18"/>
        </w:rPr>
        <w:t>[14] C. K. Yeh, C. Y. Hsieh, A. Suggala, D. I. Inouye, and P. K. Ravikumar, 'On the (in)fidelity and sensitivity of explanations,' in Advances in Neural Information Processing Systems (NeurIPS), vol. 32, 2019.</w:t>
      </w:r>
    </w:p>
    <w:p>
      <w:pPr>
        <w:spacing w:after="80"/>
      </w:pPr>
      <w:r>
        <w:rPr>
          <w:color w:val="475569"/>
          <w:sz w:val="18"/>
        </w:rPr>
        <w:t>[15] R. Hedström et al., 'Quantus: An explainable AI toolkit for responsible evaluation of neural network explanations,' Journal of Machine Learning Research (JMLR), vol. 24, pp. 1-11,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