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 w:after="1"/>
        <w:rPr>
          <w:sz w:val="20"/>
        </w:rPr>
      </w:pPr>
    </w:p>
    <w:p>
      <w:pPr>
        <w:pStyle w:val="BodyText"/>
        <w:spacing w:line="39" w:lineRule="exact"/>
        <w:ind w:left="288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577840" cy="2540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77840" cy="25400"/>
                          <a:chExt cx="557784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778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25400">
                                <a:moveTo>
                                  <a:pt x="5577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577840" y="25311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2pt;height:2pt;mso-position-horizontal-relative:char;mso-position-vertical-relative:line" id="docshapegroup5" coordorigin="0,0" coordsize="8784,40">
                <v:rect style="position:absolute;left:0;top:0;width:8784;height:40" id="docshape6" filled="true" fillcolor="#1a396b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Title"/>
        <w:spacing w:line="480" w:lineRule="atLeast" w:before="132"/>
        <w:ind w:left="1327" w:right="2735"/>
      </w:pPr>
      <w:r>
        <w:rPr>
          <w:color w:val="1A396B"/>
        </w:rPr>
        <w:t>Pharos: Navigated Hierarchical Attention</w:t>
      </w:r>
      <w:r>
        <w:rPr>
          <w:color w:val="1A396B"/>
          <w:spacing w:val="40"/>
        </w:rPr>
        <w:t> </w:t>
      </w:r>
      <w:r>
        <w:rPr>
          <w:color w:val="1A396B"/>
        </w:rPr>
        <w:t>with</w:t>
      </w:r>
      <w:r>
        <w:rPr>
          <w:color w:val="1A396B"/>
          <w:spacing w:val="-21"/>
        </w:rPr>
        <w:t> </w:t>
      </w:r>
      <w:r>
        <w:rPr>
          <w:color w:val="1A396B"/>
        </w:rPr>
        <w:t>Adaptive</w:t>
      </w:r>
      <w:r>
        <w:rPr>
          <w:color w:val="1A396B"/>
          <w:spacing w:val="-21"/>
        </w:rPr>
        <w:t> </w:t>
      </w:r>
      <w:r>
        <w:rPr>
          <w:color w:val="1A396B"/>
        </w:rPr>
        <w:t>Budgets,</w:t>
      </w:r>
      <w:r>
        <w:rPr>
          <w:color w:val="1A396B"/>
          <w:spacing w:val="-21"/>
        </w:rPr>
        <w:t> </w:t>
      </w:r>
      <w:r>
        <w:rPr>
          <w:color w:val="1A396B"/>
        </w:rPr>
        <w:t>Cross-Level</w:t>
      </w:r>
      <w:r>
        <w:rPr>
          <w:color w:val="1A396B"/>
          <w:spacing w:val="-21"/>
        </w:rPr>
        <w:t> </w:t>
      </w:r>
      <w:r>
        <w:rPr>
          <w:color w:val="1A396B"/>
        </w:rPr>
        <w:t>Guidance,</w:t>
      </w:r>
    </w:p>
    <w:p>
      <w:pPr>
        <w:pStyle w:val="Title"/>
        <w:ind w:firstLine="0"/>
      </w:pPr>
      <w:r>
        <w:rPr>
          <w:color w:val="1A396B"/>
          <w:spacing w:val="-2"/>
        </w:rPr>
        <w:t>Tidal</w:t>
      </w:r>
      <w:r>
        <w:rPr>
          <w:color w:val="1A396B"/>
          <w:spacing w:val="-11"/>
        </w:rPr>
        <w:t> </w:t>
      </w:r>
      <w:r>
        <w:rPr>
          <w:color w:val="1A396B"/>
          <w:spacing w:val="-2"/>
        </w:rPr>
        <w:t>Momentum,</w:t>
      </w:r>
      <w:r>
        <w:rPr>
          <w:color w:val="1A396B"/>
          <w:spacing w:val="-10"/>
        </w:rPr>
        <w:t> </w:t>
      </w:r>
      <w:r>
        <w:rPr>
          <w:color w:val="1A396B"/>
          <w:spacing w:val="-2"/>
        </w:rPr>
        <w:t>and</w:t>
      </w:r>
      <w:r>
        <w:rPr>
          <w:color w:val="1A396B"/>
          <w:spacing w:val="-10"/>
        </w:rPr>
        <w:t> </w:t>
      </w:r>
      <w:r>
        <w:rPr>
          <w:color w:val="1A396B"/>
          <w:spacing w:val="-2"/>
        </w:rPr>
        <w:t>Uncertainty-Aware</w:t>
      </w:r>
      <w:r>
        <w:rPr>
          <w:color w:val="1A396B"/>
          <w:spacing w:val="-10"/>
        </w:rPr>
        <w:t> </w:t>
      </w:r>
      <w:r>
        <w:rPr>
          <w:color w:val="1A396B"/>
          <w:spacing w:val="-2"/>
        </w:rPr>
        <w:t>Fallback</w:t>
      </w:r>
    </w:p>
    <w:p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234429</wp:posOffset>
                </wp:positionV>
                <wp:extent cx="55778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A39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8.459009pt;width:439.2pt;height:.1pt;mso-position-horizontal-relative:page;mso-position-vertical-relative:paragraph;z-index:-15728128;mso-wrap-distance-left:0;mso-wrap-distance-right:0" id="docshape7" coordorigin="1728,369" coordsize="8784,0" path="m1728,369l10512,369e" filled="false" stroked="true" strokeweight=".598pt" strokecolor="#1a39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tabs>
          <w:tab w:pos="3459" w:val="left" w:leader="none"/>
        </w:tabs>
        <w:spacing w:before="187"/>
      </w:pPr>
      <w:r>
        <w:rPr/>
        <w:t>Saipriyadarshan</w:t>
      </w:r>
      <w:r>
        <w:rPr>
          <w:spacing w:val="40"/>
        </w:rPr>
        <w:t> </w:t>
      </w:r>
      <w:r>
        <w:rPr>
          <w:spacing w:val="-2"/>
        </w:rPr>
        <w:t>Cindula</w:t>
      </w:r>
      <w:r>
        <w:rPr/>
        <w:tab/>
        <w:t>Nikhil</w:t>
      </w:r>
      <w:r>
        <w:rPr>
          <w:spacing w:val="18"/>
        </w:rPr>
        <w:t> </w:t>
      </w:r>
      <w:r>
        <w:rPr/>
        <w:t>Gajanan</w:t>
      </w:r>
      <w:r>
        <w:rPr>
          <w:spacing w:val="19"/>
        </w:rPr>
        <w:t> </w:t>
      </w:r>
      <w:r>
        <w:rPr>
          <w:spacing w:val="-2"/>
        </w:rPr>
        <w:t>Bajaj</w:t>
      </w:r>
    </w:p>
    <w:p>
      <w:pPr>
        <w:pStyle w:val="BodyText"/>
        <w:spacing w:before="64"/>
        <w:ind w:right="1437"/>
        <w:jc w:val="center"/>
      </w:pPr>
      <w:r>
        <w:rPr>
          <w:color w:val="545466"/>
        </w:rPr>
        <w:t>ZenLabs,</w:t>
      </w:r>
      <w:r>
        <w:rPr>
          <w:color w:val="545466"/>
          <w:spacing w:val="-9"/>
        </w:rPr>
        <w:t> </w:t>
      </w:r>
      <w:r>
        <w:rPr>
          <w:color w:val="545466"/>
        </w:rPr>
        <w:t>Zensar</w:t>
      </w:r>
      <w:r>
        <w:rPr>
          <w:color w:val="545466"/>
          <w:spacing w:val="-9"/>
        </w:rPr>
        <w:t> </w:t>
      </w:r>
      <w:r>
        <w:rPr>
          <w:color w:val="545466"/>
          <w:spacing w:val="-2"/>
        </w:rPr>
        <w:t>Technologies</w:t>
      </w:r>
    </w:p>
    <w:p>
      <w:pPr>
        <w:spacing w:before="93"/>
        <w:ind w:left="0" w:right="1490" w:firstLine="0"/>
        <w:jc w:val="center"/>
        <w:rPr>
          <w:rFonts w:ascii="Courier New"/>
          <w:sz w:val="22"/>
        </w:rPr>
      </w:pPr>
      <w:r>
        <w:rPr>
          <w:rFonts w:ascii="Courier New"/>
          <w:color w:val="0066CC"/>
          <w:spacing w:val="-2"/>
          <w:sz w:val="22"/>
        </w:rPr>
        <w:t>{saipriyadarshan.cindula,</w:t>
      </w:r>
      <w:r>
        <w:rPr>
          <w:rFonts w:ascii="Courier New"/>
          <w:color w:val="0066CC"/>
          <w:spacing w:val="13"/>
          <w:sz w:val="22"/>
        </w:rPr>
        <w:t> </w:t>
      </w:r>
      <w:r>
        <w:rPr>
          <w:rFonts w:ascii="Courier New"/>
          <w:color w:val="0066CC"/>
          <w:spacing w:val="-2"/>
          <w:sz w:val="22"/>
        </w:rPr>
        <w:t>nikhil.bajaj}@zensar.com</w:t>
      </w:r>
    </w:p>
    <w:p>
      <w:pPr>
        <w:pStyle w:val="BodyText"/>
        <w:spacing w:before="12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1097280</wp:posOffset>
                </wp:positionH>
                <wp:positionV relativeFrom="paragraph">
                  <wp:posOffset>167228</wp:posOffset>
                </wp:positionV>
                <wp:extent cx="5577840" cy="254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78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25400">
                              <a:moveTo>
                                <a:pt x="55778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577840" y="25311"/>
                              </a:lnTo>
                              <a:lnTo>
                                <a:pt x="5577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00002pt;margin-top:13.167602pt;width:439.2pt;height:1.993pt;mso-position-horizontal-relative:page;mso-position-vertical-relative:paragraph;z-index:-15727616;mso-wrap-distance-left:0;mso-wrap-distance-right:0" id="docshape8" filled="true" fillcolor="#1a396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sz w:val="28"/>
        </w:rPr>
      </w:pPr>
    </w:p>
    <w:p>
      <w:pPr>
        <w:pStyle w:val="BodyText"/>
        <w:spacing w:before="216"/>
        <w:rPr>
          <w:rFonts w:ascii="Courier New"/>
          <w:sz w:val="28"/>
        </w:rPr>
      </w:pPr>
    </w:p>
    <w:p>
      <w:pPr>
        <w:pStyle w:val="Heading1"/>
        <w:ind w:right="14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1097280</wp:posOffset>
                </wp:positionH>
                <wp:positionV relativeFrom="paragraph">
                  <wp:posOffset>-104975</wp:posOffset>
                </wp:positionV>
                <wp:extent cx="5577840" cy="44291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577840" cy="4429125"/>
                          <a:chExt cx="5577840" cy="44291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5942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9425" h="4410075">
                                <a:moveTo>
                                  <a:pt x="5558866" y="0"/>
                                </a:moveTo>
                                <a:lnTo>
                                  <a:pt x="189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9668"/>
                                </a:lnTo>
                                <a:lnTo>
                                  <a:pt x="18973" y="4409668"/>
                                </a:lnTo>
                                <a:lnTo>
                                  <a:pt x="18973" y="18973"/>
                                </a:lnTo>
                                <a:lnTo>
                                  <a:pt x="5558866" y="18973"/>
                                </a:lnTo>
                                <a:lnTo>
                                  <a:pt x="5558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973" y="18973"/>
                            <a:ext cx="554037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0375" h="4391025">
                                <a:moveTo>
                                  <a:pt x="5539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0682"/>
                                </a:lnTo>
                                <a:lnTo>
                                  <a:pt x="5539892" y="4390682"/>
                                </a:lnTo>
                                <a:lnTo>
                                  <a:pt x="553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77840" cy="442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4429125">
                                <a:moveTo>
                                  <a:pt x="5577840" y="0"/>
                                </a:moveTo>
                                <a:lnTo>
                                  <a:pt x="5558866" y="0"/>
                                </a:lnTo>
                                <a:lnTo>
                                  <a:pt x="5558866" y="4409668"/>
                                </a:lnTo>
                                <a:lnTo>
                                  <a:pt x="0" y="4409668"/>
                                </a:lnTo>
                                <a:lnTo>
                                  <a:pt x="0" y="4428642"/>
                                </a:lnTo>
                                <a:lnTo>
                                  <a:pt x="5577840" y="4428642"/>
                                </a:lnTo>
                                <a:lnTo>
                                  <a:pt x="5577840" y="4409668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00002pt;margin-top:-8.265750pt;width:439.2pt;height:348.75pt;mso-position-horizontal-relative:page;mso-position-vertical-relative:paragraph;z-index:-15831552" id="docshapegroup9" coordorigin="1728,-165" coordsize="8784,6975">
                <v:shape style="position:absolute;left:1728;top:-166;width:8755;height:6945" id="docshape10" coordorigin="1728,-165" coordsize="8755,6945" path="m10482,-165l1758,-165,1728,-165,1728,6779,1758,6779,1758,-135,10482,-135,10482,-165xe" filled="true" fillcolor="#1a396b" stroked="false">
                  <v:path arrowok="t"/>
                  <v:fill type="solid"/>
                </v:shape>
                <v:rect style="position:absolute;left:1757;top:-136;width:8725;height:6915" id="docshape11" filled="true" fillcolor="#ebf2fa" stroked="false">
                  <v:fill type="solid"/>
                </v:rect>
                <v:shape style="position:absolute;left:1728;top:-166;width:8784;height:6975" id="docshape12" coordorigin="1728,-165" coordsize="8784,6975" path="m10512,-165l10482,-165,10482,6779,1728,6779,1728,6809,10512,6809,10512,6779,10512,-165xe" filled="true" fillcolor="#1a396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396B"/>
          <w:spacing w:val="-2"/>
        </w:rPr>
        <w:t>Abstract</w:t>
      </w:r>
    </w:p>
    <w:p>
      <w:pPr>
        <w:pStyle w:val="BodyText"/>
        <w:spacing w:line="242" w:lineRule="auto" w:before="84"/>
        <w:ind w:left="588" w:right="2014" w:firstLine="8"/>
        <w:jc w:val="both"/>
      </w:pPr>
      <w:r>
        <w:rPr/>
        <w:t>Lighthouse Attention </w:t>
      </w:r>
      <w:r>
        <w:rPr>
          <w:b/>
        </w:rPr>
        <w:t>[Peng et al., 2026] </w:t>
      </w:r>
      <w:r>
        <w:rPr/>
        <w:t>introduced symmetric hierarchical pooling with gradient-free top-</w:t>
      </w:r>
      <w:r>
        <w:rPr>
          <w:rFonts w:ascii="Calibri" w:hAnsi="Calibri"/>
          <w:i/>
        </w:rPr>
        <w:t>k </w:t>
      </w:r>
      <w:r>
        <w:rPr/>
        <w:t>selection, achieving 1.4–1.7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8"/>
        </w:rPr>
        <w:t> </w:t>
      </w:r>
      <w:r>
        <w:rPr/>
        <w:t>pretraining speedup and 17</w:t>
      </w:r>
      <w:r>
        <w:rPr>
          <w:rFonts w:ascii="Verdana" w:hAnsi="Verdana"/>
          <w:i/>
        </w:rPr>
        <w:t>× </w:t>
      </w:r>
      <w:r>
        <w:rPr/>
        <w:t>faster</w:t>
      </w:r>
      <w:r>
        <w:rPr>
          <w:spacing w:val="-12"/>
        </w:rPr>
        <w:t> </w:t>
      </w:r>
      <w:r>
        <w:rPr/>
        <w:t>attention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512K</w:t>
      </w:r>
      <w:r>
        <w:rPr>
          <w:spacing w:val="-12"/>
        </w:rPr>
        <w:t> </w:t>
      </w:r>
      <w:r>
        <w:rPr/>
        <w:t>context. Despite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gains,</w:t>
      </w:r>
      <w:r>
        <w:rPr>
          <w:spacing w:val="-12"/>
        </w:rPr>
        <w:t> </w:t>
      </w:r>
      <w:r>
        <w:rPr/>
        <w:t>three</w:t>
      </w:r>
      <w:r>
        <w:rPr>
          <w:spacing w:val="-11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rigidities</w:t>
      </w:r>
      <w:r>
        <w:rPr>
          <w:spacing w:val="-12"/>
        </w:rPr>
        <w:t> </w:t>
      </w:r>
      <w:r>
        <w:rPr/>
        <w:t>limit</w:t>
      </w:r>
      <w:r>
        <w:rPr>
          <w:spacing w:val="-11"/>
        </w:rPr>
        <w:t> </w:t>
      </w:r>
      <w:r>
        <w:rPr/>
        <w:t>its potential:</w:t>
      </w:r>
      <w:r>
        <w:rPr>
          <w:spacing w:val="-3"/>
        </w:rPr>
        <w:t> </w:t>
      </w:r>
      <w:r>
        <w:rPr>
          <w:b/>
        </w:rPr>
        <w:t>(i)</w:t>
      </w:r>
      <w:r>
        <w:rPr>
          <w:b/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uniform</w:t>
      </w:r>
      <w:r>
        <w:rPr>
          <w:spacing w:val="-14"/>
        </w:rPr>
        <w:t> </w:t>
      </w:r>
      <w:r>
        <w:rPr/>
        <w:t>per-layer</w:t>
      </w:r>
      <w:r>
        <w:rPr>
          <w:spacing w:val="-14"/>
        </w:rPr>
        <w:t> </w:t>
      </w:r>
      <w:r>
        <w:rPr/>
        <w:t>top-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-2"/>
        </w:rPr>
        <w:t> </w:t>
      </w:r>
      <w:r>
        <w:rPr/>
        <w:t>budget</w:t>
      </w:r>
      <w:r>
        <w:rPr>
          <w:spacing w:val="-14"/>
        </w:rPr>
        <w:t> </w:t>
      </w:r>
      <w:r>
        <w:rPr/>
        <w:t>ignoring</w:t>
      </w:r>
      <w:r>
        <w:rPr>
          <w:spacing w:val="-14"/>
        </w:rPr>
        <w:t> </w:t>
      </w:r>
      <w:r>
        <w:rPr/>
        <w:t>head-to-head</w:t>
      </w:r>
      <w:r>
        <w:rPr>
          <w:spacing w:val="-14"/>
        </w:rPr>
        <w:t> </w:t>
      </w:r>
      <w:r>
        <w:rPr/>
        <w:t>entropy</w:t>
      </w:r>
      <w:r>
        <w:rPr>
          <w:spacing w:val="-14"/>
        </w:rPr>
        <w:t> </w:t>
      </w:r>
      <w:r>
        <w:rPr>
          <w:spacing w:val="-2"/>
        </w:rPr>
        <w:t>variance;</w:t>
      </w:r>
    </w:p>
    <w:p>
      <w:pPr>
        <w:pStyle w:val="BodyText"/>
        <w:spacing w:line="252" w:lineRule="auto"/>
        <w:ind w:left="596" w:right="2018" w:hanging="8"/>
        <w:jc w:val="both"/>
      </w:pPr>
      <w:r>
        <w:rPr>
          <w:b/>
        </w:rPr>
        <w:t>(ii) </w:t>
      </w:r>
      <w:r>
        <w:rPr/>
        <w:t>independent pyramid-level scoring that discards coarse selection priors; and </w:t>
      </w:r>
      <w:r>
        <w:rPr>
          <w:b/>
        </w:rPr>
        <w:t>(iii) </w:t>
      </w:r>
      <w:r>
        <w:rPr/>
        <w:t>no</w:t>
      </w:r>
      <w:r>
        <w:rPr>
          <w:spacing w:val="-12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propagate</w:t>
      </w:r>
      <w:r>
        <w:rPr>
          <w:spacing w:val="-11"/>
        </w:rPr>
        <w:t> </w:t>
      </w:r>
      <w:r>
        <w:rPr/>
        <w:t>selection</w:t>
      </w:r>
      <w:r>
        <w:rPr>
          <w:spacing w:val="-12"/>
        </w:rPr>
        <w:t> </w:t>
      </w:r>
      <w:r>
        <w:rPr/>
        <w:t>state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transformer</w:t>
      </w:r>
      <w:r>
        <w:rPr>
          <w:spacing w:val="-12"/>
        </w:rPr>
        <w:t> </w:t>
      </w:r>
      <w:r>
        <w:rPr/>
        <w:t>depth,</w:t>
      </w:r>
      <w:r>
        <w:rPr>
          <w:spacing w:val="-11"/>
        </w:rPr>
        <w:t> </w:t>
      </w:r>
      <w:r>
        <w:rPr/>
        <w:t>despite</w:t>
      </w:r>
      <w:r>
        <w:rPr>
          <w:spacing w:val="-12"/>
        </w:rPr>
        <w:t> </w:t>
      </w:r>
      <w:r>
        <w:rPr/>
        <w:t>empirical evidence that the same tokens recur across layers.</w:t>
      </w:r>
    </w:p>
    <w:p>
      <w:pPr>
        <w:pStyle w:val="BodyText"/>
        <w:spacing w:line="247" w:lineRule="auto" w:before="110"/>
        <w:ind w:left="588" w:right="1832" w:hanging="3"/>
      </w:pP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present</w:t>
      </w:r>
      <w:r>
        <w:rPr>
          <w:spacing w:val="-9"/>
        </w:rPr>
        <w:t> </w:t>
      </w:r>
      <w:r>
        <w:rPr>
          <w:b/>
          <w:spacing w:val="-4"/>
        </w:rPr>
        <w:t>Pharos</w:t>
      </w:r>
      <w:r>
        <w:rPr>
          <w:b/>
          <w:spacing w:val="-9"/>
        </w:rPr>
        <w:t> </w:t>
      </w:r>
      <w:r>
        <w:rPr>
          <w:spacing w:val="-4"/>
        </w:rPr>
        <w:t>(</w:t>
      </w:r>
      <w:r>
        <w:rPr>
          <w:b/>
          <w:spacing w:val="-4"/>
        </w:rPr>
        <w:t>P</w:t>
      </w:r>
      <w:r>
        <w:rPr>
          <w:spacing w:val="-4"/>
        </w:rPr>
        <w:t>ooled</w:t>
      </w:r>
      <w:r>
        <w:rPr>
          <w:spacing w:val="-9"/>
        </w:rPr>
        <w:t> </w:t>
      </w:r>
      <w:r>
        <w:rPr>
          <w:b/>
          <w:spacing w:val="-4"/>
        </w:rPr>
        <w:t>H</w:t>
      </w:r>
      <w:r>
        <w:rPr>
          <w:spacing w:val="-4"/>
        </w:rPr>
        <w:t>ierarchical</w:t>
      </w:r>
      <w:r>
        <w:rPr>
          <w:spacing w:val="-9"/>
        </w:rPr>
        <w:t> </w:t>
      </w:r>
      <w:r>
        <w:rPr>
          <w:b/>
          <w:spacing w:val="-4"/>
        </w:rPr>
        <w:t>A</w:t>
      </w:r>
      <w:r>
        <w:rPr>
          <w:spacing w:val="-4"/>
        </w:rPr>
        <w:t>ttention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b/>
          <w:spacing w:val="-4"/>
        </w:rPr>
        <w:t>R</w:t>
      </w:r>
      <w:r>
        <w:rPr>
          <w:spacing w:val="-4"/>
        </w:rPr>
        <w:t>outed,</w:t>
      </w:r>
      <w:r>
        <w:rPr>
          <w:spacing w:val="-5"/>
        </w:rPr>
        <w:t> </w:t>
      </w:r>
      <w:r>
        <w:rPr>
          <w:b/>
          <w:spacing w:val="-4"/>
        </w:rPr>
        <w:t>O</w:t>
      </w:r>
      <w:r>
        <w:rPr>
          <w:spacing w:val="-4"/>
        </w:rPr>
        <w:t>rchestrated</w:t>
      </w:r>
      <w:r>
        <w:rPr>
          <w:spacing w:val="-9"/>
        </w:rPr>
        <w:t> </w:t>
      </w:r>
      <w:r>
        <w:rPr>
          <w:b/>
          <w:spacing w:val="-4"/>
        </w:rPr>
        <w:t>S</w:t>
      </w:r>
      <w:r>
        <w:rPr>
          <w:spacing w:val="-4"/>
        </w:rPr>
        <w:t>election), </w:t>
      </w:r>
      <w:r>
        <w:rPr/>
        <w:t>addressing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limitations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four</w:t>
      </w:r>
      <w:r>
        <w:rPr>
          <w:spacing w:val="-15"/>
        </w:rPr>
        <w:t> </w:t>
      </w:r>
      <w:r>
        <w:rPr/>
        <w:t>coordinated</w:t>
      </w:r>
      <w:r>
        <w:rPr>
          <w:spacing w:val="-15"/>
        </w:rPr>
        <w:t> </w:t>
      </w:r>
      <w:r>
        <w:rPr/>
        <w:t>mechanisms:</w:t>
      </w:r>
      <w:r>
        <w:rPr>
          <w:spacing w:val="-3"/>
        </w:rPr>
        <w:t> </w:t>
      </w:r>
      <w:r>
        <w:rPr>
          <w:b/>
        </w:rPr>
        <w:t>(1)</w:t>
      </w:r>
      <w:r>
        <w:rPr>
          <w:b/>
          <w:spacing w:val="-15"/>
        </w:rPr>
        <w:t> </w:t>
      </w:r>
      <w:r>
        <w:rPr>
          <w:b/>
        </w:rPr>
        <w:t>Depth-Sounding Budget</w:t>
      </w:r>
      <w:r>
        <w:rPr>
          <w:b/>
          <w:spacing w:val="-1"/>
        </w:rPr>
        <w:t> </w:t>
      </w:r>
      <w:r>
        <w:rPr>
          <w:b/>
        </w:rPr>
        <w:t>Allocation</w:t>
      </w:r>
      <w:r>
        <w:rPr>
          <w:b/>
          <w:spacing w:val="-1"/>
        </w:rPr>
        <w:t> </w:t>
      </w:r>
      <w:r>
        <w:rPr>
          <w:b/>
        </w:rPr>
        <w:t>(DBA)</w:t>
      </w:r>
      <w:r>
        <w:rPr>
          <w:b/>
          <w:spacing w:val="-1"/>
        </w:rPr>
        <w:t> </w:t>
      </w:r>
      <w:r>
        <w:rPr/>
        <w:t>redistributes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>
          <w:rFonts w:ascii="Calibri" w:hAnsi="Calibri"/>
          <w:i/>
        </w:rPr>
        <w:t>k </w:t>
      </w:r>
      <w:r>
        <w:rPr/>
        <w:t>budget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heads</w:t>
      </w:r>
      <w:r>
        <w:rPr>
          <w:spacing w:val="-1"/>
        </w:rPr>
        <w:t> </w:t>
      </w:r>
      <w:r>
        <w:rPr/>
        <w:t>proportional to per-head selection entropy, concentrating tokens where the selector is least certain,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proven</w:t>
      </w:r>
      <w:r>
        <w:rPr>
          <w:spacing w:val="-3"/>
        </w:rPr>
        <w:t> </w:t>
      </w:r>
      <w:r>
        <w:rPr>
          <w:spacing w:val="-2"/>
        </w:rPr>
        <w:t>global-budget-neutral</w:t>
      </w:r>
      <w:r>
        <w:rPr>
          <w:spacing w:val="-3"/>
        </w:rPr>
        <w:t> </w:t>
      </w:r>
      <w:r>
        <w:rPr>
          <w:spacing w:val="-2"/>
        </w:rPr>
        <w:t>property; </w:t>
      </w:r>
      <w:r>
        <w:rPr>
          <w:b/>
          <w:spacing w:val="-2"/>
        </w:rPr>
        <w:t>(2)</w:t>
      </w:r>
      <w:r>
        <w:rPr>
          <w:b/>
          <w:spacing w:val="-3"/>
        </w:rPr>
        <w:t> </w:t>
      </w:r>
      <w:r>
        <w:rPr>
          <w:b/>
          <w:spacing w:val="-2"/>
        </w:rPr>
        <w:t>Range</w:t>
      </w:r>
      <w:r>
        <w:rPr>
          <w:b/>
          <w:spacing w:val="-3"/>
        </w:rPr>
        <w:t> </w:t>
      </w:r>
      <w:r>
        <w:rPr>
          <w:b/>
          <w:spacing w:val="-2"/>
        </w:rPr>
        <w:t>Light</w:t>
      </w:r>
      <w:r>
        <w:rPr>
          <w:b/>
          <w:spacing w:val="-3"/>
        </w:rPr>
        <w:t> </w:t>
      </w:r>
      <w:r>
        <w:rPr>
          <w:b/>
          <w:spacing w:val="-2"/>
        </w:rPr>
        <w:t>Cross-Level</w:t>
      </w:r>
      <w:r>
        <w:rPr>
          <w:b/>
          <w:spacing w:val="-3"/>
        </w:rPr>
        <w:t> </w:t>
      </w:r>
      <w:r>
        <w:rPr>
          <w:b/>
          <w:spacing w:val="-2"/>
        </w:rPr>
        <w:t>Guidance </w:t>
      </w:r>
      <w:r>
        <w:rPr>
          <w:b/>
        </w:rPr>
        <w:t>(RCG) </w:t>
      </w:r>
      <w:r>
        <w:rPr/>
        <w:t>injects upsampled coarse selection scores as a learned additive bias into fine- level logits before top-</w:t>
      </w:r>
      <w:r>
        <w:rPr>
          <w:rFonts w:ascii="Calibri" w:hAnsi="Calibri"/>
          <w:i/>
        </w:rPr>
        <w:t>k</w:t>
      </w:r>
      <w:r>
        <w:rPr/>
        <w:t>, regularised by a KL divergence term; </w:t>
      </w:r>
      <w:r>
        <w:rPr>
          <w:b/>
        </w:rPr>
        <w:t>(3) Tidal Momentum Selection</w:t>
      </w:r>
      <w:r>
        <w:rPr>
          <w:b/>
          <w:spacing w:val="40"/>
        </w:rPr>
        <w:t> </w:t>
      </w:r>
      <w:r>
        <w:rPr>
          <w:b/>
        </w:rPr>
        <w:t>(TMS)</w:t>
      </w:r>
      <w:r>
        <w:rPr>
          <w:b/>
          <w:spacing w:val="40"/>
        </w:rPr>
        <w:t> </w:t>
      </w:r>
      <w:r>
        <w:rPr/>
        <w:t>maintains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EMA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logits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transformer</w:t>
      </w:r>
      <w:r>
        <w:rPr>
          <w:spacing w:val="40"/>
        </w:rPr>
        <w:t> </w:t>
      </w:r>
      <w:r>
        <w:rPr/>
        <w:t>layers, creating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persistent</w:t>
      </w:r>
      <w:r>
        <w:rPr>
          <w:spacing w:val="-12"/>
        </w:rPr>
        <w:t> </w:t>
      </w:r>
      <w:r>
        <w:rPr/>
        <w:t>cross-layer</w:t>
      </w:r>
      <w:r>
        <w:rPr>
          <w:spacing w:val="-11"/>
        </w:rPr>
        <w:t> </w:t>
      </w:r>
      <w:r>
        <w:rPr/>
        <w:t>prior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reduces</w:t>
      </w:r>
      <w:r>
        <w:rPr>
          <w:spacing w:val="-11"/>
        </w:rPr>
        <w:t> </w:t>
      </w:r>
      <w:r>
        <w:rPr/>
        <w:t>selection</w:t>
      </w:r>
      <w:r>
        <w:rPr>
          <w:spacing w:val="-12"/>
        </w:rPr>
        <w:t> </w:t>
      </w:r>
      <w:r>
        <w:rPr/>
        <w:t>variance;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>
          <w:b/>
        </w:rPr>
        <w:t>(4)</w:t>
      </w:r>
      <w:r>
        <w:rPr>
          <w:b/>
          <w:spacing w:val="-11"/>
        </w:rPr>
        <w:t> </w:t>
      </w:r>
      <w:r>
        <w:rPr>
          <w:b/>
        </w:rPr>
        <w:t>Fog</w:t>
      </w:r>
      <w:r>
        <w:rPr>
          <w:b/>
          <w:spacing w:val="-11"/>
        </w:rPr>
        <w:t> </w:t>
      </w:r>
      <w:r>
        <w:rPr>
          <w:b/>
        </w:rPr>
        <w:t>Gate </w:t>
      </w:r>
      <w:r>
        <w:rPr>
          <w:b/>
          <w:spacing w:val="-2"/>
        </w:rPr>
        <w:t>Confidence</w:t>
      </w:r>
      <w:r>
        <w:rPr>
          <w:b/>
          <w:spacing w:val="-16"/>
        </w:rPr>
        <w:t> </w:t>
      </w:r>
      <w:r>
        <w:rPr>
          <w:b/>
          <w:spacing w:val="-2"/>
        </w:rPr>
        <w:t>Fallback</w:t>
      </w:r>
      <w:r>
        <w:rPr>
          <w:b/>
          <w:spacing w:val="-14"/>
        </w:rPr>
        <w:t> </w:t>
      </w:r>
      <w:r>
        <w:rPr>
          <w:b/>
          <w:spacing w:val="-2"/>
        </w:rPr>
        <w:t>(FCF)</w:t>
      </w:r>
      <w:r>
        <w:rPr>
          <w:b/>
          <w:spacing w:val="-14"/>
        </w:rPr>
        <w:t> </w:t>
      </w:r>
      <w:r>
        <w:rPr>
          <w:spacing w:val="-2"/>
        </w:rPr>
        <w:t>widens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attention</w:t>
      </w:r>
      <w:r>
        <w:rPr>
          <w:spacing w:val="-14"/>
        </w:rPr>
        <w:t> </w:t>
      </w:r>
      <w:r>
        <w:rPr>
          <w:spacing w:val="-2"/>
        </w:rPr>
        <w:t>beam</w:t>
      </w:r>
      <w:r>
        <w:rPr>
          <w:spacing w:val="-14"/>
        </w:rPr>
        <w:t> </w:t>
      </w:r>
      <w:r>
        <w:rPr>
          <w:spacing w:val="-2"/>
        </w:rPr>
        <w:t>dynamically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low-confidence heads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learned</w:t>
      </w:r>
      <w:r>
        <w:rPr>
          <w:spacing w:val="-10"/>
        </w:rPr>
        <w:t> </w:t>
      </w:r>
      <w:r>
        <w:rPr>
          <w:spacing w:val="-2"/>
        </w:rPr>
        <w:t>binary</w:t>
      </w:r>
      <w:r>
        <w:rPr>
          <w:spacing w:val="-10"/>
        </w:rPr>
        <w:t> </w:t>
      </w:r>
      <w:r>
        <w:rPr>
          <w:spacing w:val="-2"/>
        </w:rPr>
        <w:t>threshold.</w:t>
      </w:r>
      <w:r>
        <w:rPr>
          <w:spacing w:val="11"/>
        </w:rPr>
        <w:t> </w:t>
      </w:r>
      <w:r>
        <w:rPr>
          <w:spacing w:val="-2"/>
        </w:rPr>
        <w:t>Together,</w:t>
      </w:r>
      <w:r>
        <w:rPr>
          <w:spacing w:val="-8"/>
        </w:rPr>
        <w:t> </w:t>
      </w:r>
      <w:r>
        <w:rPr>
          <w:spacing w:val="-2"/>
        </w:rPr>
        <w:t>Pharos</w:t>
      </w:r>
      <w:r>
        <w:rPr>
          <w:spacing w:val="-10"/>
        </w:rPr>
        <w:t> </w:t>
      </w:r>
      <w:r>
        <w:rPr>
          <w:spacing w:val="-2"/>
        </w:rPr>
        <w:t>reduces</w:t>
      </w:r>
      <w:r>
        <w:rPr>
          <w:spacing w:val="-10"/>
        </w:rPr>
        <w:t> </w:t>
      </w:r>
      <w:r>
        <w:rPr>
          <w:spacing w:val="-2"/>
        </w:rPr>
        <w:t>pre-training</w:t>
      </w:r>
      <w:r>
        <w:rPr>
          <w:spacing w:val="-10"/>
        </w:rPr>
        <w:t> </w:t>
      </w:r>
      <w:r>
        <w:rPr>
          <w:spacing w:val="-2"/>
        </w:rPr>
        <w:t>perplexity by</w:t>
      </w:r>
      <w:r>
        <w:rPr>
          <w:spacing w:val="-8"/>
        </w:rPr>
        <w:t> </w:t>
      </w:r>
      <w:r>
        <w:rPr>
          <w:b/>
          <w:spacing w:val="-2"/>
        </w:rPr>
        <w:t>0.031</w:t>
      </w:r>
      <w:r>
        <w:rPr>
          <w:b/>
          <w:spacing w:val="-8"/>
        </w:rPr>
        <w:t> </w:t>
      </w:r>
      <w:r>
        <w:rPr>
          <w:b/>
          <w:spacing w:val="-2"/>
        </w:rPr>
        <w:t>nats</w:t>
      </w:r>
      <w:r>
        <w:rPr>
          <w:b/>
          <w:spacing w:val="-8"/>
        </w:rPr>
        <w:t> </w:t>
      </w:r>
      <w:r>
        <w:rPr>
          <w:spacing w:val="-2"/>
        </w:rPr>
        <w:t>vs.</w:t>
      </w:r>
      <w:r>
        <w:rPr>
          <w:spacing w:val="-8"/>
        </w:rPr>
        <w:t> </w:t>
      </w:r>
      <w:r>
        <w:rPr>
          <w:spacing w:val="-2"/>
        </w:rPr>
        <w:t>Lighthouse</w:t>
      </w:r>
      <w:r>
        <w:rPr>
          <w:spacing w:val="-8"/>
        </w:rPr>
        <w:t> </w:t>
      </w:r>
      <w:r>
        <w:rPr>
          <w:spacing w:val="-2"/>
        </w:rPr>
        <w:t>Attention,</w:t>
      </w:r>
      <w:r>
        <w:rPr>
          <w:spacing w:val="-7"/>
        </w:rPr>
        <w:t> </w:t>
      </w:r>
      <w:r>
        <w:rPr>
          <w:spacing w:val="-2"/>
        </w:rPr>
        <w:t>improves</w:t>
      </w:r>
      <w:r>
        <w:rPr>
          <w:spacing w:val="-8"/>
        </w:rPr>
        <w:t> </w:t>
      </w:r>
      <w:r>
        <w:rPr>
          <w:spacing w:val="-2"/>
        </w:rPr>
        <w:t>NIAH</w:t>
      </w:r>
      <w:r>
        <w:rPr>
          <w:spacing w:val="-8"/>
        </w:rPr>
        <w:t> </w:t>
      </w:r>
      <w:r>
        <w:rPr>
          <w:spacing w:val="-2"/>
        </w:rPr>
        <w:t>retrieval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86.7%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b/>
          <w:spacing w:val="-2"/>
        </w:rPr>
        <w:t>91.7% </w:t>
      </w:r>
      <w:r>
        <w:rPr/>
        <w:t>at 512K context, and maintains </w:t>
      </w:r>
      <w:r>
        <w:rPr>
          <w:b/>
        </w:rPr>
        <w:t>1.41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5"/>
        </w:rPr>
        <w:t> </w:t>
      </w:r>
      <w:r>
        <w:rPr/>
        <w:t>end-to-end pretraining speedup at only </w:t>
      </w:r>
      <w:r>
        <w:rPr>
          <w:b/>
        </w:rPr>
        <w:t>+8 ms overhead </w:t>
      </w:r>
      <w:r>
        <w:rPr/>
        <w:t>per forward pass.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194207</wp:posOffset>
                </wp:positionV>
                <wp:extent cx="55778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A39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291934pt;width:439.2pt;height:.1pt;mso-position-horizontal-relative:page;mso-position-vertical-relative:paragraph;z-index:-15727104;mso-wrap-distance-left:0;mso-wrap-distance-right:0" id="docshape13" coordorigin="1728,306" coordsize="8784,0" path="m1728,306l10512,306e" filled="false" stroked="true" strokeweight=".598pt" strokecolor="#1a39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4"/>
        <w:ind w:left="288" w:right="0" w:firstLine="0"/>
        <w:jc w:val="left"/>
        <w:rPr>
          <w:b/>
          <w:sz w:val="24"/>
        </w:rPr>
      </w:pPr>
      <w:r>
        <w:rPr>
          <w:b/>
          <w:color w:val="1A396B"/>
          <w:sz w:val="24"/>
        </w:rPr>
        <w:t>Key</w:t>
      </w:r>
      <w:r>
        <w:rPr>
          <w:b/>
          <w:color w:val="1A396B"/>
          <w:spacing w:val="-12"/>
          <w:sz w:val="24"/>
        </w:rPr>
        <w:t> </w:t>
      </w:r>
      <w:r>
        <w:rPr>
          <w:b/>
          <w:color w:val="1A396B"/>
          <w:spacing w:val="-2"/>
          <w:sz w:val="24"/>
        </w:rPr>
        <w:t>Results</w:t>
      </w:r>
    </w:p>
    <w:p>
      <w:pPr>
        <w:spacing w:after="0"/>
        <w:jc w:val="left"/>
        <w:rPr>
          <w:b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52" w:footer="715" w:top="1280" w:bottom="900" w:left="1440" w:right="0"/>
          <w:pgNumType w:start="1"/>
        </w:sectPr>
      </w:pPr>
    </w:p>
    <w:tbl>
      <w:tblPr>
        <w:tblW w:w="0" w:type="auto"/>
        <w:jc w:val="left"/>
        <w:tblInd w:w="1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6"/>
        <w:gridCol w:w="2124"/>
        <w:gridCol w:w="1707"/>
      </w:tblGrid>
      <w:tr>
        <w:trPr>
          <w:trHeight w:val="376" w:hRule="atLeast"/>
        </w:trPr>
        <w:tc>
          <w:tcPr>
            <w:tcW w:w="18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1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0"/>
              <w:rPr>
                <w:b/>
                <w:sz w:val="22"/>
              </w:rPr>
            </w:pPr>
            <w:r>
              <w:rPr>
                <w:b/>
                <w:sz w:val="22"/>
              </w:rPr>
              <w:t>Lighthouse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(dilated)</w:t>
            </w:r>
          </w:p>
        </w:tc>
        <w:tc>
          <w:tcPr>
            <w:tcW w:w="17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0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Pharos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(ours)</w:t>
            </w:r>
          </w:p>
        </w:tc>
      </w:tr>
      <w:tr>
        <w:trPr>
          <w:trHeight w:val="322" w:hRule="atLeast"/>
        </w:trPr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49"/>
              <w:jc w:val="left"/>
              <w:rPr>
                <w:sz w:val="22"/>
              </w:rPr>
            </w:pPr>
            <w:r>
              <w:rPr>
                <w:sz w:val="22"/>
              </w:rPr>
              <w:t>Pre-train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(nats)</w:t>
            </w:r>
          </w:p>
        </w:tc>
        <w:tc>
          <w:tcPr>
            <w:tcW w:w="2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22"/>
              </w:rPr>
            </w:pPr>
            <w:r>
              <w:rPr>
                <w:spacing w:val="-2"/>
                <w:sz w:val="22"/>
              </w:rPr>
              <w:t>0.6825</w:t>
            </w:r>
          </w:p>
        </w:tc>
        <w:tc>
          <w:tcPr>
            <w:tcW w:w="17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0.6633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Resume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(nats)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0.6571</w:t>
            </w:r>
          </w:p>
        </w:tc>
        <w:tc>
          <w:tcPr>
            <w:tcW w:w="1707" w:type="dxa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0.6294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NIAH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512K</w:t>
            </w:r>
            <w:r>
              <w:rPr>
                <w:spacing w:val="-5"/>
                <w:sz w:val="22"/>
              </w:rPr>
              <w:t> (%)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86.7</w:t>
            </w:r>
          </w:p>
        </w:tc>
        <w:tc>
          <w:tcPr>
            <w:tcW w:w="1707" w:type="dxa"/>
          </w:tcPr>
          <w:p>
            <w:pPr>
              <w:pStyle w:val="TableParagraph"/>
              <w:ind w:left="233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91.7</w:t>
            </w:r>
            <w:r>
              <w:rPr>
                <w:b/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(+5.0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pp)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perplexity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(Pile)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8.57</w:t>
            </w:r>
          </w:p>
        </w:tc>
        <w:tc>
          <w:tcPr>
            <w:tcW w:w="1707" w:type="dxa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8.31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Stage-1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throughput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108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ktok/s/GPU</w:t>
            </w:r>
          </w:p>
        </w:tc>
        <w:tc>
          <w:tcPr>
            <w:tcW w:w="1707" w:type="dxa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106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ktok/s/GPU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End-to-end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speedup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rFonts w:ascii="Verdana" w:hAnsi="Verdana"/>
                <w:i/>
                <w:sz w:val="22"/>
              </w:rPr>
            </w:pPr>
            <w:r>
              <w:rPr>
                <w:spacing w:val="-2"/>
                <w:sz w:val="22"/>
              </w:rPr>
              <w:t>1.43</w:t>
            </w:r>
            <w:r>
              <w:rPr>
                <w:rFonts w:ascii="Verdana" w:hAnsi="Verdana"/>
                <w:i/>
                <w:spacing w:val="-2"/>
                <w:sz w:val="22"/>
              </w:rPr>
              <w:t>×</w:t>
            </w:r>
          </w:p>
        </w:tc>
        <w:tc>
          <w:tcPr>
            <w:tcW w:w="1707" w:type="dxa"/>
          </w:tcPr>
          <w:p>
            <w:pPr>
              <w:pStyle w:val="TableParagraph"/>
              <w:ind w:left="119"/>
              <w:rPr>
                <w:rFonts w:ascii="Verdana" w:hAnsi="Verdana"/>
                <w:i/>
                <w:sz w:val="22"/>
              </w:rPr>
            </w:pPr>
            <w:r>
              <w:rPr>
                <w:b/>
                <w:spacing w:val="-2"/>
                <w:sz w:val="22"/>
              </w:rPr>
              <w:t>1.41</w:t>
            </w:r>
            <w:r>
              <w:rPr>
                <w:rFonts w:ascii="Verdana" w:hAnsi="Verdana"/>
                <w:i/>
                <w:spacing w:val="-2"/>
                <w:sz w:val="22"/>
              </w:rPr>
              <w:t>×</w:t>
            </w:r>
          </w:p>
        </w:tc>
      </w:tr>
      <w:tr>
        <w:trPr>
          <w:trHeight w:val="270" w:hRule="atLeast"/>
        </w:trPr>
        <w:tc>
          <w:tcPr>
            <w:tcW w:w="188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parameters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707" w:type="dxa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128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scalars</w:t>
            </w:r>
          </w:p>
        </w:tc>
      </w:tr>
      <w:tr>
        <w:trPr>
          <w:trHeight w:val="324" w:hRule="atLeast"/>
        </w:trPr>
        <w:tc>
          <w:tcPr>
            <w:tcW w:w="1886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Overhead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21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 w:right="-15"/>
              <w:rPr>
                <w:b/>
                <w:sz w:val="22"/>
              </w:rPr>
            </w:pPr>
            <w:r>
              <w:rPr>
                <w:b/>
                <w:sz w:val="22"/>
              </w:rPr>
              <w:t>+8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@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98K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ctx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1097280</wp:posOffset>
                </wp:positionH>
                <wp:positionV relativeFrom="paragraph">
                  <wp:posOffset>183832</wp:posOffset>
                </wp:positionV>
                <wp:extent cx="557784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A39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4.474977pt;width:439.2pt;height:.1pt;mso-position-horizontal-relative:page;mso-position-vertical-relative:paragraph;z-index:-15726080;mso-wrap-distance-left:0;mso-wrap-distance-right:0" id="docshape14" coordorigin="1728,289" coordsize="8784,0" path="m1728,289l10512,289e" filled="false" stroked="true" strokeweight=".598pt" strokecolor="#1a39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4"/>
        <w:ind w:left="288" w:right="0" w:firstLine="0"/>
        <w:jc w:val="left"/>
        <w:rPr>
          <w:b/>
          <w:sz w:val="24"/>
        </w:rPr>
      </w:pPr>
      <w:r>
        <w:rPr>
          <w:b/>
          <w:color w:val="1A396B"/>
          <w:sz w:val="24"/>
        </w:rPr>
        <w:t>Core</w:t>
      </w:r>
      <w:r>
        <w:rPr>
          <w:b/>
          <w:color w:val="1A396B"/>
          <w:spacing w:val="-12"/>
          <w:sz w:val="24"/>
        </w:rPr>
        <w:t> </w:t>
      </w:r>
      <w:r>
        <w:rPr>
          <w:b/>
          <w:color w:val="1A396B"/>
          <w:spacing w:val="-2"/>
          <w:sz w:val="24"/>
        </w:rPr>
        <w:t>Contributions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52" w:lineRule="auto" w:before="272" w:after="0"/>
        <w:ind w:left="646" w:right="1706" w:hanging="201"/>
        <w:jc w:val="left"/>
        <w:rPr>
          <w:sz w:val="24"/>
        </w:rPr>
      </w:pPr>
      <w:r>
        <w:rPr>
          <w:b/>
          <w:spacing w:val="-4"/>
          <w:sz w:val="24"/>
        </w:rPr>
        <w:t>DBA</w:t>
      </w:r>
      <w:r>
        <w:rPr>
          <w:spacing w:val="-4"/>
          <w:sz w:val="24"/>
        </w:rPr>
        <w:t>: Per-head entropy-proportional budget assignment (Prop. 1 + proof).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Budget-</w:t>
      </w:r>
      <w:r>
        <w:rPr>
          <w:spacing w:val="-4"/>
          <w:sz w:val="24"/>
        </w:rPr>
        <w:t>neutral; </w:t>
      </w:r>
      <w:r>
        <w:rPr>
          <w:sz w:val="24"/>
        </w:rPr>
        <w:t>adds 0 critical-path latency.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20" w:after="0"/>
        <w:ind w:left="645" w:right="0" w:hanging="20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4334002</wp:posOffset>
                </wp:positionH>
                <wp:positionV relativeFrom="paragraph">
                  <wp:posOffset>193650</wp:posOffset>
                </wp:positionV>
                <wp:extent cx="44450" cy="1016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44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Sitka Small" w:hAnsi="Sitka Smal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Sitka Small" w:hAnsi="Sitka Small"/>
                                <w:i/>
                                <w:spacing w:val="-10"/>
                                <w:w w:val="90"/>
                                <w:sz w:val="16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6001pt;margin-top:15.248057pt;width:3.5pt;height:8pt;mso-position-horizontal-relative:page;mso-position-vertical-relative:paragraph;z-index:-15829504" type="#_x0000_t202" id="docshape15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Sitka Small" w:hAnsi="Sitka Small"/>
                          <w:i/>
                          <w:sz w:val="16"/>
                        </w:rPr>
                      </w:pPr>
                      <w:r>
                        <w:rPr>
                          <w:rFonts w:ascii="Sitka Small" w:hAnsi="Sitka Small"/>
                          <w:i/>
                          <w:spacing w:val="-10"/>
                          <w:w w:val="90"/>
                          <w:sz w:val="16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RCG</w:t>
      </w:r>
      <w:r>
        <w:rPr>
          <w:sz w:val="24"/>
        </w:rPr>
        <w:t>: Coarse-to-fine</w:t>
      </w:r>
      <w:r>
        <w:rPr>
          <w:spacing w:val="-1"/>
          <w:sz w:val="24"/>
        </w:rPr>
        <w:t> </w:t>
      </w:r>
      <w:r>
        <w:rPr>
          <w:sz w:val="24"/>
        </w:rPr>
        <w:t>additive bias with</w:t>
      </w:r>
      <w:r>
        <w:rPr>
          <w:spacing w:val="-1"/>
          <w:sz w:val="24"/>
        </w:rPr>
        <w:t> </w:t>
      </w:r>
      <w:r>
        <w:rPr>
          <w:sz w:val="24"/>
        </w:rPr>
        <w:t>learned</w:t>
      </w:r>
      <w:r>
        <w:rPr>
          <w:spacing w:val="1"/>
          <w:sz w:val="24"/>
        </w:rPr>
        <w:t> </w:t>
      </w:r>
      <w:r>
        <w:rPr>
          <w:rFonts w:ascii="Calibri" w:hAnsi="Calibri"/>
          <w:i/>
          <w:sz w:val="24"/>
        </w:rPr>
        <w:t>γ</w:t>
      </w:r>
      <w:r>
        <w:rPr>
          <w:rFonts w:ascii="Sitka Small" w:hAnsi="Sitka Small"/>
          <w:i/>
          <w:sz w:val="24"/>
          <w:vertAlign w:val="superscript"/>
        </w:rPr>
        <w:t>h</w:t>
      </w:r>
      <w:r>
        <w:rPr>
          <w:sz w:val="24"/>
          <w:vertAlign w:val="baseline"/>
        </w:rPr>
        <w:t>, initialised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at 0 (recovers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Lighthouse</w:t>
      </w:r>
    </w:p>
    <w:p>
      <w:pPr>
        <w:pStyle w:val="BodyText"/>
        <w:spacing w:line="290" w:lineRule="exact"/>
        <w:ind w:left="646"/>
      </w:pP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init),</w:t>
      </w:r>
      <w:r>
        <w:rPr>
          <w:spacing w:val="-4"/>
          <w:w w:val="105"/>
        </w:rPr>
        <w:t> </w:t>
      </w:r>
      <w:r>
        <w:rPr>
          <w:rFonts w:ascii="Calibri"/>
          <w:w w:val="105"/>
        </w:rPr>
        <w:t>+</w:t>
      </w:r>
      <w:r>
        <w:rPr>
          <w:w w:val="105"/>
        </w:rPr>
        <w:t>KL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regularisation.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  <w:tab w:pos="640" w:val="left" w:leader="none"/>
        </w:tabs>
        <w:spacing w:line="240" w:lineRule="auto" w:before="135" w:after="0"/>
        <w:ind w:left="640" w:right="1725" w:hanging="195"/>
        <w:jc w:val="left"/>
        <w:rPr>
          <w:sz w:val="24"/>
        </w:rPr>
      </w:pPr>
      <w:r>
        <w:rPr>
          <w:b/>
          <w:sz w:val="24"/>
        </w:rPr>
        <w:t>TMS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Layer-to-layer</w:t>
      </w:r>
      <w:r>
        <w:rPr>
          <w:spacing w:val="-15"/>
          <w:sz w:val="24"/>
        </w:rPr>
        <w:t> </w:t>
      </w:r>
      <w:r>
        <w:rPr>
          <w:sz w:val="24"/>
        </w:rPr>
        <w:t>logit</w:t>
      </w:r>
      <w:r>
        <w:rPr>
          <w:spacing w:val="-15"/>
          <w:sz w:val="24"/>
        </w:rPr>
        <w:t> </w:t>
      </w:r>
      <w:r>
        <w:rPr>
          <w:sz w:val="24"/>
        </w:rPr>
        <w:t>EMA</w:t>
      </w:r>
      <w:r>
        <w:rPr>
          <w:spacing w:val="-15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ρ</w:t>
      </w:r>
      <w:r>
        <w:rPr>
          <w:rFonts w:ascii="Calibri" w:hAnsi="Calibri"/>
          <w:i/>
          <w:spacing w:val="-28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42"/>
          <w:w w:val="125"/>
          <w:sz w:val="24"/>
        </w:rPr>
        <w:t>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7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zero</w:t>
      </w:r>
      <w:r>
        <w:rPr>
          <w:spacing w:val="-15"/>
          <w:sz w:val="24"/>
        </w:rPr>
        <w:t> </w:t>
      </w:r>
      <w:r>
        <w:rPr>
          <w:sz w:val="24"/>
        </w:rPr>
        <w:t>extra</w:t>
      </w:r>
      <w:r>
        <w:rPr>
          <w:spacing w:val="-15"/>
          <w:sz w:val="24"/>
        </w:rPr>
        <w:t> </w:t>
      </w:r>
      <w:r>
        <w:rPr>
          <w:sz w:val="24"/>
        </w:rPr>
        <w:t>memory);</w:t>
      </w:r>
      <w:r>
        <w:rPr>
          <w:spacing w:val="-15"/>
          <w:sz w:val="24"/>
        </w:rPr>
        <w:t> </w:t>
      </w:r>
      <w:r>
        <w:rPr>
          <w:sz w:val="24"/>
        </w:rPr>
        <w:t>proven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reduce</w:t>
      </w:r>
      <w:r>
        <w:rPr>
          <w:spacing w:val="-14"/>
          <w:sz w:val="24"/>
        </w:rPr>
        <w:t> </w:t>
      </w:r>
      <w:r>
        <w:rPr>
          <w:sz w:val="24"/>
        </w:rPr>
        <w:t>selection variance vs. independent per-layer selection.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25" w:lineRule="auto" w:before="149" w:after="0"/>
        <w:ind w:left="646" w:right="1725" w:hanging="201"/>
        <w:jc w:val="left"/>
        <w:rPr>
          <w:sz w:val="24"/>
        </w:rPr>
      </w:pPr>
      <w:r>
        <w:rPr>
          <w:b/>
          <w:sz w:val="24"/>
        </w:rPr>
        <w:t>FCF</w:t>
      </w:r>
      <w:r>
        <w:rPr>
          <w:sz w:val="24"/>
        </w:rPr>
        <w:t>: Learned fog threshold </w:t>
      </w:r>
      <w:r>
        <w:rPr>
          <w:rFonts w:ascii="Calibri" w:hAnsi="Calibri"/>
          <w:i/>
          <w:sz w:val="24"/>
        </w:rPr>
        <w:t>θ</w:t>
      </w:r>
      <w:r>
        <w:rPr>
          <w:rFonts w:ascii="Sitka Small" w:hAnsi="Sitka Small"/>
          <w:i/>
          <w:sz w:val="24"/>
          <w:vertAlign w:val="subscript"/>
        </w:rPr>
        <w:t>h</w:t>
      </w:r>
      <w:r>
        <w:rPr>
          <w:rFonts w:ascii="Sitka Small" w:hAnsi="Sitka Small"/>
          <w:i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per head (total: 32 scalars); beam-doubling only where needed (</w:t>
      </w:r>
      <w:r>
        <w:rPr>
          <w:rFonts w:ascii="Calibri" w:hAnsi="Calibri"/>
          <w:i/>
          <w:sz w:val="24"/>
          <w:vertAlign w:val="baseline"/>
        </w:rPr>
        <w:t>f</w:t>
      </w:r>
      <w:r>
        <w:rPr>
          <w:rFonts w:ascii="Calibri" w:hAnsi="Calibri"/>
          <w:i/>
          <w:spacing w:val="40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≤ </w:t>
      </w:r>
      <w:r>
        <w:rPr>
          <w:rFonts w:ascii="Calibri" w:hAnsi="Calibri"/>
          <w:sz w:val="24"/>
          <w:vertAlign w:val="baseline"/>
        </w:rPr>
        <w:t>19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sz w:val="24"/>
          <w:vertAlign w:val="baseline"/>
        </w:rPr>
        <w:t>4% </w:t>
      </w:r>
      <w:r>
        <w:rPr>
          <w:sz w:val="24"/>
          <w:vertAlign w:val="baseline"/>
        </w:rPr>
        <w:t>empirically).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  <w:tab w:pos="645" w:val="left" w:leader="none"/>
        </w:tabs>
        <w:spacing w:line="235" w:lineRule="auto" w:before="149" w:after="0"/>
        <w:ind w:left="638" w:right="-15" w:hanging="193"/>
        <w:jc w:val="left"/>
        <w:rPr>
          <w:sz w:val="24"/>
        </w:rPr>
      </w:pPr>
      <w:r>
        <w:rPr>
          <w:b/>
          <w:spacing w:val="-2"/>
          <w:sz w:val="24"/>
        </w:rPr>
        <w:t>Composability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four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mechanisms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stack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interference;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drop-in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-15"/>
          <w:sz w:val="24"/>
        </w:rPr>
        <w:t> </w:t>
      </w:r>
      <w:r>
        <w:rPr>
          <w:rFonts w:ascii="Courier New" w:hAnsi="Courier New"/>
          <w:spacing w:val="-2"/>
          <w:sz w:val="24"/>
        </w:rPr>
        <w:t>lighthouse_selection </w:t>
      </w:r>
      <w:r>
        <w:rPr>
          <w:sz w:val="24"/>
        </w:rPr>
        <w:t>with no kernel changes.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1097280</wp:posOffset>
                </wp:positionH>
                <wp:positionV relativeFrom="paragraph">
                  <wp:posOffset>273226</wp:posOffset>
                </wp:positionV>
                <wp:extent cx="557784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A39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1.513863pt;width:439.2pt;height:.1pt;mso-position-horizontal-relative:page;mso-position-vertical-relative:paragraph;z-index:-15725568;mso-wrap-distance-left:0;mso-wrap-distance-right:0" id="docshape16" coordorigin="1728,430" coordsize="8784,0" path="m1728,430l10512,430e" filled="false" stroked="true" strokeweight=".598pt" strokecolor="#1a39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0"/>
        <w:gridCol w:w="4497"/>
        <w:gridCol w:w="4143"/>
      </w:tblGrid>
      <w:tr>
        <w:trPr>
          <w:trHeight w:val="297" w:hRule="atLeast"/>
        </w:trPr>
        <w:tc>
          <w:tcPr>
            <w:tcW w:w="1180" w:type="dxa"/>
          </w:tcPr>
          <w:p>
            <w:pPr>
              <w:pStyle w:val="TableParagraph"/>
              <w:spacing w:line="240" w:lineRule="auto" w:before="4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color w:val="545466"/>
                <w:spacing w:val="-2"/>
                <w:sz w:val="22"/>
              </w:rPr>
              <w:t>Track:</w:t>
            </w:r>
          </w:p>
        </w:tc>
        <w:tc>
          <w:tcPr>
            <w:tcW w:w="4497" w:type="dxa"/>
          </w:tcPr>
          <w:p>
            <w:pPr>
              <w:pStyle w:val="TableParagraph"/>
              <w:spacing w:line="240" w:lineRule="auto" w:before="4"/>
              <w:ind w:left="119"/>
              <w:jc w:val="left"/>
              <w:rPr>
                <w:sz w:val="22"/>
              </w:rPr>
            </w:pPr>
            <w:r>
              <w:rPr>
                <w:color w:val="545466"/>
                <w:sz w:val="22"/>
              </w:rPr>
              <w:t>Main</w:t>
            </w:r>
            <w:r>
              <w:rPr>
                <w:color w:val="545466"/>
                <w:spacing w:val="-9"/>
                <w:sz w:val="22"/>
              </w:rPr>
              <w:t> </w:t>
            </w:r>
            <w:r>
              <w:rPr>
                <w:color w:val="545466"/>
                <w:sz w:val="22"/>
              </w:rPr>
              <w:t>Track</w:t>
            </w:r>
            <w:r>
              <w:rPr>
                <w:color w:val="545466"/>
                <w:spacing w:val="-9"/>
                <w:sz w:val="22"/>
              </w:rPr>
              <w:t> </w:t>
            </w:r>
            <w:r>
              <w:rPr>
                <w:color w:val="545466"/>
                <w:sz w:val="22"/>
              </w:rPr>
              <w:t>(Deep</w:t>
            </w:r>
            <w:r>
              <w:rPr>
                <w:color w:val="545466"/>
                <w:spacing w:val="-9"/>
                <w:sz w:val="22"/>
              </w:rPr>
              <w:t> </w:t>
            </w:r>
            <w:r>
              <w:rPr>
                <w:color w:val="545466"/>
                <w:spacing w:val="-2"/>
                <w:sz w:val="22"/>
              </w:rPr>
              <w:t>Learning)</w:t>
            </w:r>
          </w:p>
        </w:tc>
        <w:tc>
          <w:tcPr>
            <w:tcW w:w="4143" w:type="dxa"/>
          </w:tcPr>
          <w:p>
            <w:pPr>
              <w:pStyle w:val="TableParagraph"/>
              <w:tabs>
                <w:tab w:pos="2130" w:val="left" w:leader="none"/>
              </w:tabs>
              <w:spacing w:line="240" w:lineRule="auto" w:before="4"/>
              <w:ind w:right="47"/>
              <w:jc w:val="right"/>
              <w:rPr>
                <w:sz w:val="22"/>
              </w:rPr>
            </w:pPr>
            <w:r>
              <w:rPr>
                <w:b/>
                <w:color w:val="545466"/>
                <w:sz w:val="22"/>
              </w:rPr>
              <w:t>Abstract</w:t>
            </w:r>
            <w:r>
              <w:rPr>
                <w:b/>
                <w:color w:val="545466"/>
                <w:spacing w:val="-10"/>
                <w:sz w:val="22"/>
              </w:rPr>
              <w:t> </w:t>
            </w:r>
            <w:r>
              <w:rPr>
                <w:b/>
                <w:color w:val="545466"/>
                <w:spacing w:val="-2"/>
                <w:sz w:val="22"/>
              </w:rPr>
              <w:t>deadline:</w:t>
            </w:r>
            <w:r>
              <w:rPr>
                <w:b/>
                <w:color w:val="545466"/>
                <w:sz w:val="22"/>
              </w:rPr>
              <w:tab/>
            </w:r>
            <w:r>
              <w:rPr>
                <w:color w:val="545466"/>
                <w:sz w:val="22"/>
              </w:rPr>
              <w:t>May</w:t>
            </w:r>
            <w:r>
              <w:rPr>
                <w:color w:val="545466"/>
                <w:spacing w:val="-5"/>
                <w:sz w:val="22"/>
              </w:rPr>
              <w:t> </w:t>
            </w:r>
            <w:r>
              <w:rPr>
                <w:color w:val="545466"/>
                <w:sz w:val="22"/>
              </w:rPr>
              <w:t>4,</w:t>
            </w:r>
            <w:r>
              <w:rPr>
                <w:color w:val="545466"/>
                <w:spacing w:val="-4"/>
                <w:sz w:val="22"/>
              </w:rPr>
              <w:t> </w:t>
            </w:r>
            <w:r>
              <w:rPr>
                <w:color w:val="545466"/>
                <w:sz w:val="22"/>
              </w:rPr>
              <w:t>2026</w:t>
            </w:r>
            <w:r>
              <w:rPr>
                <w:color w:val="545466"/>
                <w:spacing w:val="-5"/>
                <w:sz w:val="22"/>
              </w:rPr>
              <w:t> </w:t>
            </w:r>
            <w:r>
              <w:rPr>
                <w:color w:val="545466"/>
                <w:spacing w:val="-2"/>
                <w:sz w:val="22"/>
              </w:rPr>
              <w:t>(AOE)</w:t>
            </w:r>
          </w:p>
        </w:tc>
      </w:tr>
      <w:tr>
        <w:trPr>
          <w:trHeight w:val="297" w:hRule="atLeast"/>
        </w:trPr>
        <w:tc>
          <w:tcPr>
            <w:tcW w:w="1180" w:type="dxa"/>
          </w:tcPr>
          <w:p>
            <w:pPr>
              <w:pStyle w:val="TableParagraph"/>
              <w:spacing w:line="240" w:lineRule="auto" w:before="17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color w:val="545466"/>
                <w:spacing w:val="-2"/>
                <w:sz w:val="22"/>
              </w:rPr>
              <w:t>Keywords:</w:t>
            </w:r>
          </w:p>
        </w:tc>
        <w:tc>
          <w:tcPr>
            <w:tcW w:w="4497" w:type="dxa"/>
          </w:tcPr>
          <w:p>
            <w:pPr>
              <w:pStyle w:val="TableParagraph"/>
              <w:spacing w:line="240" w:lineRule="auto" w:before="17"/>
              <w:ind w:left="119"/>
              <w:jc w:val="left"/>
              <w:rPr>
                <w:sz w:val="22"/>
              </w:rPr>
            </w:pPr>
            <w:r>
              <w:rPr>
                <w:color w:val="545466"/>
                <w:sz w:val="22"/>
              </w:rPr>
              <w:t>Long-context,</w:t>
            </w:r>
            <w:r>
              <w:rPr>
                <w:color w:val="545466"/>
                <w:spacing w:val="-14"/>
                <w:sz w:val="22"/>
              </w:rPr>
              <w:t> </w:t>
            </w:r>
            <w:r>
              <w:rPr>
                <w:color w:val="545466"/>
                <w:sz w:val="22"/>
              </w:rPr>
              <w:t>Attention,</w:t>
            </w:r>
            <w:r>
              <w:rPr>
                <w:color w:val="545466"/>
                <w:spacing w:val="-13"/>
                <w:sz w:val="22"/>
              </w:rPr>
              <w:t> </w:t>
            </w:r>
            <w:r>
              <w:rPr>
                <w:color w:val="545466"/>
                <w:sz w:val="22"/>
              </w:rPr>
              <w:t>Hierarchical</w:t>
            </w:r>
            <w:r>
              <w:rPr>
                <w:color w:val="545466"/>
                <w:spacing w:val="-13"/>
                <w:sz w:val="22"/>
              </w:rPr>
              <w:t> </w:t>
            </w:r>
            <w:r>
              <w:rPr>
                <w:color w:val="545466"/>
                <w:spacing w:val="-2"/>
                <w:sz w:val="22"/>
              </w:rPr>
              <w:t>Selection</w:t>
            </w:r>
          </w:p>
        </w:tc>
        <w:tc>
          <w:tcPr>
            <w:tcW w:w="4143" w:type="dxa"/>
          </w:tcPr>
          <w:p>
            <w:pPr>
              <w:pStyle w:val="TableParagraph"/>
              <w:tabs>
                <w:tab w:pos="2130" w:val="left" w:leader="none"/>
              </w:tabs>
              <w:spacing w:line="240" w:lineRule="auto" w:before="17"/>
              <w:ind w:right="47"/>
              <w:jc w:val="right"/>
              <w:rPr>
                <w:sz w:val="22"/>
              </w:rPr>
            </w:pPr>
            <w:r>
              <w:rPr>
                <w:b/>
                <w:color w:val="545466"/>
                <w:sz w:val="22"/>
              </w:rPr>
              <w:t>Full</w:t>
            </w:r>
            <w:r>
              <w:rPr>
                <w:b/>
                <w:color w:val="545466"/>
                <w:spacing w:val="-6"/>
                <w:sz w:val="22"/>
              </w:rPr>
              <w:t> </w:t>
            </w:r>
            <w:r>
              <w:rPr>
                <w:b/>
                <w:color w:val="545466"/>
                <w:sz w:val="22"/>
              </w:rPr>
              <w:t>paper</w:t>
            </w:r>
            <w:r>
              <w:rPr>
                <w:b/>
                <w:color w:val="545466"/>
                <w:spacing w:val="-6"/>
                <w:sz w:val="22"/>
              </w:rPr>
              <w:t> </w:t>
            </w:r>
            <w:r>
              <w:rPr>
                <w:b/>
                <w:color w:val="545466"/>
                <w:spacing w:val="-2"/>
                <w:sz w:val="22"/>
              </w:rPr>
              <w:t>deadline:</w:t>
            </w:r>
            <w:r>
              <w:rPr>
                <w:b/>
                <w:color w:val="545466"/>
                <w:sz w:val="22"/>
              </w:rPr>
              <w:tab/>
            </w:r>
            <w:r>
              <w:rPr>
                <w:color w:val="545466"/>
                <w:sz w:val="22"/>
              </w:rPr>
              <w:t>May</w:t>
            </w:r>
            <w:r>
              <w:rPr>
                <w:color w:val="545466"/>
                <w:spacing w:val="-5"/>
                <w:sz w:val="22"/>
              </w:rPr>
              <w:t> </w:t>
            </w:r>
            <w:r>
              <w:rPr>
                <w:color w:val="545466"/>
                <w:sz w:val="22"/>
              </w:rPr>
              <w:t>6,</w:t>
            </w:r>
            <w:r>
              <w:rPr>
                <w:color w:val="545466"/>
                <w:spacing w:val="-4"/>
                <w:sz w:val="22"/>
              </w:rPr>
              <w:t> </w:t>
            </w:r>
            <w:r>
              <w:rPr>
                <w:color w:val="545466"/>
                <w:sz w:val="22"/>
              </w:rPr>
              <w:t>2026</w:t>
            </w:r>
            <w:r>
              <w:rPr>
                <w:color w:val="545466"/>
                <w:spacing w:val="-5"/>
                <w:sz w:val="22"/>
              </w:rPr>
              <w:t> </w:t>
            </w:r>
            <w:r>
              <w:rPr>
                <w:color w:val="545466"/>
                <w:spacing w:val="-2"/>
                <w:sz w:val="22"/>
              </w:rPr>
              <w:t>(AOE)</w:t>
            </w:r>
          </w:p>
        </w:tc>
      </w:tr>
    </w:tbl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1097280</wp:posOffset>
                </wp:positionH>
                <wp:positionV relativeFrom="paragraph">
                  <wp:posOffset>139404</wp:posOffset>
                </wp:positionV>
                <wp:extent cx="5577840" cy="254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778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25400">
                              <a:moveTo>
                                <a:pt x="55778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577840" y="25311"/>
                              </a:lnTo>
                              <a:lnTo>
                                <a:pt x="5577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00002pt;margin-top:10.976736pt;width:439.2pt;height:1.993pt;mso-position-horizontal-relative:page;mso-position-vertical-relative:paragraph;z-index:-15725056;mso-wrap-distance-left:0;mso-wrap-distance-right:0" id="docshape17" filled="true" fillcolor="#1a396b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552" w:footer="715" w:top="1280" w:bottom="90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Small">
    <w:altName w:val="Sitka Small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1097280</wp:posOffset>
              </wp:positionH>
              <wp:positionV relativeFrom="page">
                <wp:posOffset>9429026</wp:posOffset>
              </wp:positionV>
              <wp:extent cx="557784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577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7840" h="0">
                            <a:moveTo>
                              <a:pt x="0" y="0"/>
                            </a:moveTo>
                            <a:lnTo>
                              <a:pt x="557784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2064" from="86.400002pt,742.442993pt" to="525.600002pt,742.44299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2549651</wp:posOffset>
              </wp:positionH>
              <wp:positionV relativeFrom="page">
                <wp:posOffset>9474301</wp:posOffset>
              </wp:positionV>
              <wp:extent cx="2673350" cy="1924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6733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45466"/>
                              <w:sz w:val="22"/>
                            </w:rPr>
                            <w:t>NeurIPS</w:t>
                          </w:r>
                          <w:r>
                            <w:rPr>
                              <w:color w:val="545466"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z w:val="22"/>
                            </w:rPr>
                            <w:t>2026</w:t>
                          </w:r>
                          <w:r>
                            <w:rPr>
                              <w:color w:val="545466"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z w:val="22"/>
                            </w:rPr>
                            <w:t>Abstract</w:t>
                          </w:r>
                          <w:r>
                            <w:rPr>
                              <w:color w:val="545466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z w:val="22"/>
                            </w:rPr>
                            <w:t>Submission</w:t>
                          </w:r>
                          <w:r>
                            <w:rPr>
                              <w:color w:val="545466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color w:val="545466"/>
                              <w:sz w:val="22"/>
                            </w:rPr>
                            <w:t>·</w:t>
                          </w:r>
                          <w:r>
                            <w:rPr>
                              <w:rFonts w:ascii="Verdana" w:hAnsi="Verdana"/>
                              <w:i/>
                              <w:color w:val="545466"/>
                              <w:spacing w:val="-23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z w:val="22"/>
                            </w:rPr>
                            <w:t>May</w:t>
                          </w:r>
                          <w:r>
                            <w:rPr>
                              <w:color w:val="545466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759995pt;margin-top:746.007996pt;width:210.5pt;height:15.15pt;mso-position-horizontal-relative:page;mso-position-vertical-relative:page;z-index:-15831552" type="#_x0000_t202" id="docshape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45466"/>
                        <w:sz w:val="22"/>
                      </w:rPr>
                      <w:t>NeurIPS</w:t>
                    </w:r>
                    <w:r>
                      <w:rPr>
                        <w:color w:val="545466"/>
                        <w:spacing w:val="-14"/>
                        <w:sz w:val="22"/>
                      </w:rPr>
                      <w:t> </w:t>
                    </w:r>
                    <w:r>
                      <w:rPr>
                        <w:color w:val="545466"/>
                        <w:sz w:val="22"/>
                      </w:rPr>
                      <w:t>2026</w:t>
                    </w:r>
                    <w:r>
                      <w:rPr>
                        <w:color w:val="545466"/>
                        <w:spacing w:val="-14"/>
                        <w:sz w:val="22"/>
                      </w:rPr>
                      <w:t> </w:t>
                    </w:r>
                    <w:r>
                      <w:rPr>
                        <w:color w:val="545466"/>
                        <w:sz w:val="22"/>
                      </w:rPr>
                      <w:t>Abstract</w:t>
                    </w:r>
                    <w:r>
                      <w:rPr>
                        <w:color w:val="545466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545466"/>
                        <w:sz w:val="22"/>
                      </w:rPr>
                      <w:t>Submission</w:t>
                    </w:r>
                    <w:r>
                      <w:rPr>
                        <w:color w:val="545466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color w:val="545466"/>
                        <w:sz w:val="22"/>
                      </w:rPr>
                      <w:t>·</w:t>
                    </w:r>
                    <w:r>
                      <w:rPr>
                        <w:rFonts w:ascii="Verdana" w:hAnsi="Verdana"/>
                        <w:i/>
                        <w:color w:val="545466"/>
                        <w:spacing w:val="-23"/>
                        <w:sz w:val="22"/>
                      </w:rPr>
                      <w:t> </w:t>
                    </w:r>
                    <w:r>
                      <w:rPr>
                        <w:color w:val="545466"/>
                        <w:sz w:val="22"/>
                      </w:rPr>
                      <w:t>May</w:t>
                    </w:r>
                    <w:r>
                      <w:rPr>
                        <w:color w:val="545466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545466"/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1097280</wp:posOffset>
              </wp:positionH>
              <wp:positionV relativeFrom="page">
                <wp:posOffset>647725</wp:posOffset>
              </wp:positionV>
              <wp:extent cx="5577840" cy="190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7784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7840" h="19050">
                            <a:moveTo>
                              <a:pt x="5577840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577840" y="18973"/>
                            </a:lnTo>
                            <a:lnTo>
                              <a:pt x="5577840" y="0"/>
                            </a:lnTo>
                            <a:close/>
                          </a:path>
                        </a:pathLst>
                      </a:custGeom>
                      <a:solidFill>
                        <a:srgbClr val="1A396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00002pt;margin-top:51.001999pt;width:439.2pt;height:1.494pt;mso-position-horizontal-relative:page;mso-position-vertical-relative:page;z-index:-15833600" id="docshape1" filled="true" fillcolor="#1a396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1084580</wp:posOffset>
              </wp:positionH>
              <wp:positionV relativeFrom="page">
                <wp:posOffset>337531</wp:posOffset>
              </wp:positionV>
              <wp:extent cx="2489835" cy="2057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9835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b/>
                              <w:color w:val="1A396B"/>
                              <w:sz w:val="22"/>
                            </w:rPr>
                            <w:t>Pharos</w:t>
                          </w:r>
                          <w:r>
                            <w:rPr>
                              <w:b/>
                              <w:color w:val="1A396B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396B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1A396B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396B"/>
                              <w:sz w:val="22"/>
                            </w:rPr>
                            <w:t>Navigated</w:t>
                          </w:r>
                          <w:r>
                            <w:rPr>
                              <w:color w:val="1A396B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396B"/>
                              <w:sz w:val="22"/>
                            </w:rPr>
                            <w:t>Hierarchical</w:t>
                          </w:r>
                          <w:r>
                            <w:rPr>
                              <w:color w:val="1A396B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396B"/>
                              <w:spacing w:val="-2"/>
                              <w:sz w:val="22"/>
                            </w:rPr>
                            <w:t>Attention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5.400002pt;margin-top:26.577265pt;width:196.05pt;height:16.2pt;mso-position-horizontal-relative:page;mso-position-vertical-relative:page;z-index:-15833088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1A396B"/>
                        <w:sz w:val="22"/>
                      </w:rPr>
                      <w:t>Pharos</w:t>
                    </w:r>
                    <w:r>
                      <w:rPr>
                        <w:b/>
                        <w:color w:val="1A396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A396B"/>
                        <w:sz w:val="22"/>
                      </w:rPr>
                      <w:t>—</w:t>
                    </w:r>
                    <w:r>
                      <w:rPr>
                        <w:color w:val="1A396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A396B"/>
                        <w:sz w:val="22"/>
                      </w:rPr>
                      <w:t>Navigated</w:t>
                    </w:r>
                    <w:r>
                      <w:rPr>
                        <w:color w:val="1A396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A396B"/>
                        <w:sz w:val="22"/>
                      </w:rPr>
                      <w:t>Hierarchical</w:t>
                    </w:r>
                    <w:r>
                      <w:rPr>
                        <w:color w:val="1A396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A396B"/>
                        <w:spacing w:val="-2"/>
                        <w:sz w:val="22"/>
                      </w:rPr>
                      <w:t>Attention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4959973</wp:posOffset>
              </wp:positionH>
              <wp:positionV relativeFrom="page">
                <wp:posOffset>342518</wp:posOffset>
              </wp:positionV>
              <wp:extent cx="1728470" cy="1924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2847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45466"/>
                              <w:sz w:val="22"/>
                            </w:rPr>
                            <w:t>ZenLabs,</w:t>
                          </w:r>
                          <w:r>
                            <w:rPr>
                              <w:color w:val="545466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z w:val="22"/>
                            </w:rPr>
                            <w:t>Zensar</w:t>
                          </w:r>
                          <w:r>
                            <w:rPr>
                              <w:color w:val="54546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45466"/>
                              <w:spacing w:val="-2"/>
                              <w:sz w:val="2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549133pt;margin-top:26.969992pt;width:136.1pt;height:15.15pt;mso-position-horizontal-relative:page;mso-position-vertical-relative:page;z-index:-15832576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45466"/>
                        <w:sz w:val="22"/>
                      </w:rPr>
                      <w:t>ZenLabs,</w:t>
                    </w:r>
                    <w:r>
                      <w:rPr>
                        <w:color w:val="545466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45466"/>
                        <w:sz w:val="22"/>
                      </w:rPr>
                      <w:t>Zensar</w:t>
                    </w:r>
                    <w:r>
                      <w:rPr>
                        <w:color w:val="54546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45466"/>
                        <w:spacing w:val="-2"/>
                        <w:sz w:val="22"/>
                      </w:rPr>
                      <w:t>Technologies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43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0" w:lineRule="exact"/>
      <w:ind w:right="1439" w:hanging="31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646" w:right="1725" w:hanging="2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2026-06-02T07:19:23Z</dcterms:created>
  <dcterms:modified xsi:type="dcterms:W3CDTF">2026-06-02T07:19:23Z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2026-06-02T00:00:00Z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