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POC Evidence — multi-source SCD2 effective-date split</w:t>
      </w:r>
    </w:p>
    <w:p>
      <w:pPr>
        <w:spacing w:after="120"/>
      </w:pPr>
      <w:r>
        <w:rPr>
          <w:sz w:val="22"/>
          <w:szCs w:val="22"/>
        </w:rPr>
        <w:t xml:space="preserve">Execution evidence for poc_snowflake.sql, run against LM_POC_DB.POC_SCHEMA. The POC proves that when two SCD2 source tables both contribute attributes to one SCD2 target, the target timeline can be rebuilt correctly in set-based SQL — including retiring rows that a later run makes invalid.</w:t>
      </w:r>
    </w:p>
    <w:p>
      <w:pPr>
        <w:spacing w:after="120"/>
      </w:pPr>
      <w:r>
        <w:rPr>
          <w:sz w:val="22"/>
          <w:szCs w:val="22"/>
        </w:rPr>
        <w:t xml:space="preserve">Three brokers are under test. BR001 is the main scenario: its party record never changes on Day 2, yet three of its target rows still have to be rewritten. BR002 tests that a Day 2 change in a column that never reaches the target produces no target change at all. BR003 tests that a broker outside the run's sourcing window is left untouched.</w:t>
      </w:r>
    </w:p>
    <w:p>
      <w:pPr>
        <w:spacing w:after="120"/>
      </w:pPr>
      <w:r>
        <w:rPr>
          <w:sz w:val="22"/>
          <w:szCs w:val="22"/>
        </w:rPr>
        <w:t xml:space="preserve">Result: all twelve assertions PASS. Details in each section below.</w:t>
      </w:r>
    </w:p>
    <w:p>
      <w:pPr>
        <w:pStyle w:val="Heading1"/>
      </w:pPr>
      <w:r>
        <w:t xml:space="preserve">1. Setup and Day 1 source data</w:t>
      </w:r>
    </w:p>
    <w:p>
      <w:pPr>
        <w:spacing w:after="120"/>
      </w:pPr>
      <w:r>
        <w:rPr>
          <w:sz w:val="22"/>
          <w:szCs w:val="22"/>
        </w:rPr>
        <w:t xml:space="preserve">Goal: establish the starting state — what the two Zone1 history tables hold, and which sourcing window the first run will read.</w:t>
      </w:r>
    </w:p>
    <w:p>
      <w:pPr>
        <w:spacing w:after="120"/>
      </w:pPr>
      <w:r>
        <w:rPr>
          <w:sz w:val="22"/>
          <w:szCs w:val="22"/>
        </w:rPr>
        <w:t xml:space="preserve">Steps: load the Day 1 rows into both source tables, then register one ETL_DATA_INGESTION_SOURCE_WINDOW row per source table for run 101.</w:t>
      </w:r>
    </w:p>
    <w:p w14:paraId="1302A206" w14:textId="4B84C881" w:rsidR="00AD7DD7" w:rsidRDefault="00CE4EC5">
      <w:r w:rsidRPr="00CE4EC5">
        <w:drawing>
          <wp:inline distT="0" distB="0" distL="0" distR="0" wp14:anchorId="400CD175" wp14:editId="6D4C9E31">
            <wp:extent cx="5943600" cy="1002665"/>
            <wp:effectExtent l="0" t="0" r="0" b="6985"/>
            <wp:docPr id="1349758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589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Z1_BROKER_PARTY_HIST on Day 1 — four rows. BR001 changes status on 10-Sep and again on 21-Sep; BR002 and BR003 have a single version each.</w:t>
      </w:r>
    </w:p>
    <w:p w14:paraId="38F60DA1" w14:textId="24D4BFEA" w:rsidR="00CE4EC5" w:rsidRDefault="00CE4EC5">
      <w:r w:rsidRPr="00CE4EC5">
        <w:drawing>
          <wp:inline distT="0" distB="0" distL="0" distR="0" wp14:anchorId="10D33FFD" wp14:editId="4EBE0935">
            <wp:extent cx="5943600" cy="922020"/>
            <wp:effectExtent l="0" t="0" r="0" b="0"/>
            <wp:docPr id="1396582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826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Z1_BROKER_COMMISSION_HIST on Day 1 — one commission version per broker. Note BR001's starts on 09-Sep, a day before its party record does.</w:t>
      </w:r>
    </w:p>
    <w:p w14:paraId="5F77906E" w14:textId="6A4004BF" w:rsidR="00CE4EC5" w:rsidRDefault="00CE4EC5">
      <w:r w:rsidRPr="00CE4EC5">
        <w:drawing>
          <wp:inline distT="0" distB="0" distL="0" distR="0" wp14:anchorId="35030115" wp14:editId="008F6DE9">
            <wp:extent cx="5943600" cy="868045"/>
            <wp:effectExtent l="0" t="0" r="0" b="8255"/>
            <wp:docPr id="221882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8827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The sourcing window for run 101 — one row per source table, both Completed, both open from 1900-01-01 so the first run picks up everything.</w:t>
      </w:r>
    </w:p>
    <w:p>
      <w:pPr>
        <w:pStyle w:val="Heading1"/>
      </w:pPr>
      <w:r>
        <w:t xml:space="preserve">2. Day 1, Step 1 — build the stage</w:t>
      </w:r>
    </w:p>
    <w:p>
      <w:pPr>
        <w:spacing w:after="120"/>
      </w:pPr>
      <w:r>
        <w:rPr>
          <w:sz w:val="22"/>
          <w:szCs w:val="22"/>
        </w:rPr>
        <w:t xml:space="preserve">Goal: show that Step 1 turns the two source timelines into a complete instruction list, without writing anything to the target.</w:t>
      </w:r>
    </w:p>
    <w:p>
      <w:pPr>
        <w:spacing w:after="120"/>
      </w:pPr>
      <w:r>
        <w:rPr>
          <w:sz w:val="22"/>
          <w:szCs w:val="22"/>
        </w:rPr>
        <w:t xml:space="preserve">Steps: truncate the stage, run the Step 1 view into it, then read back its contents and its counts by action flag.</w:t>
      </w:r>
    </w:p>
    <w:p w14:paraId="349C89CA" w14:textId="1108680C" w:rsidR="00CE4EC5" w:rsidRDefault="00CE4EC5">
      <w:r w:rsidRPr="00CE4EC5">
        <w:drawing>
          <wp:inline distT="0" distB="0" distL="0" distR="0" wp14:anchorId="0A8C4956" wp14:editId="776CD83F">
            <wp:extent cx="5943600" cy="2471420"/>
            <wp:effectExtent l="0" t="0" r="0" b="5080"/>
            <wp:docPr id="239393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934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Step 1 writes 5 rows into the stage. The stage is truncated first, so every run is a clean rebuild rather than an accumulation.</w:t>
      </w:r>
    </w:p>
    <w:p w14:paraId="0FD69E80" w14:textId="77777777" w:rsidR="00CE4EC5" w:rsidRDefault="00CE4EC5"/>
    <w:p w14:paraId="7768DB90" w14:textId="36C0CA5C" w:rsidR="00CE4EC5" w:rsidRDefault="00CE4EC5">
      <w:r w:rsidRPr="00CE4EC5">
        <w:drawing>
          <wp:inline distT="0" distB="0" distL="0" distR="0" wp14:anchorId="1D1FF7C7" wp14:editId="74C766C3">
            <wp:extent cx="5943600" cy="1141730"/>
            <wp:effectExtent l="0" t="0" r="0" b="1270"/>
            <wp:docPr id="1335221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2214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The Day 1 stage in full — all five rows are 'I'. BR001 is cut into three intervals at 09, 10 and 21-Sep, and the 09-Sep row correctly carries no BROKER_STATUS_CDE because the party record does not begin until 10-Sep.</w:t>
      </w:r>
    </w:p>
    <w:p w14:paraId="3B4B8A43" w14:textId="69160BD8" w:rsidR="00CE4EC5" w:rsidRDefault="00CE4EC5">
      <w:r w:rsidRPr="00CE4EC5">
        <w:drawing>
          <wp:inline distT="0" distB="0" distL="0" distR="0" wp14:anchorId="0DD144CC" wp14:editId="5B43384D">
            <wp:extent cx="5943600" cy="750570"/>
            <wp:effectExtent l="0" t="0" r="0" b="0"/>
            <wp:docPr id="1745009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093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Count by action flag — five inserts and no deletes, which is what a first load should produce: there is nothing yet to supersede.</w:t>
      </w:r>
    </w:p>
    <w:p>
      <w:pPr>
        <w:pStyle w:val="Heading1"/>
      </w:pPr>
      <w:r>
        <w:t xml:space="preserve">3. Day 1, Steps 2 and 3 — apply to the target</w:t>
      </w:r>
    </w:p>
    <w:p>
      <w:pPr>
        <w:spacing w:after="120"/>
      </w:pPr>
      <w:r>
        <w:rPr>
          <w:sz w:val="22"/>
          <w:szCs w:val="22"/>
        </w:rPr>
        <w:t xml:space="preserve">Goal: apply the staged instructions to the Zone2 target and confirm the first load lands exactly as the stage described.</w:t>
      </w:r>
    </w:p>
    <w:p>
      <w:pPr>
        <w:spacing w:after="120"/>
      </w:pPr>
      <w:r>
        <w:rPr>
          <w:sz w:val="22"/>
          <w:szCs w:val="22"/>
        </w:rPr>
        <w:t xml:space="preserve">Steps: run the soft-delete first (expected to do nothing on a first load), then the insert, then read the target back.</w:t>
      </w:r>
    </w:p>
    <w:p w14:paraId="21B0AE0C" w14:textId="60EF5A95" w:rsidR="00CE4EC5" w:rsidRDefault="00CE4EC5">
      <w:r w:rsidRPr="00CE4EC5">
        <w:lastRenderedPageBreak/>
        <w:drawing>
          <wp:inline distT="0" distB="0" distL="0" distR="0" wp14:anchorId="5972E510" wp14:editId="76E9334F">
            <wp:extent cx="5943600" cy="914400"/>
            <wp:effectExtent l="0" t="0" r="0" b="0"/>
            <wp:docPr id="732791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912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Step 2 updates 0 rows — correct on a first load: the stage holds no 'D' rows and the target is empty.</w:t>
      </w:r>
    </w:p>
    <w:p w14:paraId="35EA6D90" w14:textId="4CBC6BDB" w:rsidR="00CE4EC5" w:rsidRDefault="00CE4EC5">
      <w:r w:rsidRPr="00CE4EC5">
        <w:drawing>
          <wp:inline distT="0" distB="0" distL="0" distR="0" wp14:anchorId="73827DBC" wp14:editId="37D38292">
            <wp:extent cx="5943600" cy="2910205"/>
            <wp:effectExtent l="0" t="0" r="0" b="4445"/>
            <wp:docPr id="380202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2023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Step 3 inserts all five 'I' rows into the target.</w:t>
      </w:r>
    </w:p>
    <w:p w14:paraId="1511F457" w14:textId="15AA676E" w:rsidR="00CE4EC5" w:rsidRDefault="00CE4EC5">
      <w:r w:rsidRPr="00CE4EC5">
        <w:drawing>
          <wp:inline distT="0" distB="0" distL="0" distR="0" wp14:anchorId="454EAB4C" wp14:editId="2718D06D">
            <wp:extent cx="5943600" cy="1161415"/>
            <wp:effectExtent l="0" t="0" r="0" b="635"/>
            <wp:docPr id="1364474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4749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The Day 1 target — five rows, every one IS_DEL = 'N' and stamped with AUDIT_BATCH_ID 101.</w:t>
      </w:r>
    </w:p>
    <w:p>
      <w:pPr>
        <w:pStyle w:val="Heading1"/>
      </w:pPr>
      <w:r>
        <w:t xml:space="preserve">4. Day 2 — source changes arrive</w:t>
      </w:r>
    </w:p>
    <w:p>
      <w:pPr>
        <w:spacing w:after="120"/>
      </w:pPr>
      <w:r>
        <w:rPr>
          <w:sz w:val="22"/>
          <w:szCs w:val="22"/>
        </w:rPr>
        <w:t xml:space="preserve">Goal: stage a realistic second day in which one source changes and the other does not, including one change that must produce no target effect at all.</w:t>
      </w:r>
    </w:p>
    <w:p>
      <w:pPr>
        <w:spacing w:after="120"/>
      </w:pPr>
      <w:r>
        <w:rPr>
          <w:sz w:val="22"/>
          <w:szCs w:val="22"/>
        </w:rPr>
        <w:t xml:space="preserve">Steps: close two open commission versions, insert three new ones, register the run 102 window, then read both source tables back to confirm the setup.</w:t>
      </w:r>
    </w:p>
    <w:p w14:paraId="79141307" w14:textId="52E4DEC7" w:rsidR="00CE4EC5" w:rsidRDefault="00F22B14">
      <w:r w:rsidRPr="00F22B14">
        <w:drawing>
          <wp:inline distT="0" distB="0" distL="0" distR="0" wp14:anchorId="31436504" wp14:editId="247D9F1F">
            <wp:extent cx="5943600" cy="1673225"/>
            <wp:effectExtent l="0" t="0" r="0" b="3175"/>
            <wp:docPr id="979111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1114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BR001's open commission version is closed at 15-Sep and re-stamped with a Day 2 refined timestamp.</w:t>
      </w:r>
    </w:p>
    <w:p w14:paraId="7E159593" w14:textId="3610648F" w:rsidR="00F22B14" w:rsidRDefault="00F22B14">
      <w:r w:rsidRPr="00F22B14">
        <w:drawing>
          <wp:inline distT="0" distB="0" distL="0" distR="0" wp14:anchorId="2DEE83AA" wp14:editId="3A565F24">
            <wp:extent cx="5943600" cy="788670"/>
            <wp:effectExtent l="0" t="0" r="0" b="0"/>
            <wp:docPr id="87335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359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BR002's open commission version is closed at 12-Sep — but its tier will stay TIER1, which is the test that a change outside the target produces nothing.</w:t>
      </w:r>
    </w:p>
    <w:p w14:paraId="15DEC9BD" w14:textId="09A3831A" w:rsidR="00F22B14" w:rsidRDefault="00F22B14">
      <w:r w:rsidRPr="00F22B14">
        <w:lastRenderedPageBreak/>
        <w:drawing>
          <wp:inline distT="0" distB="0" distL="0" distR="0" wp14:anchorId="60E93FBB" wp14:editId="7F1FC7BF">
            <wp:extent cx="5943600" cy="1776730"/>
            <wp:effectExtent l="0" t="0" r="0" b="0"/>
            <wp:docPr id="1344315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3154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Three new commission versions arrive: BR001 moves to TIER2 then TIER3, while BR002 stays on TIER1 with only its note text reworded.</w:t>
      </w:r>
    </w:p>
    <w:p w14:paraId="62C6768A" w14:textId="6E87BBA6" w:rsidR="00F22B14" w:rsidRDefault="00F22B14">
      <w:r w:rsidRPr="00F22B14">
        <w:drawing>
          <wp:inline distT="0" distB="0" distL="0" distR="0" wp14:anchorId="6836B5BB" wp14:editId="621077E8">
            <wp:extent cx="5943600" cy="2352675"/>
            <wp:effectExtent l="0" t="0" r="0" b="9525"/>
            <wp:docPr id="360658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6589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The sourcing window for run 102 — a fresh window per source table, covering only 18-Sep to 19-Sep.</w:t>
      </w:r>
    </w:p>
    <w:p w14:paraId="017CB3AE" w14:textId="103757E8" w:rsidR="00F22B14" w:rsidRDefault="00F22B14">
      <w:r w:rsidRPr="00F22B14">
        <w:drawing>
          <wp:inline distT="0" distB="0" distL="0" distR="0" wp14:anchorId="36341588" wp14:editId="41FB7625">
            <wp:extent cx="5943600" cy="1181735"/>
            <wp:effectExtent l="0" t="0" r="0" b="0"/>
            <wp:docPr id="26924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2475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Z1_BROKER_PARTY_HIST is untouched on Day 2 — every refined timestamp still reads 18-Sep. This is what makes the Day 2 stage result meaningful.</w:t>
      </w:r>
    </w:p>
    <w:p w14:paraId="2A43937A" w14:textId="2FCC41A5" w:rsidR="00F22B14" w:rsidRDefault="00F22B14">
      <w:r w:rsidRPr="00F22B14">
        <w:drawing>
          <wp:inline distT="0" distB="0" distL="0" distR="0" wp14:anchorId="49FF20AC" wp14:editId="687CCD46">
            <wp:extent cx="5943600" cy="1221105"/>
            <wp:effectExtent l="0" t="0" r="0" b="0"/>
            <wp:docPr id="1700707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077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Z1_BROKER_COMMISSION_HIST after Day 2 — BR001 now has three versions, BR002 has two that differ only in note text, and BR003 keeps its Day 1 timestamp.</w:t>
      </w:r>
    </w:p>
    <w:p>
      <w:pPr>
        <w:pStyle w:val="Heading1"/>
      </w:pPr>
      <w:r>
        <w:t xml:space="preserve">5. Day 2, Step 1 — the result that matters</w:t>
      </w:r>
    </w:p>
    <w:p>
      <w:pPr>
        <w:spacing w:after="120"/>
      </w:pPr>
      <w:r>
        <w:rPr>
          <w:sz w:val="22"/>
          <w:szCs w:val="22"/>
        </w:rPr>
        <w:t xml:space="preserve">Goal: confirm that rebuilding each impacted broker's timeline produces exactly the right instructions when only one of the two sources changed.</w:t>
      </w:r>
    </w:p>
    <w:p>
      <w:pPr>
        <w:spacing w:after="120"/>
      </w:pPr>
      <w:r>
        <w:rPr>
          <w:sz w:val="22"/>
          <w:szCs w:val="22"/>
        </w:rPr>
        <w:t xml:space="preserve">Steps: truncate and rerun the same Step 1 view, then read the stage and check both the row counts and which brokers appear.</w:t>
      </w:r>
    </w:p>
    <w:p w14:paraId="0DC2AB59" w14:textId="051E304A" w:rsidR="00F22B14" w:rsidRDefault="00F22B14">
      <w:r w:rsidRPr="00F22B14">
        <w:lastRenderedPageBreak/>
        <w:drawing>
          <wp:inline distT="0" distB="0" distL="0" distR="0" wp14:anchorId="722F44B2" wp14:editId="4F989D44">
            <wp:extent cx="5943600" cy="2560320"/>
            <wp:effectExtent l="0" t="0" r="0" b="0"/>
            <wp:docPr id="2103923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9231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Step 1 writes 6 rows on Day 2 — two more than the four new target versions, because two existing target rows also have to be retired.</w:t>
      </w:r>
    </w:p>
    <w:p w14:paraId="2B459258" w14:textId="06217489" w:rsidR="00F22B14" w:rsidRDefault="00F22B14">
      <w:r w:rsidRPr="00F22B14">
        <w:drawing>
          <wp:inline distT="0" distB="0" distL="0" distR="0" wp14:anchorId="4C80579A" wp14:editId="478027C3">
            <wp:extent cx="5943600" cy="1282065"/>
            <wp:effectExtent l="0" t="0" r="0" b="0"/>
            <wp:docPr id="902586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865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The central result of the POC. Four 'I' and two 'D', every one BR001 — even though BR001's party table did not change. The two 'D' rows carry surrogate keys 3 and 4, the Day 1 rows being superseded. Nothing appears for BR002, so the collapse worked; nothing for BR003, so the sourcing window worked.</w:t>
      </w:r>
    </w:p>
    <w:p>
      <w:pPr>
        <w:pStyle w:val="Heading1"/>
      </w:pPr>
      <w:r>
        <w:t xml:space="preserve">6. Day 2, Steps 2 and 3 — apply and inspect</w:t>
      </w:r>
    </w:p>
    <w:p>
      <w:pPr>
        <w:spacing w:after="120"/>
      </w:pPr>
      <w:r>
        <w:rPr>
          <w:sz w:val="22"/>
          <w:szCs w:val="22"/>
        </w:rPr>
        <w:t xml:space="preserve">Goal: apply the Day 2 instructions and confirm the target holds both the corrected timeline and an audit trail of what it replaced.</w:t>
      </w:r>
    </w:p>
    <w:p>
      <w:pPr>
        <w:spacing w:after="120"/>
      </w:pPr>
      <w:r>
        <w:rPr>
          <w:sz w:val="22"/>
          <w:szCs w:val="22"/>
        </w:rPr>
        <w:t xml:space="preserve">Steps: soft-delete, then insert, then read the target twice — once in full, once filtered to live rows only.</w:t>
      </w:r>
    </w:p>
    <w:p w14:paraId="12BE5FCA" w14:textId="0834AE89" w:rsidR="00F22B14" w:rsidRDefault="00F22B14">
      <w:r w:rsidRPr="00F22B14">
        <w:drawing>
          <wp:inline distT="0" distB="0" distL="0" distR="0" wp14:anchorId="68187B22" wp14:editId="7BB3900D">
            <wp:extent cx="5943600" cy="874395"/>
            <wp:effectExtent l="0" t="0" r="0" b="1905"/>
            <wp:docPr id="209335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355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Step 2 soft-deletes exactly 2 rows, and reports 0 multi-joined rows updated — confirming the surrogate-key match is unambiguous and no row was hit twice.</w:t>
      </w:r>
    </w:p>
    <w:p w14:paraId="47BF7C77" w14:textId="56FA9466" w:rsidR="00F22B14" w:rsidRDefault="00F22B14">
      <w:r w:rsidRPr="00F22B14">
        <w:lastRenderedPageBreak/>
        <w:drawing>
          <wp:inline distT="0" distB="0" distL="0" distR="0" wp14:anchorId="661BE8FD" wp14:editId="62963463">
            <wp:extent cx="5943600" cy="3117215"/>
            <wp:effectExtent l="0" t="0" r="0" b="6985"/>
            <wp:docPr id="73801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14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Step 3 inserts the four new versions.</w:t>
      </w:r>
    </w:p>
    <w:p w14:paraId="2BB1B30A" w14:textId="04760E55" w:rsidR="00F22B14" w:rsidRDefault="00F22B14">
      <w:r w:rsidRPr="00F22B14">
        <w:drawing>
          <wp:inline distT="0" distB="0" distL="0" distR="0" wp14:anchorId="40109710" wp14:editId="4D417363">
            <wp:extent cx="5943600" cy="1550035"/>
            <wp:effectExtent l="0" t="0" r="0" b="0"/>
            <wp:docPr id="1480221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219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The full target after Day 2 — nine rows. BR001's two superseded rows keep IS_DEL = 'Y' and AUDIT_BATCH_ID 101, while its four new rows carry 102, so every row is traceable to the run that wrote it.</w:t>
      </w:r>
    </w:p>
    <w:p w14:paraId="57E8E9B9" w14:textId="76696C8E" w:rsidR="00F22B14" w:rsidRDefault="00F22B14">
      <w:r w:rsidRPr="00F22B14">
        <w:drawing>
          <wp:inline distT="0" distB="0" distL="0" distR="0" wp14:anchorId="457669DD" wp14:editId="3E92B8C1">
            <wp:extent cx="5943600" cy="1515745"/>
            <wp:effectExtent l="0" t="0" r="0" b="8255"/>
            <wp:docPr id="1141465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46501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The live timeline consumers actually see — seven rows, with BR001 running continuously from 09-Sep to the high end date with no gap and no overlap.</w:t>
      </w:r>
    </w:p>
    <w:p>
      <w:pPr>
        <w:pStyle w:val="Heading1"/>
      </w:pPr>
      <w:r>
        <w:t xml:space="preserve">7. Validation — the assertions</w:t>
      </w:r>
    </w:p>
    <w:p>
      <w:pPr>
        <w:spacing w:after="120"/>
      </w:pPr>
      <w:r>
        <w:rPr>
          <w:sz w:val="22"/>
          <w:szCs w:val="22"/>
        </w:rPr>
        <w:t xml:space="preserve">Goal: replace visual inspection with explicit assertions, each printing PASS or FAIL against a stated expected value.</w:t>
      </w:r>
    </w:p>
    <w:p>
      <w:pPr>
        <w:spacing w:after="120"/>
      </w:pPr>
      <w:r>
        <w:rPr>
          <w:sz w:val="22"/>
          <w:szCs w:val="22"/>
        </w:rPr>
        <w:t xml:space="preserve">Steps: run the assertion block and read the RESULT column; every row must read PASS.</w:t>
      </w:r>
    </w:p>
    <w:p w14:paraId="26D377AC" w14:textId="7074F0D8" w:rsidR="006E1AC6" w:rsidRDefault="006E1AC6">
      <w:r w:rsidRPr="006E1AC6">
        <w:lastRenderedPageBreak/>
        <w:drawing>
          <wp:inline distT="0" distB="0" distL="0" distR="0" wp14:anchorId="51488049" wp14:editId="45250392">
            <wp:extent cx="5943600" cy="2148840"/>
            <wp:effectExtent l="0" t="0" r="0" b="3810"/>
            <wp:docPr id="1424407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40797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All eleven assertions PASS. T04 confirms BR002 was never soft-deleted, which is the collapse working. T07 and T08 together pin down the consequence that BROKER_ID + ROW_EFF_DTE is unique only among live rows, and deliberately not across all rows.</w:t>
      </w:r>
    </w:p>
    <w:p>
      <w:pPr>
        <w:pStyle w:val="Heading1"/>
      </w:pPr>
      <w:r>
        <w:t xml:space="preserve">8. Idempotence — safe to re-run</w:t>
      </w:r>
    </w:p>
    <w:p>
      <w:pPr>
        <w:spacing w:after="120"/>
      </w:pPr>
      <w:r>
        <w:rPr>
          <w:sz w:val="22"/>
          <w:szCs w:val="22"/>
        </w:rPr>
        <w:t xml:space="preserve">Goal: prove the design is safe to restart — a run whose window contains no newly refined rows must change nothing at all.</w:t>
      </w:r>
    </w:p>
    <w:p>
      <w:pPr>
        <w:spacing w:after="120"/>
      </w:pPr>
      <w:r>
        <w:rPr>
          <w:sz w:val="22"/>
          <w:szCs w:val="22"/>
        </w:rPr>
        <w:t xml:space="preserve">Steps: register a third sourcing window covering a quiet period, rerun Step 1, and confirm the stage comes back empty.</w:t>
      </w:r>
    </w:p>
    <w:p w14:paraId="7A3E046E" w14:textId="77777777" w:rsidR="006E1AC6" w:rsidRDefault="006E1AC6"/>
    <w:p w14:paraId="1529A92F" w14:textId="7612F5E0" w:rsidR="006E1AC6" w:rsidRDefault="006E1AC6">
      <w:r w:rsidRPr="006E1AC6">
        <w:drawing>
          <wp:inline distT="0" distB="0" distL="0" distR="0" wp14:anchorId="506F7F65" wp14:editId="19414758">
            <wp:extent cx="5943600" cy="2705100"/>
            <wp:effectExtent l="0" t="0" r="0" b="0"/>
            <wp:docPr id="1318623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62357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A third sourcing window, run 103, covering 19-Sep to 20-Sep — a period in which nothing was refined in either source.</w:t>
      </w:r>
    </w:p>
    <w:p w14:paraId="4ABAB363" w14:textId="00C79577" w:rsidR="006E1AC6" w:rsidRDefault="006E1AC6">
      <w:r w:rsidRPr="006E1AC6">
        <w:drawing>
          <wp:inline distT="0" distB="0" distL="0" distR="0" wp14:anchorId="03BDAECE" wp14:editId="63217188">
            <wp:extent cx="5943600" cy="2602865"/>
            <wp:effectExtent l="0" t="0" r="0" b="6985"/>
            <wp:docPr id="941489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4898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Step 1 writes 0 rows. No broker falls inside the window, so no timeline is rebuilt and no instruction is produced.</w:t>
      </w:r>
    </w:p>
    <w:p w14:paraId="396E4C80" w14:textId="6C20DC3C" w:rsidR="006E1AC6" w:rsidRDefault="006E1AC6">
      <w:r w:rsidRPr="006E1AC6">
        <w:lastRenderedPageBreak/>
        <w:drawing>
          <wp:inline distT="0" distB="0" distL="0" distR="0" wp14:anchorId="43ADE2BB" wp14:editId="697127F7">
            <wp:extent cx="5943600" cy="1012825"/>
            <wp:effectExtent l="0" t="0" r="0" b="0"/>
            <wp:docPr id="115121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2123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40"/>
      </w:pPr>
      <w:r>
        <w:rPr>
          <w:i/>
          <w:color w:val="595959"/>
          <w:sz w:val="19"/>
          <w:szCs w:val="19"/>
        </w:rPr>
        <w:t xml:space="preserve">T12 PASS — the empty stage confirms that a re-run with no new data produces no change. This is what makes the load restartable without unwinding anything.</w:t>
      </w:r>
    </w:p>
    <w:p>
      <w:pPr>
        <w:pStyle w:val="Heading1"/>
      </w:pPr>
      <w:r>
        <w:t xml:space="preserve">Conclusion</w:t>
      </w:r>
    </w:p>
    <w:p>
      <w:pPr>
        <w:spacing w:after="120"/>
      </w:pPr>
      <w:r>
        <w:rPr>
          <w:b/>
          <w:sz w:val="22"/>
          <w:szCs w:val="22"/>
        </w:rPr>
        <w:t xml:space="preserve">All twelve assertions pass and every evidence block matches the design's predicted output exactly — including the two results that were hardest to be confident about on paper: that a change in a non-target column produces no target change (BR002), and that a re-run with no new data produces an empty stage.</w:t>
      </w:r>
    </w:p>
    <w:p>
      <w:pPr>
        <w:spacing w:after="120"/>
      </w:pPr>
      <w:r>
        <w:rPr>
          <w:sz w:val="22"/>
          <w:szCs w:val="22"/>
        </w:rPr>
        <w:t xml:space="preserve">The design is proven on this dataset. What it does not yet prove: that a SQL override of this size still pushes down fully in IDMC, and whether Steps 2 and 3 can share one Snowflake transaction. Both are listed in solution_design.md section 11 and still need a spike against a real mapping.</w:t>
      </w:r>
    </w:p>
    <w:sectPr w:rsidR="006E1A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EC5"/>
    <w:rsid w:val="00671EB5"/>
    <w:rsid w:val="006A383A"/>
    <w:rsid w:val="006E1AC6"/>
    <w:rsid w:val="00976EE8"/>
    <w:rsid w:val="00AD7DD7"/>
    <w:rsid w:val="00CE4EC5"/>
    <w:rsid w:val="00EB6C48"/>
    <w:rsid w:val="00F22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8DC43"/>
  <w15:chartTrackingRefBased/>
  <w15:docId w15:val="{FC17C41C-03BD-48C5-BE5F-266527302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E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4E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E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E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E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E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E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E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E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E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4E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E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E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E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E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E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E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E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E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E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E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E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E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E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E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E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E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E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E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7</Pages>
  <Words>7</Words>
  <Characters>45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Bansal, Nikhil</dc:creator>
  <cp:keywords/>
  <dc:description/>
  <cp:lastModifiedBy>Bansal, Nikhil</cp:lastModifiedBy>
  <cp:revision>1</cp:revision>
  <dcterms:created xsi:type="dcterms:W3CDTF">2026-09-18T12:39:00Z</dcterms:created>
  <dcterms:modified xsi:type="dcterms:W3CDTF">2026-09-18T13:01:00Z</dcterms:modified>
</cp:coreProperties>
</file>