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450"/>
      </w:pPr>
      <w:r>
        <w:rPr>
          <w:rFonts w:ascii="Aptos" w:cs="Aptos" w:eastAsia="Aptos" w:hAnsi="Aptos"/>
          <w:b/>
          <w:bCs/>
          <w:color w:val="17324D"/>
          <w:sz w:val="42"/>
          <w:szCs w:val="42"/>
        </w:rPr>
        <w:t xml:space="preserve">Meta AI Performance Marketing Agent</w:t>
      </w:r>
    </w:p>
    <w:p>
      <w:pPr>
        <w:spacing w:after="360"/>
      </w:pPr>
      <w:r>
        <w:rPr>
          <w:rFonts w:ascii="Aptos" w:cs="Aptos" w:eastAsia="Aptos" w:hAnsi="Aptos"/>
          <w:color w:val="2867A9"/>
          <w:sz w:val="26"/>
          <w:szCs w:val="26"/>
        </w:rPr>
        <w:t xml:space="preserve">Product + Engineering Design Document</w:t>
      </w:r>
    </w:p>
    <w:p>
      <w:pPr>
        <w:spacing w:after="640" w:before="0" w:line="276"/>
      </w:pPr>
      <w:r>
        <w:rPr>
          <w:rFonts w:ascii="Aptos" w:cs="Aptos" w:eastAsia="Aptos" w:hAnsi="Aptos"/>
          <w:color w:val="5B6573"/>
          <w:sz w:val="22"/>
          <w:szCs w:val="22"/>
        </w:rPr>
        <w:t xml:space="preserve">Analysis and planning only — deterministic targeting, evidence-led diagnosis, and suggestive creative guidance.</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500"/>
        <w:gridCol w:w="6860"/>
      </w:tblGrid>
      <w:tr>
        <w:trPr>
          <w:tblHeader/>
        </w:trPr>
        <w:tc>
          <w:tcPr>
            <w:tcW w:type="dxa" w:w="25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Document status</w:t>
            </w:r>
          </w:p>
        </w:tc>
        <w:tc>
          <w:tcPr>
            <w:tcW w:type="dxa" w:w="68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Value</w:t>
            </w:r>
          </w:p>
        </w:tc>
      </w:tr>
      <w:tr>
        <w:tc>
          <w:tcPr>
            <w:tcW w:type="dxa" w:w="2500"/>
            <w:tcMar>
              <w:top w:type="dxa" w:w="90"/>
              <w:left w:type="dxa" w:w="120"/>
              <w:bottom w:type="dxa" w:w="90"/>
              <w:right w:type="dxa" w:w="120"/>
            </w:tcMar>
          </w:tcPr>
          <w:p>
            <w:pPr>
              <w:spacing w:after="0" w:before="0" w:line="220"/>
            </w:pPr>
            <w:r>
              <w:rPr>
                <w:rFonts w:ascii="Aptos" w:cs="Aptos" w:eastAsia="Aptos" w:hAnsi="Aptos"/>
                <w:sz w:val="17"/>
                <w:szCs w:val="17"/>
              </w:rPr>
              <w:t xml:space="preserve">Draft for review</w:t>
            </w:r>
          </w:p>
        </w:tc>
        <w:tc>
          <w:tcPr>
            <w:tcW w:type="dxa" w:w="6860"/>
            <w:tcMar>
              <w:top w:type="dxa" w:w="90"/>
              <w:left w:type="dxa" w:w="120"/>
              <w:bottom w:type="dxa" w:w="90"/>
              <w:right w:type="dxa" w:w="120"/>
            </w:tcMar>
          </w:tcPr>
          <w:p>
            <w:pPr>
              <w:spacing w:after="0" w:before="0" w:line="220"/>
            </w:pPr>
            <w:r>
              <w:rPr>
                <w:rFonts w:ascii="Aptos" w:cs="Aptos" w:eastAsia="Aptos" w:hAnsi="Aptos"/>
                <w:sz w:val="17"/>
                <w:szCs w:val="17"/>
              </w:rPr>
              <w:t xml:space="preserve">V1 system design</w:t>
            </w:r>
          </w:p>
        </w:tc>
      </w:tr>
      <w:tr>
        <w:tc>
          <w:tcPr>
            <w:tcW w:type="dxa" w:w="25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Audience</w:t>
            </w:r>
          </w:p>
        </w:tc>
        <w:tc>
          <w:tcPr>
            <w:tcW w:type="dxa" w:w="68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Product, engineering, data, performance marketing, analytics</w:t>
            </w:r>
          </w:p>
        </w:tc>
      </w:tr>
      <w:tr>
        <w:tc>
          <w:tcPr>
            <w:tcW w:type="dxa" w:w="2500"/>
            <w:tcMar>
              <w:top w:type="dxa" w:w="90"/>
              <w:left w:type="dxa" w:w="120"/>
              <w:bottom w:type="dxa" w:w="90"/>
              <w:right w:type="dxa" w:w="120"/>
            </w:tcMar>
          </w:tcPr>
          <w:p>
            <w:pPr>
              <w:spacing w:after="0" w:before="0" w:line="220"/>
            </w:pPr>
            <w:r>
              <w:rPr>
                <w:rFonts w:ascii="Aptos" w:cs="Aptos" w:eastAsia="Aptos" w:hAnsi="Aptos"/>
                <w:sz w:val="17"/>
                <w:szCs w:val="17"/>
              </w:rPr>
              <w:t xml:space="preserve">Primary platform</w:t>
            </w:r>
          </w:p>
        </w:tc>
        <w:tc>
          <w:tcPr>
            <w:tcW w:type="dxa" w:w="6860"/>
            <w:tcMar>
              <w:top w:type="dxa" w:w="90"/>
              <w:left w:type="dxa" w:w="120"/>
              <w:bottom w:type="dxa" w:w="90"/>
              <w:right w:type="dxa" w:w="120"/>
            </w:tcMar>
          </w:tcPr>
          <w:p>
            <w:pPr>
              <w:spacing w:after="0" w:before="0" w:line="220"/>
            </w:pPr>
            <w:r>
              <w:rPr>
                <w:rFonts w:ascii="Aptos" w:cs="Aptos" w:eastAsia="Aptos" w:hAnsi="Aptos"/>
                <w:sz w:val="17"/>
                <w:szCs w:val="17"/>
              </w:rPr>
              <w:t xml:space="preserve">Meta ads; extensible to adjacent channels as data-only comparators</w:t>
            </w:r>
          </w:p>
        </w:tc>
      </w:tr>
      <w:tr>
        <w:tc>
          <w:tcPr>
            <w:tcW w:type="dxa" w:w="25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Last updated</w:t>
            </w:r>
          </w:p>
        </w:tc>
        <w:tc>
          <w:tcPr>
            <w:tcW w:type="dxa" w:w="68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29 August 2026</w:t>
            </w:r>
          </w:p>
        </w:tc>
      </w:tr>
    </w:tbl>
    <w:p>
      <w:pPr>
        <w:spacing w:after="400" w:before="0" w:line="276"/>
      </w:pPr>
      <w:r>
        <w:rPr>
          <w:rFonts w:ascii="Aptos" w:cs="Aptos" w:eastAsia="Aptos" w:hAnsi="Aptos"/>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color="DDEBF7" w:val="clear"/>
            <w:tcMar>
              <w:top w:type="dxa" w:w="90"/>
              <w:left w:type="dxa" w:w="120"/>
              <w:bottom w:type="dxa" w:w="90"/>
              <w:right w:type="dxa" w:w="120"/>
            </w:tcMar>
          </w:tcPr>
          <w:p>
            <w:pPr>
              <w:spacing w:after="0" w:before="0" w:line="220"/>
            </w:pPr>
            <w:r>
              <w:rPr>
                <w:rFonts w:ascii="Aptos" w:cs="Aptos" w:eastAsia="Aptos" w:hAnsi="Aptos"/>
                <w:b/>
                <w:bCs/>
                <w:color w:val="0F766E"/>
                <w:sz w:val="17"/>
                <w:szCs w:val="17"/>
              </w:rPr>
              <w:t xml:space="preserve">CORE PREMISE</w:t>
            </w:r>
          </w:p>
        </w:tc>
        <w:tc>
          <w:tcPr>
            <w:tcW w:type="dxa" w:w="7860"/>
            <w:shd w:color="F1F7F7" w:val="clear"/>
            <w:tcMar>
              <w:top w:type="dxa" w:w="90"/>
              <w:left w:type="dxa" w:w="120"/>
              <w:bottom w:type="dxa" w:w="90"/>
              <w:right w:type="dxa" w:w="120"/>
            </w:tcMar>
          </w:tcPr>
          <w:p>
            <w:pPr>
              <w:spacing w:after="0" w:before="0" w:line="220"/>
            </w:pPr>
            <w:r>
              <w:rPr>
                <w:rFonts w:ascii="Aptos" w:cs="Aptos" w:eastAsia="Aptos" w:hAnsi="Aptos"/>
                <w:sz w:val="17"/>
                <w:szCs w:val="17"/>
              </w:rPr>
              <w:t xml:space="preserve">This is a decision-support agent. It observes, normalizes evidence, diagnoses with calibrated confidence, and produces planning recommendations. It does not create, edit, launch, pause, or spend against campaigns.</w:t>
            </w:r>
          </w:p>
        </w:tc>
      </w:tr>
    </w:tbl>
    <w:p>
      <w:r>
        <w:br w:type="page"/>
      </w:r>
    </w:p>
    <w:p>
      <w:pPr>
        <w:pStyle w:val="Heading1"/>
        <w:keepNext/>
        <w:spacing w:after="110" w:before="360"/>
      </w:pPr>
      <w:r>
        <w:t xml:space="preserve">1. Executive summary</w:t>
      </w:r>
    </w:p>
    <w:p>
      <w:pPr>
        <w:spacing w:after="120" w:before="0" w:line="276"/>
      </w:pPr>
      <w:r>
        <w:rPr>
          <w:rFonts w:ascii="Aptos" w:cs="Aptos" w:eastAsia="Aptos" w:hAnsi="Aptos"/>
          <w:sz w:val="20"/>
          <w:szCs w:val="20"/>
        </w:rPr>
        <w:t xml:space="preserve">The Meta AI Performance Marketing Agent helps a performance marketer understand what changed, why it likely changed, and what to plan next. It combines platform delivery data, optional attribution and downstream outcome data from an MMP, and business-operational data. Its recommendations are intentionally typed by certainty: targeting and planning guardrails are deterministic where approved policy and measurements permit; diagnosis is analytical and probabilistic; creative commentary is suggestion-only.</w:t>
      </w:r>
    </w:p>
    <w:p>
      <w:pPr>
        <w:spacing w:after="120" w:before="0" w:line="276"/>
      </w:pPr>
      <w:r>
        <w:rPr>
          <w:rFonts w:ascii="Aptos" w:cs="Aptos" w:eastAsia="Aptos" w:hAnsi="Aptos"/>
          <w:sz w:val="20"/>
          <w:szCs w:val="20"/>
        </w:rPr>
        <w:t xml:space="preserve">Any MMP is a measurement and event-resolution layer. It is not allowed to select causes, set policy, or generate the agent’s reasoning. The agent’s reasoning layer consumes normalized measurements and reconciliation metadata, alongside Meta and business sources.</w:t>
      </w:r>
    </w:p>
    <w:p>
      <w:pPr>
        <w:pStyle w:val="Heading1"/>
        <w:keepNext/>
        <w:spacing w:after="110" w:before="360"/>
      </w:pPr>
      <w:r>
        <w:t xml:space="preserve">1.1 Outcomes</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250"/>
        <w:gridCol w:w="4200"/>
        <w:gridCol w:w="2910"/>
      </w:tblGrid>
      <w:tr>
        <w:trPr>
          <w:tblHeader/>
        </w:trPr>
        <w:tc>
          <w:tcPr>
            <w:tcW w:type="dxa" w:w="22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Outcome</w:t>
            </w:r>
          </w:p>
        </w:tc>
        <w:tc>
          <w:tcPr>
            <w:tcW w:type="dxa" w:w="42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How V1 supports it</w:t>
            </w:r>
          </w:p>
        </w:tc>
        <w:tc>
          <w:tcPr>
            <w:tcW w:type="dxa" w:w="291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Not included</w:t>
            </w:r>
          </w:p>
        </w:tc>
      </w:tr>
      <w:tr>
        <w:tc>
          <w:tcPr>
            <w:tcW w:type="dxa" w:w="2250"/>
            <w:tcMar>
              <w:top w:type="dxa" w:w="90"/>
              <w:left w:type="dxa" w:w="120"/>
              <w:bottom w:type="dxa" w:w="90"/>
              <w:right w:type="dxa" w:w="120"/>
            </w:tcMar>
          </w:tcPr>
          <w:p>
            <w:pPr>
              <w:spacing w:after="0" w:before="0" w:line="220"/>
            </w:pPr>
            <w:r>
              <w:rPr>
                <w:rFonts w:ascii="Aptos" w:cs="Aptos" w:eastAsia="Aptos" w:hAnsi="Aptos"/>
                <w:sz w:val="17"/>
                <w:szCs w:val="17"/>
              </w:rPr>
              <w:t xml:space="preserve">Faster, defensible planning</w:t>
            </w:r>
          </w:p>
        </w:tc>
        <w:tc>
          <w:tcPr>
            <w:tcW w:type="dxa" w:w="4200"/>
            <w:tcMar>
              <w:top w:type="dxa" w:w="90"/>
              <w:left w:type="dxa" w:w="120"/>
              <w:bottom w:type="dxa" w:w="90"/>
              <w:right w:type="dxa" w:w="120"/>
            </w:tcMar>
          </w:tcPr>
          <w:p>
            <w:pPr>
              <w:spacing w:after="0" w:before="0" w:line="220"/>
            </w:pPr>
            <w:r>
              <w:rPr>
                <w:rFonts w:ascii="Aptos" w:cs="Aptos" w:eastAsia="Aptos" w:hAnsi="Aptos"/>
                <w:sz w:val="17"/>
                <w:szCs w:val="17"/>
              </w:rPr>
              <w:t xml:space="preserve">Evidence bundles and ranked diagnoses for campaign, ad set, audience, budget and measurement planning.</w:t>
            </w:r>
          </w:p>
        </w:tc>
        <w:tc>
          <w:tcPr>
            <w:tcW w:type="dxa" w:w="2910"/>
            <w:tcMar>
              <w:top w:type="dxa" w:w="90"/>
              <w:left w:type="dxa" w:w="120"/>
              <w:bottom w:type="dxa" w:w="90"/>
              <w:right w:type="dxa" w:w="120"/>
            </w:tcMar>
          </w:tcPr>
          <w:p>
            <w:pPr>
              <w:spacing w:after="0" w:before="0" w:line="220"/>
            </w:pPr>
            <w:r>
              <w:rPr>
                <w:rFonts w:ascii="Aptos" w:cs="Aptos" w:eastAsia="Aptos" w:hAnsi="Aptos"/>
                <w:sz w:val="17"/>
                <w:szCs w:val="17"/>
              </w:rPr>
              <w:t xml:space="preserve">Direct account mutations or unattended execution.</w:t>
            </w:r>
          </w:p>
        </w:tc>
      </w:tr>
      <w:tr>
        <w:tc>
          <w:tcPr>
            <w:tcW w:type="dxa" w:w="22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Repeatable targeting decisions</w:t>
            </w:r>
          </w:p>
        </w:tc>
        <w:tc>
          <w:tcPr>
            <w:tcW w:type="dxa" w:w="4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Approved interest/behavior/exclusion policy, audience sizing, overlap, recency, geo and structure guardrails.</w:t>
            </w:r>
          </w:p>
        </w:tc>
        <w:tc>
          <w:tcPr>
            <w:tcW w:type="dxa" w:w="29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Unbounded audience discovery or silent policy changes.</w:t>
            </w:r>
          </w:p>
        </w:tc>
      </w:tr>
      <w:tr>
        <w:tc>
          <w:tcPr>
            <w:tcW w:type="dxa" w:w="2250"/>
            <w:tcMar>
              <w:top w:type="dxa" w:w="90"/>
              <w:left w:type="dxa" w:w="120"/>
              <w:bottom w:type="dxa" w:w="90"/>
              <w:right w:type="dxa" w:w="120"/>
            </w:tcMar>
          </w:tcPr>
          <w:p>
            <w:pPr>
              <w:spacing w:after="0" w:before="0" w:line="220"/>
            </w:pPr>
            <w:r>
              <w:rPr>
                <w:rFonts w:ascii="Aptos" w:cs="Aptos" w:eastAsia="Aptos" w:hAnsi="Aptos"/>
                <w:sz w:val="17"/>
                <w:szCs w:val="17"/>
              </w:rPr>
              <w:t xml:space="preserve">Better measurement discipline</w:t>
            </w:r>
          </w:p>
        </w:tc>
        <w:tc>
          <w:tcPr>
            <w:tcW w:type="dxa" w:w="4200"/>
            <w:tcMar>
              <w:top w:type="dxa" w:w="90"/>
              <w:left w:type="dxa" w:w="120"/>
              <w:bottom w:type="dxa" w:w="90"/>
              <w:right w:type="dxa" w:w="120"/>
            </w:tcMar>
          </w:tcPr>
          <w:p>
            <w:pPr>
              <w:spacing w:after="0" w:before="0" w:line="220"/>
            </w:pPr>
            <w:r>
              <w:rPr>
                <w:rFonts w:ascii="Aptos" w:cs="Aptos" w:eastAsia="Aptos" w:hAnsi="Aptos"/>
                <w:sz w:val="17"/>
                <w:szCs w:val="17"/>
              </w:rPr>
              <w:t xml:space="preserve">Reconciles Meta delivery with MMP attribution and downstream revenue / quality outcomes.</w:t>
            </w:r>
          </w:p>
        </w:tc>
        <w:tc>
          <w:tcPr>
            <w:tcW w:type="dxa" w:w="2910"/>
            <w:tcMar>
              <w:top w:type="dxa" w:w="90"/>
              <w:left w:type="dxa" w:w="120"/>
              <w:bottom w:type="dxa" w:w="90"/>
              <w:right w:type="dxa" w:w="120"/>
            </w:tcMar>
          </w:tcPr>
          <w:p>
            <w:pPr>
              <w:spacing w:after="0" w:before="0" w:line="220"/>
            </w:pPr>
            <w:r>
              <w:rPr>
                <w:rFonts w:ascii="Aptos" w:cs="Aptos" w:eastAsia="Aptos" w:hAnsi="Aptos"/>
                <w:sz w:val="17"/>
                <w:szCs w:val="17"/>
              </w:rPr>
              <w:t xml:space="preserve">Treating one platform’s attribution as universal truth.</w:t>
            </w:r>
          </w:p>
        </w:tc>
      </w:tr>
      <w:tr>
        <w:tc>
          <w:tcPr>
            <w:tcW w:type="dxa" w:w="22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Clear creative boundary</w:t>
            </w:r>
          </w:p>
        </w:tc>
        <w:tc>
          <w:tcPr>
            <w:tcW w:type="dxa" w:w="4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Flags patterns consistent with fatigue or message/format mismatch; offers test ideas.</w:t>
            </w:r>
          </w:p>
        </w:tc>
        <w:tc>
          <w:tcPr>
            <w:tcW w:type="dxa" w:w="29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Generating or approving creative, or calling a creative issue a proven cause.</w:t>
            </w:r>
          </w:p>
        </w:tc>
      </w:tr>
    </w:tbl>
    <w:p>
      <w:pPr>
        <w:pStyle w:val="Heading1"/>
        <w:keepNext/>
        <w:spacing w:after="110" w:before="360"/>
      </w:pPr>
      <w:r>
        <w:t xml:space="preserve">1.2 Guiding principles</w:t>
      </w:r>
    </w:p>
    <w:p>
      <w:pPr>
        <w:pStyle w:val="ListParagraph"/>
        <w:numPr>
          <w:ilvl w:val="0"/>
          <w:numId w:val="2"/>
        </w:numPr>
        <w:spacing w:after="55" w:line="260"/>
      </w:pPr>
      <w:r>
        <w:t xml:space="preserve">No execution authority: every output is a recommendation or a planning artifact for human approval.</w:t>
      </w:r>
    </w:p>
    <w:p>
      <w:pPr>
        <w:pStyle w:val="ListParagraph"/>
        <w:numPr>
          <w:ilvl w:val="0"/>
          <w:numId w:val="2"/>
        </w:numPr>
        <w:spacing w:after="55" w:line="260"/>
      </w:pPr>
      <w:r>
        <w:t xml:space="preserve">Evidence before diagnosis: claims must reference the data window, source, comparison, and known gaps.</w:t>
      </w:r>
    </w:p>
    <w:p>
      <w:pPr>
        <w:pStyle w:val="ListParagraph"/>
        <w:numPr>
          <w:ilvl w:val="0"/>
          <w:numId w:val="2"/>
        </w:numPr>
        <w:spacing w:after="55" w:line="260"/>
      </w:pPr>
      <w:r>
        <w:t xml:space="preserve">Determinism is policy-bounded: hard rules apply only to approved targeting logic and sufficiently complete inputs.</w:t>
      </w:r>
    </w:p>
    <w:p>
      <w:pPr>
        <w:pStyle w:val="ListParagraph"/>
        <w:numPr>
          <w:ilvl w:val="0"/>
          <w:numId w:val="2"/>
        </w:numPr>
        <w:spacing w:after="55" w:line="260"/>
      </w:pPr>
      <w:r>
        <w:t xml:space="preserve">Avoid false precision: causal language and confidence are constrained by data quality and attribution ambiguity.</w:t>
      </w:r>
    </w:p>
    <w:p>
      <w:pPr>
        <w:pStyle w:val="ListParagraph"/>
        <w:numPr>
          <w:ilvl w:val="0"/>
          <w:numId w:val="2"/>
        </w:numPr>
        <w:spacing w:after="55" w:line="260"/>
      </w:pPr>
      <w:r>
        <w:t xml:space="preserve">Business reality is part of performance: inventory, pricing, app reliability, checkout, landing-page and fulfillment failures are first-class branches.</w:t>
      </w:r>
    </w:p>
    <w:p>
      <w:pPr>
        <w:pStyle w:val="Heading1"/>
        <w:keepNext/>
        <w:spacing w:after="110" w:before="360"/>
      </w:pPr>
      <w:r>
        <w:t xml:space="preserve">2. Scope and operating model</w:t>
      </w:r>
    </w:p>
    <w:p>
      <w:pPr>
        <w:pStyle w:val="Heading2"/>
        <w:keepNext/>
        <w:spacing w:after="110" w:before="240"/>
      </w:pPr>
      <w:r>
        <w:t xml:space="preserve">2.1 In scope</w:t>
      </w:r>
    </w:p>
    <w:p>
      <w:pPr>
        <w:pStyle w:val="ListParagraph"/>
        <w:numPr>
          <w:ilvl w:val="0"/>
          <w:numId w:val="2"/>
        </w:numPr>
        <w:spacing w:after="55" w:line="260"/>
      </w:pPr>
      <w:r>
        <w:t xml:space="preserve">Daily/weekly campaign health analysis and planning briefs.</w:t>
      </w:r>
    </w:p>
    <w:p>
      <w:pPr>
        <w:pStyle w:val="ListParagraph"/>
        <w:numPr>
          <w:ilvl w:val="0"/>
          <w:numId w:val="2"/>
        </w:numPr>
        <w:spacing w:after="55" w:line="260"/>
      </w:pPr>
      <w:r>
        <w:t xml:space="preserve">Campaign/ad set/audience diagnostics across delivery, traffic, conversion, unit economics, attribution and downstream quality.</w:t>
      </w:r>
    </w:p>
    <w:p>
      <w:pPr>
        <w:pStyle w:val="ListParagraph"/>
        <w:numPr>
          <w:ilvl w:val="0"/>
          <w:numId w:val="2"/>
        </w:numPr>
        <w:spacing w:after="55" w:line="260"/>
      </w:pPr>
      <w:r>
        <w:t xml:space="preserve">Deterministic targeting plans: approved interests, behaviors, custom audiences, exclusions, geo, age, placements, structure and safety guardrails.</w:t>
      </w:r>
    </w:p>
    <w:p>
      <w:pPr>
        <w:pStyle w:val="ListParagraph"/>
        <w:numPr>
          <w:ilvl w:val="0"/>
          <w:numId w:val="2"/>
        </w:numPr>
        <w:spacing w:after="55" w:line="260"/>
      </w:pPr>
      <w:r>
        <w:t xml:space="preserve">Budget and bid planning recommendations, including marginal economics and learning-phase constraints.</w:t>
      </w:r>
    </w:p>
    <w:p>
      <w:pPr>
        <w:pStyle w:val="ListParagraph"/>
        <w:numPr>
          <w:ilvl w:val="0"/>
          <w:numId w:val="2"/>
        </w:numPr>
        <w:spacing w:after="55" w:line="260"/>
      </w:pPr>
      <w:r>
        <w:t xml:space="preserve">Deep-link and web-to-app diagnostics as downstream evidence.</w:t>
      </w:r>
    </w:p>
    <w:p>
      <w:pPr>
        <w:pStyle w:val="ListParagraph"/>
        <w:numPr>
          <w:ilvl w:val="0"/>
          <w:numId w:val="2"/>
        </w:numPr>
        <w:spacing w:after="55" w:line="260"/>
      </w:pPr>
      <w:r>
        <w:t xml:space="preserve">Creative pattern observations and suggested experiments, explicitly non-authoritative.</w:t>
      </w:r>
    </w:p>
    <w:p>
      <w:pPr>
        <w:pStyle w:val="ListParagraph"/>
        <w:numPr>
          <w:ilvl w:val="0"/>
          <w:numId w:val="2"/>
        </w:numPr>
        <w:spacing w:after="55" w:line="260"/>
      </w:pPr>
      <w:r>
        <w:t xml:space="preserve">Decision logging, outcome tracking, and learned heuristics subject to review.</w:t>
      </w:r>
    </w:p>
    <w:p>
      <w:pPr>
        <w:pStyle w:val="Heading2"/>
        <w:keepNext/>
        <w:spacing w:after="110" w:before="240"/>
      </w:pPr>
      <w:r>
        <w:t xml:space="preserve">2.2 Explicit non-goals</w:t>
      </w:r>
    </w:p>
    <w:p>
      <w:pPr>
        <w:pStyle w:val="ListParagraph"/>
        <w:numPr>
          <w:ilvl w:val="0"/>
          <w:numId w:val="2"/>
        </w:numPr>
        <w:spacing w:after="55" w:line="260"/>
      </w:pPr>
      <w:r>
        <w:t xml:space="preserve">Campaign creation, edits, publishing, pausing, budget writes, bid writes, audience uploads or spend allocation execution.</w:t>
      </w:r>
    </w:p>
    <w:p>
      <w:pPr>
        <w:pStyle w:val="ListParagraph"/>
        <w:numPr>
          <w:ilvl w:val="0"/>
          <w:numId w:val="2"/>
        </w:numPr>
        <w:spacing w:after="55" w:line="260"/>
      </w:pPr>
      <w:r>
        <w:t xml:space="preserve">Replacing an MMP, warehouse, CDP, experimentation system, or finance system.</w:t>
      </w:r>
    </w:p>
    <w:p>
      <w:pPr>
        <w:pStyle w:val="ListParagraph"/>
        <w:numPr>
          <w:ilvl w:val="0"/>
          <w:numId w:val="2"/>
        </w:numPr>
        <w:spacing w:after="55" w:line="260"/>
      </w:pPr>
      <w:r>
        <w:t xml:space="preserve">Making causal claims from attribution alone, especially across channels.</w:t>
      </w:r>
    </w:p>
    <w:p>
      <w:pPr>
        <w:pStyle w:val="ListParagraph"/>
        <w:numPr>
          <w:ilvl w:val="0"/>
          <w:numId w:val="2"/>
        </w:numPr>
        <w:spacing w:after="55" w:line="260"/>
      </w:pPr>
      <w:r>
        <w:t xml:space="preserve">Creative production, approval, brand review, or autonomous creative selection.</w:t>
      </w:r>
    </w:p>
    <w:p>
      <w:pPr>
        <w:pStyle w:val="ListParagraph"/>
        <w:numPr>
          <w:ilvl w:val="0"/>
          <w:numId w:val="2"/>
        </w:numPr>
        <w:spacing w:after="55" w:line="260"/>
      </w:pPr>
      <w:r>
        <w:t xml:space="preserve">Cross-channel optimization that reallocates spend without a separately approved multi-channel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color="DDEBF7" w:val="clear"/>
            <w:tcMar>
              <w:top w:type="dxa" w:w="90"/>
              <w:left w:type="dxa" w:w="120"/>
              <w:bottom w:type="dxa" w:w="90"/>
              <w:right w:type="dxa" w:w="120"/>
            </w:tcMar>
          </w:tcPr>
          <w:p>
            <w:pPr>
              <w:spacing w:after="0" w:before="0" w:line="220"/>
            </w:pPr>
            <w:r>
              <w:rPr>
                <w:rFonts w:ascii="Aptos" w:cs="Aptos" w:eastAsia="Aptos" w:hAnsi="Aptos"/>
                <w:b/>
                <w:bCs/>
                <w:color w:val="0F766E"/>
                <w:sz w:val="17"/>
                <w:szCs w:val="17"/>
              </w:rPr>
              <w:t xml:space="preserve">HUMAN CONTROL</w:t>
            </w:r>
          </w:p>
        </w:tc>
        <w:tc>
          <w:tcPr>
            <w:tcW w:type="dxa" w:w="7860"/>
            <w:shd w:color="F1F7F7" w:val="clear"/>
            <w:tcMar>
              <w:top w:type="dxa" w:w="90"/>
              <w:left w:type="dxa" w:w="120"/>
              <w:bottom w:type="dxa" w:w="90"/>
              <w:right w:type="dxa" w:w="120"/>
            </w:tcMar>
          </w:tcPr>
          <w:p>
            <w:pPr>
              <w:spacing w:after="0" w:before="0" w:line="220"/>
            </w:pPr>
            <w:r>
              <w:rPr>
                <w:rFonts w:ascii="Aptos" w:cs="Aptos" w:eastAsia="Aptos" w:hAnsi="Aptos"/>
                <w:sz w:val="17"/>
                <w:szCs w:val="17"/>
              </w:rPr>
              <w:t xml:space="preserve">A marketer or operator owns execution. The agent may produce a structured change plan, but it must state expected benefit, risk, guardrails, reversibility, required approver and measurement plan.</w:t>
            </w:r>
          </w:p>
        </w:tc>
      </w:tr>
    </w:tbl>
    <w:p>
      <w:pPr>
        <w:pStyle w:val="Heading1"/>
        <w:keepNext/>
        <w:spacing w:after="110" w:before="360"/>
      </w:pPr>
      <w:r>
        <w:t xml:space="preserve">3. System architecture</w:t>
      </w:r>
    </w:p>
    <w:p>
      <w:pPr>
        <w:spacing w:after="120" w:before="0" w:line="276"/>
      </w:pPr>
      <w:r>
        <w:rPr>
          <w:rFonts w:ascii="Aptos" w:cs="Aptos" w:eastAsia="Aptos" w:hAnsi="Aptos"/>
          <w:sz w:val="20"/>
          <w:szCs w:val="20"/>
        </w:rPr>
        <w:t xml:space="preserve">The system separates data measurement from analysis and policy. This prevents any one vendor dashboard or attribution view from becoming the reasoning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3F7" w:val="clear"/>
            <w:tcMar>
              <w:top w:type="dxa" w:w="160"/>
              <w:left w:type="dxa" w:w="180"/>
              <w:bottom w:type="dxa" w:w="160"/>
              <w:right w:type="dxa" w:w="180"/>
            </w:tcMar>
          </w:tcPr>
          <w:p>
            <w:pPr>
              <w:spacing w:after="25" w:before="0" w:line="210"/>
            </w:pPr>
            <w:r>
              <w:rPr>
                <w:rFonts w:ascii="Aptos" w:cs="Aptos" w:eastAsia="Aptos" w:hAnsi="Aptos"/>
                <w:color w:val="17324D"/>
                <w:sz w:val="17"/>
                <w:szCs w:val="17"/>
              </w:rPr>
              <w:t xml:space="preserve">Meta Marketing API ───────────────┐</w:t>
            </w:r>
          </w:p>
          <w:p>
            <w:pPr>
              <w:spacing w:after="25" w:before="0" w:line="210"/>
            </w:pPr>
            <w:r>
              <w:rPr>
                <w:rFonts w:ascii="Aptos" w:cs="Aptos" w:eastAsia="Aptos" w:hAnsi="Aptos"/>
                <w:color w:val="17324D"/>
                <w:sz w:val="17"/>
                <w:szCs w:val="17"/>
              </w:rPr>
              <w:t xml:space="preserve">  delivery, auctions, ads, audiences│</w:t>
            </w:r>
          </w:p>
          <w:p>
            <w:pPr>
              <w:spacing w:after="25" w:before="0" w:line="210"/>
            </w:pPr>
            <w:r>
              <w:rPr>
                <w:rFonts w:ascii="Aptos" w:cs="Aptos" w:eastAsia="Aptos" w:hAnsi="Aptos"/>
                <w:color w:val="17324D"/>
                <w:sz w:val="17"/>
                <w:szCs w:val="17"/>
              </w:rPr>
              <w:t xml:space="preserve">                                  ├─&gt; Ingestion + normalization ─&gt; Evidence store ─&gt; Reasoning + policy engine</w:t>
            </w:r>
          </w:p>
          <w:p>
            <w:pPr>
              <w:spacing w:after="25" w:before="0" w:line="210"/>
            </w:pPr>
            <w:r>
              <w:rPr>
                <w:rFonts w:ascii="Aptos" w:cs="Aptos" w:eastAsia="Aptos" w:hAnsi="Aptos"/>
                <w:color w:val="17324D"/>
                <w:sz w:val="17"/>
                <w:szCs w:val="17"/>
              </w:rPr>
              <w:t xml:space="preserve">MMP / attribution layer ──────────┤                                  │                    │</w:t>
            </w:r>
          </w:p>
          <w:p>
            <w:pPr>
              <w:spacing w:after="25" w:before="0" w:line="210"/>
            </w:pPr>
            <w:r>
              <w:rPr>
                <w:rFonts w:ascii="Aptos" w:cs="Aptos" w:eastAsia="Aptos" w:hAnsi="Aptos"/>
                <w:color w:val="17324D"/>
                <w:sz w:val="17"/>
                <w:szCs w:val="17"/>
              </w:rPr>
              <w:t xml:space="preserve">  attribution, deep links, cohorts │                                  └─&gt; provenance     └─&gt; Planning output</w:t>
            </w:r>
          </w:p>
          <w:p>
            <w:pPr>
              <w:spacing w:after="25" w:before="0" w:line="210"/>
            </w:pPr>
            <w:r>
              <w:rPr>
                <w:rFonts w:ascii="Aptos" w:cs="Aptos" w:eastAsia="Aptos" w:hAnsi="Aptos"/>
                <w:color w:val="17324D"/>
                <w:sz w:val="17"/>
                <w:szCs w:val="17"/>
              </w:rPr>
              <w:t xml:space="preserve">  downstream events, revenue       │                                                        │</w:t>
            </w:r>
          </w:p>
          <w:p>
            <w:pPr>
              <w:spacing w:after="25" w:before="0" w:line="210"/>
            </w:pPr>
            <w:r>
              <w:rPr>
                <w:rFonts w:ascii="Aptos" w:cs="Aptos" w:eastAsia="Aptos" w:hAnsi="Aptos"/>
                <w:color w:val="17324D"/>
                <w:sz w:val="17"/>
                <w:szCs w:val="17"/>
              </w:rPr>
              <w:t xml:space="preserve">Business systems ──────────────────┘                                                        └─&gt; Human review / execution</w:t>
            </w:r>
          </w:p>
          <w:p>
            <w:pPr>
              <w:spacing w:after="25" w:before="0" w:line="210"/>
            </w:pPr>
            <w:r>
              <w:rPr>
                <w:rFonts w:ascii="Aptos" w:cs="Aptos" w:eastAsia="Aptos" w:hAnsi="Aptos"/>
                <w:color w:val="17324D"/>
                <w:sz w:val="17"/>
                <w:szCs w:val="17"/>
              </w:rPr>
              <w:t xml:space="preserve">  orders, margin, inventory, CRM, product health, pricing, experiments</w:t>
            </w:r>
          </w:p>
        </w:tc>
      </w:tr>
    </w:tbl>
    <w:p>
      <w:pPr>
        <w:pStyle w:val="Heading2"/>
        <w:keepNext/>
        <w:spacing w:after="110" w:before="240"/>
      </w:pPr>
      <w:r>
        <w:t xml:space="preserve">3.1 Configurable ingestion layer</w:t>
      </w:r>
    </w:p>
    <w:p>
      <w:pPr>
        <w:spacing w:after="120" w:before="0" w:line="276"/>
      </w:pPr>
      <w:r>
        <w:rPr>
          <w:rFonts w:ascii="Aptos" w:cs="Aptos" w:eastAsia="Aptos" w:hAnsi="Aptos"/>
          <w:sz w:val="20"/>
          <w:szCs w:val="20"/>
        </w:rPr>
        <w:t xml:space="preserve">Ingestion is configuration-driven per account. Meta and business connectors are always evaluated when configured. The MMP connector is optional and can be set to Off, Aggregate, or Granular without changing the analysis contract or introducing any execution authority. A per-account source registry governs enabled connectors, allowed fields, cadence, data mode, source ownership, credential reference, freshness SLA, retention class and canonical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3F7" w:val="clear"/>
            <w:tcMar>
              <w:top w:type="dxa" w:w="160"/>
              <w:left w:type="dxa" w:w="180"/>
              <w:bottom w:type="dxa" w:w="160"/>
              <w:right w:type="dxa" w:w="180"/>
            </w:tcMar>
          </w:tcPr>
          <w:p>
            <w:pPr>
              <w:spacing w:after="25" w:before="0" w:line="210"/>
            </w:pPr>
            <w:r>
              <w:rPr>
                <w:rFonts w:ascii="Aptos" w:cs="Aptos" w:eastAsia="Aptos" w:hAnsi="Aptos"/>
                <w:color w:val="17324D"/>
                <w:sz w:val="17"/>
                <w:szCs w:val="17"/>
              </w:rPr>
              <w:t xml:space="preserve">Source adapter (Meta / business / optional MMP)</w:t>
            </w:r>
          </w:p>
          <w:p>
            <w:pPr>
              <w:spacing w:after="25" w:before="0" w:line="210"/>
            </w:pPr>
            <w:r>
              <w:rPr>
                <w:rFonts w:ascii="Aptos" w:cs="Aptos" w:eastAsia="Aptos" w:hAnsi="Aptos"/>
                <w:color w:val="17324D"/>
                <w:sz w:val="17"/>
                <w:szCs w:val="17"/>
              </w:rPr>
              <w:t xml:space="preserve">    → raw landing zone: immutable payload or dated-export manifest</w:t>
            </w:r>
          </w:p>
          <w:p>
            <w:pPr>
              <w:spacing w:after="25" w:before="0" w:line="210"/>
            </w:pPr>
            <w:r>
              <w:rPr>
                <w:rFonts w:ascii="Aptos" w:cs="Aptos" w:eastAsia="Aptos" w:hAnsi="Aptos"/>
                <w:color w:val="17324D"/>
                <w:sz w:val="17"/>
                <w:szCs w:val="17"/>
              </w:rPr>
              <w:t xml:space="preserve">    → validation: auth, schema, completeness, duplicates, watermark / cursor</w:t>
            </w:r>
          </w:p>
          <w:p>
            <w:pPr>
              <w:spacing w:after="25" w:before="0" w:line="210"/>
            </w:pPr>
            <w:r>
              <w:rPr>
                <w:rFonts w:ascii="Aptos" w:cs="Aptos" w:eastAsia="Aptos" w:hAnsi="Aptos"/>
                <w:color w:val="17324D"/>
                <w:sz w:val="17"/>
                <w:szCs w:val="17"/>
              </w:rPr>
              <w:t xml:space="preserve">    → quarantine + alert on failure; retain last-known-good data status</w:t>
            </w:r>
          </w:p>
          <w:p>
            <w:pPr>
              <w:spacing w:after="25" w:before="0" w:line="210"/>
            </w:pPr>
            <w:r>
              <w:rPr>
                <w:rFonts w:ascii="Aptos" w:cs="Aptos" w:eastAsia="Aptos" w:hAnsi="Aptos"/>
                <w:color w:val="17324D"/>
                <w:sz w:val="17"/>
                <w:szCs w:val="17"/>
              </w:rPr>
              <w:t xml:space="preserve">    → canonical transformation: IDs, time zone, currency, event and attribution mappings</w:t>
            </w:r>
          </w:p>
          <w:p>
            <w:pPr>
              <w:spacing w:after="25" w:before="0" w:line="210"/>
            </w:pPr>
            <w:r>
              <w:rPr>
                <w:rFonts w:ascii="Aptos" w:cs="Aptos" w:eastAsia="Aptos" w:hAnsi="Aptos"/>
                <w:color w:val="17324D"/>
                <w:sz w:val="17"/>
                <w:szCs w:val="17"/>
              </w:rPr>
              <w:t xml:space="preserve">    → normalized warehouse tables + provenance metadata</w:t>
            </w:r>
          </w:p>
          <w:p>
            <w:pPr>
              <w:spacing w:after="25" w:before="0" w:line="210"/>
            </w:pPr>
            <w:r>
              <w:rPr>
                <w:rFonts w:ascii="Aptos" w:cs="Aptos" w:eastAsia="Aptos" w:hAnsi="Aptos"/>
                <w:color w:val="17324D"/>
                <w:sz w:val="17"/>
                <w:szCs w:val="17"/>
              </w:rPr>
              <w:t xml:space="preserve">    → evidence store, with source freshness and selected MMP mode visible on every run</w:t>
            </w:r>
          </w:p>
        </w:tc>
      </w:tr>
    </w:tbl>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000"/>
        <w:gridCol w:w="4900"/>
        <w:gridCol w:w="2460"/>
      </w:tblGrid>
      <w:tr>
        <w:trPr>
          <w:tblHeader/>
        </w:trPr>
        <w:tc>
          <w:tcPr>
            <w:tcW w:type="dxa" w:w="20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Ingestion capability</w:t>
            </w:r>
          </w:p>
        </w:tc>
        <w:tc>
          <w:tcPr>
            <w:tcW w:type="dxa" w:w="49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Design requirement</w:t>
            </w:r>
          </w:p>
        </w:tc>
        <w:tc>
          <w:tcPr>
            <w:tcW w:type="dxa" w:w="24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Failure behavior</w:t>
            </w:r>
          </w:p>
        </w:tc>
      </w:tr>
      <w:tr>
        <w:tc>
          <w:tcPr>
            <w:tcW w:type="dxa" w:w="2000"/>
            <w:tcMar>
              <w:top w:type="dxa" w:w="90"/>
              <w:left w:type="dxa" w:w="120"/>
              <w:bottom w:type="dxa" w:w="90"/>
              <w:right w:type="dxa" w:w="120"/>
            </w:tcMar>
          </w:tcPr>
          <w:p>
            <w:pPr>
              <w:spacing w:after="0" w:before="0" w:line="220"/>
            </w:pPr>
            <w:r>
              <w:rPr>
                <w:rFonts w:ascii="Aptos" w:cs="Aptos" w:eastAsia="Aptos" w:hAnsi="Aptos"/>
                <w:sz w:val="17"/>
                <w:szCs w:val="17"/>
              </w:rPr>
              <w:t xml:space="preserve">Account source registry</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Store configuration, mode, data contract, owner, health SLA and policy/consent class per source.</w:t>
            </w:r>
          </w:p>
        </w:tc>
        <w:tc>
          <w:tcPr>
            <w:tcW w:type="dxa" w:w="2460"/>
            <w:tcMar>
              <w:top w:type="dxa" w:w="90"/>
              <w:left w:type="dxa" w:w="120"/>
              <w:bottom w:type="dxa" w:w="90"/>
              <w:right w:type="dxa" w:w="120"/>
            </w:tcMar>
          </w:tcPr>
          <w:p>
            <w:pPr>
              <w:spacing w:after="0" w:before="0" w:line="220"/>
            </w:pPr>
            <w:r>
              <w:rPr>
                <w:rFonts w:ascii="Aptos" w:cs="Aptos" w:eastAsia="Aptos" w:hAnsi="Aptos"/>
                <w:sz w:val="17"/>
                <w:szCs w:val="17"/>
              </w:rPr>
              <w:t xml:space="preserve">Disable only the affected source; retain audit history and show degraded coverage.</w:t>
            </w:r>
          </w:p>
        </w:tc>
      </w:tr>
      <w:tr>
        <w:tc>
          <w:tcPr>
            <w:tcW w:type="dxa" w:w="20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API ingestion</w:t>
            </w:r>
          </w:p>
        </w:tc>
        <w:tc>
          <w:tcPr>
            <w:tcW w:type="dxa" w:w="4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Incremental cursor/watermark, pagination, idempotent upsert, rate-limit backoff, retries and replay.</w:t>
            </w:r>
          </w:p>
        </w:tc>
        <w:tc>
          <w:tcPr>
            <w:tcW w:type="dxa" w:w="24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Retry within SLA; then mark stale and downgrade evidence confidence.</w:t>
            </w:r>
          </w:p>
        </w:tc>
      </w:tr>
      <w:tr>
        <w:tc>
          <w:tcPr>
            <w:tcW w:type="dxa" w:w="2000"/>
            <w:tcMar>
              <w:top w:type="dxa" w:w="90"/>
              <w:left w:type="dxa" w:w="120"/>
              <w:bottom w:type="dxa" w:w="90"/>
              <w:right w:type="dxa" w:w="120"/>
            </w:tcMar>
          </w:tcPr>
          <w:p>
            <w:pPr>
              <w:spacing w:after="0" w:before="0" w:line="220"/>
            </w:pPr>
            <w:r>
              <w:rPr>
                <w:rFonts w:ascii="Aptos" w:cs="Aptos" w:eastAsia="Aptos" w:hAnsi="Aptos"/>
                <w:sz w:val="17"/>
                <w:szCs w:val="17"/>
              </w:rPr>
              <w:t xml:space="preserve">Export ingestion</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Accept scheduled CSV/Parquet/JSON exports, cloud-storage drops or warehouse shares; validate manifest, checksum, date partition and late files.</w:t>
            </w:r>
          </w:p>
        </w:tc>
        <w:tc>
          <w:tcPr>
            <w:tcW w:type="dxa" w:w="2460"/>
            <w:tcMar>
              <w:top w:type="dxa" w:w="90"/>
              <w:left w:type="dxa" w:w="120"/>
              <w:bottom w:type="dxa" w:w="90"/>
              <w:right w:type="dxa" w:w="120"/>
            </w:tcMar>
          </w:tcPr>
          <w:p>
            <w:pPr>
              <w:spacing w:after="0" w:before="0" w:line="220"/>
            </w:pPr>
            <w:r>
              <w:rPr>
                <w:rFonts w:ascii="Aptos" w:cs="Aptos" w:eastAsia="Aptos" w:hAnsi="Aptos"/>
                <w:sz w:val="17"/>
                <w:szCs w:val="17"/>
              </w:rPr>
              <w:t xml:space="preserve">Quarantine bad/missing files; do not silently replace a mature period.</w:t>
            </w:r>
          </w:p>
        </w:tc>
      </w:tr>
      <w:tr>
        <w:tc>
          <w:tcPr>
            <w:tcW w:type="dxa" w:w="20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MMP mode switch</w:t>
            </w:r>
          </w:p>
        </w:tc>
        <w:tc>
          <w:tcPr>
            <w:tcW w:type="dxa" w:w="4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Allow off → aggregate → granular and reverse through configuration; version every change.</w:t>
            </w:r>
          </w:p>
        </w:tc>
        <w:tc>
          <w:tcPr>
            <w:tcW w:type="dxa" w:w="24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Require data-quality validation before activating; historical outputs preserve original mode.</w:t>
            </w:r>
          </w:p>
        </w:tc>
      </w:tr>
      <w:tr>
        <w:tc>
          <w:tcPr>
            <w:tcW w:type="dxa" w:w="2000"/>
            <w:tcMar>
              <w:top w:type="dxa" w:w="90"/>
              <w:left w:type="dxa" w:w="120"/>
              <w:bottom w:type="dxa" w:w="90"/>
              <w:right w:type="dxa" w:w="120"/>
            </w:tcMar>
          </w:tcPr>
          <w:p>
            <w:pPr>
              <w:spacing w:after="0" w:before="0" w:line="220"/>
            </w:pPr>
            <w:r>
              <w:rPr>
                <w:rFonts w:ascii="Aptos" w:cs="Aptos" w:eastAsia="Aptos" w:hAnsi="Aptos"/>
                <w:sz w:val="17"/>
                <w:szCs w:val="17"/>
              </w:rPr>
              <w:t xml:space="preserve">Raw and normalized retention</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Retain raw payload/export pointer, transform version and normalized records needed for reproducibility.</w:t>
            </w:r>
          </w:p>
        </w:tc>
        <w:tc>
          <w:tcPr>
            <w:tcW w:type="dxa" w:w="2460"/>
            <w:tcMar>
              <w:top w:type="dxa" w:w="90"/>
              <w:left w:type="dxa" w:w="120"/>
              <w:bottom w:type="dxa" w:w="90"/>
              <w:right w:type="dxa" w:w="120"/>
            </w:tcMar>
          </w:tcPr>
          <w:p>
            <w:pPr>
              <w:spacing w:after="0" w:before="0" w:line="220"/>
            </w:pPr>
            <w:r>
              <w:rPr>
                <w:rFonts w:ascii="Aptos" w:cs="Aptos" w:eastAsia="Aptos" w:hAnsi="Aptos"/>
                <w:sz w:val="17"/>
                <w:szCs w:val="17"/>
              </w:rPr>
              <w:t xml:space="preserve">Block analyses that cannot prove provenance; prompt for source repair.</w:t>
            </w:r>
          </w:p>
        </w:tc>
      </w:tr>
    </w:tbl>
    <w:p>
      <w:pPr>
        <w:pStyle w:val="Heading2"/>
        <w:keepNext/>
        <w:spacing w:after="110" w:before="240"/>
      </w:pPr>
      <w:r>
        <w:t xml:space="preserve">3.2 Components</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900"/>
        <w:gridCol w:w="4300"/>
        <w:gridCol w:w="3160"/>
      </w:tblGrid>
      <w:tr>
        <w:trPr>
          <w:tblHeader/>
        </w:trPr>
        <w:tc>
          <w:tcPr>
            <w:tcW w:type="dxa" w:w="19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Component</w:t>
            </w:r>
          </w:p>
        </w:tc>
        <w:tc>
          <w:tcPr>
            <w:tcW w:type="dxa" w:w="43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Responsibility</w:t>
            </w:r>
          </w:p>
        </w:tc>
        <w:tc>
          <w:tcPr>
            <w:tcW w:type="dxa" w:w="31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Key controls</w:t>
            </w:r>
          </w:p>
        </w:tc>
      </w:tr>
      <w:tr>
        <w:tc>
          <w:tcPr>
            <w:tcW w:type="dxa" w:w="1900"/>
            <w:tcMar>
              <w:top w:type="dxa" w:w="90"/>
              <w:left w:type="dxa" w:w="120"/>
              <w:bottom w:type="dxa" w:w="90"/>
              <w:right w:type="dxa" w:w="120"/>
            </w:tcMar>
          </w:tcPr>
          <w:p>
            <w:pPr>
              <w:spacing w:after="0" w:before="0" w:line="220"/>
            </w:pPr>
            <w:r>
              <w:rPr>
                <w:rFonts w:ascii="Aptos" w:cs="Aptos" w:eastAsia="Aptos" w:hAnsi="Aptos"/>
                <w:sz w:val="17"/>
                <w:szCs w:val="17"/>
              </w:rPr>
              <w:t xml:space="preserve">Connectors</w:t>
            </w:r>
          </w:p>
        </w:tc>
        <w:tc>
          <w:tcPr>
            <w:tcW w:type="dxa" w:w="4300"/>
            <w:tcMar>
              <w:top w:type="dxa" w:w="90"/>
              <w:left w:type="dxa" w:w="120"/>
              <w:bottom w:type="dxa" w:w="90"/>
              <w:right w:type="dxa" w:w="120"/>
            </w:tcMar>
          </w:tcPr>
          <w:p>
            <w:pPr>
              <w:spacing w:after="0" w:before="0" w:line="220"/>
            </w:pPr>
            <w:r>
              <w:rPr>
                <w:rFonts w:ascii="Aptos" w:cs="Aptos" w:eastAsia="Aptos" w:hAnsi="Aptos"/>
                <w:sz w:val="17"/>
                <w:szCs w:val="17"/>
              </w:rPr>
              <w:t xml:space="preserve">Pull source data on defined cadence; preserve raw responses and source timestamps.</w:t>
            </w:r>
          </w:p>
        </w:tc>
        <w:tc>
          <w:tcPr>
            <w:tcW w:type="dxa" w:w="3160"/>
            <w:tcMar>
              <w:top w:type="dxa" w:w="90"/>
              <w:left w:type="dxa" w:w="120"/>
              <w:bottom w:type="dxa" w:w="90"/>
              <w:right w:type="dxa" w:w="120"/>
            </w:tcMar>
          </w:tcPr>
          <w:p>
            <w:pPr>
              <w:spacing w:after="0" w:before="0" w:line="220"/>
            </w:pPr>
            <w:r>
              <w:rPr>
                <w:rFonts w:ascii="Aptos" w:cs="Aptos" w:eastAsia="Aptos" w:hAnsi="Aptos"/>
                <w:sz w:val="17"/>
                <w:szCs w:val="17"/>
              </w:rPr>
              <w:t xml:space="preserve">Read-only credentials; schema/version monitoring; retries and freshness alerts.</w:t>
            </w:r>
          </w:p>
        </w:tc>
      </w:tr>
      <w:tr>
        <w:tc>
          <w:tcPr>
            <w:tcW w:type="dxa" w:w="1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Normalization layer</w:t>
            </w:r>
          </w:p>
        </w:tc>
        <w:tc>
          <w:tcPr>
            <w:tcW w:type="dxa" w:w="4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Align entities, metrics, time zones, currencies, attribution windows, event definitions and identifiers.</w:t>
            </w:r>
          </w:p>
        </w:tc>
        <w:tc>
          <w:tcPr>
            <w:tcW w:type="dxa" w:w="31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Canonical metric dictionary; mapping version; no irreversible aggregation.</w:t>
            </w:r>
          </w:p>
        </w:tc>
      </w:tr>
      <w:tr>
        <w:tc>
          <w:tcPr>
            <w:tcW w:type="dxa" w:w="1900"/>
            <w:tcMar>
              <w:top w:type="dxa" w:w="90"/>
              <w:left w:type="dxa" w:w="120"/>
              <w:bottom w:type="dxa" w:w="90"/>
              <w:right w:type="dxa" w:w="120"/>
            </w:tcMar>
          </w:tcPr>
          <w:p>
            <w:pPr>
              <w:spacing w:after="0" w:before="0" w:line="220"/>
            </w:pPr>
            <w:r>
              <w:rPr>
                <w:rFonts w:ascii="Aptos" w:cs="Aptos" w:eastAsia="Aptos" w:hAnsi="Aptos"/>
                <w:sz w:val="17"/>
                <w:szCs w:val="17"/>
              </w:rPr>
              <w:t xml:space="preserve">Evidence store</w:t>
            </w:r>
          </w:p>
        </w:tc>
        <w:tc>
          <w:tcPr>
            <w:tcW w:type="dxa" w:w="4300"/>
            <w:tcMar>
              <w:top w:type="dxa" w:w="90"/>
              <w:left w:type="dxa" w:w="120"/>
              <w:bottom w:type="dxa" w:w="90"/>
              <w:right w:type="dxa" w:w="120"/>
            </w:tcMar>
          </w:tcPr>
          <w:p>
            <w:pPr>
              <w:spacing w:after="0" w:before="0" w:line="220"/>
            </w:pPr>
            <w:r>
              <w:rPr>
                <w:rFonts w:ascii="Aptos" w:cs="Aptos" w:eastAsia="Aptos" w:hAnsi="Aptos"/>
                <w:sz w:val="17"/>
                <w:szCs w:val="17"/>
              </w:rPr>
              <w:t xml:space="preserve">Store facts, comparisons, anomalies, data-quality flags and traceable lineage.</w:t>
            </w:r>
          </w:p>
        </w:tc>
        <w:tc>
          <w:tcPr>
            <w:tcW w:type="dxa" w:w="3160"/>
            <w:tcMar>
              <w:top w:type="dxa" w:w="90"/>
              <w:left w:type="dxa" w:w="120"/>
              <w:bottom w:type="dxa" w:w="90"/>
              <w:right w:type="dxa" w:w="120"/>
            </w:tcMar>
          </w:tcPr>
          <w:p>
            <w:pPr>
              <w:spacing w:after="0" w:before="0" w:line="220"/>
            </w:pPr>
            <w:r>
              <w:rPr>
                <w:rFonts w:ascii="Aptos" w:cs="Aptos" w:eastAsia="Aptos" w:hAnsi="Aptos"/>
                <w:sz w:val="17"/>
                <w:szCs w:val="17"/>
              </w:rPr>
              <w:t xml:space="preserve">Immutable run snapshot; source/query references; access controls.</w:t>
            </w:r>
          </w:p>
        </w:tc>
      </w:tr>
      <w:tr>
        <w:tc>
          <w:tcPr>
            <w:tcW w:type="dxa" w:w="1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Policy engine</w:t>
            </w:r>
          </w:p>
        </w:tc>
        <w:tc>
          <w:tcPr>
            <w:tcW w:type="dxa" w:w="4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Apply approved targeting and planning rules deterministically.</w:t>
            </w:r>
          </w:p>
        </w:tc>
        <w:tc>
          <w:tcPr>
            <w:tcW w:type="dxa" w:w="31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Versioned policy; policy owner; rule tests; approval gate for changes.</w:t>
            </w:r>
          </w:p>
        </w:tc>
      </w:tr>
      <w:tr>
        <w:tc>
          <w:tcPr>
            <w:tcW w:type="dxa" w:w="1900"/>
            <w:tcMar>
              <w:top w:type="dxa" w:w="90"/>
              <w:left w:type="dxa" w:w="120"/>
              <w:bottom w:type="dxa" w:w="90"/>
              <w:right w:type="dxa" w:w="120"/>
            </w:tcMar>
          </w:tcPr>
          <w:p>
            <w:pPr>
              <w:spacing w:after="0" w:before="0" w:line="220"/>
            </w:pPr>
            <w:r>
              <w:rPr>
                <w:rFonts w:ascii="Aptos" w:cs="Aptos" w:eastAsia="Aptos" w:hAnsi="Aptos"/>
                <w:sz w:val="17"/>
                <w:szCs w:val="17"/>
              </w:rPr>
              <w:t xml:space="preserve">Reasoning engine</w:t>
            </w:r>
          </w:p>
        </w:tc>
        <w:tc>
          <w:tcPr>
            <w:tcW w:type="dxa" w:w="4300"/>
            <w:tcMar>
              <w:top w:type="dxa" w:w="90"/>
              <w:left w:type="dxa" w:w="120"/>
              <w:bottom w:type="dxa" w:w="90"/>
              <w:right w:type="dxa" w:w="120"/>
            </w:tcMar>
          </w:tcPr>
          <w:p>
            <w:pPr>
              <w:spacing w:after="0" w:before="0" w:line="220"/>
            </w:pPr>
            <w:r>
              <w:rPr>
                <w:rFonts w:ascii="Aptos" w:cs="Aptos" w:eastAsia="Aptos" w:hAnsi="Aptos"/>
                <w:sz w:val="17"/>
                <w:szCs w:val="17"/>
              </w:rPr>
              <w:t xml:space="preserve">Rank hypotheses, identify missing evidence, generate calibrated explanation and recommendations.</w:t>
            </w:r>
          </w:p>
        </w:tc>
        <w:tc>
          <w:tcPr>
            <w:tcW w:type="dxa" w:w="3160"/>
            <w:tcMar>
              <w:top w:type="dxa" w:w="90"/>
              <w:left w:type="dxa" w:w="120"/>
              <w:bottom w:type="dxa" w:w="90"/>
              <w:right w:type="dxa" w:w="120"/>
            </w:tcMar>
          </w:tcPr>
          <w:p>
            <w:pPr>
              <w:spacing w:after="0" w:before="0" w:line="220"/>
            </w:pPr>
            <w:r>
              <w:rPr>
                <w:rFonts w:ascii="Aptos" w:cs="Aptos" w:eastAsia="Aptos" w:hAnsi="Aptos"/>
                <w:sz w:val="17"/>
                <w:szCs w:val="17"/>
              </w:rPr>
              <w:t xml:space="preserve">No direct write scope; uncertainty labels; contradiction checks.</w:t>
            </w:r>
          </w:p>
        </w:tc>
      </w:tr>
      <w:tr>
        <w:tc>
          <w:tcPr>
            <w:tcW w:type="dxa" w:w="1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Planner + UI/API</w:t>
            </w:r>
          </w:p>
        </w:tc>
        <w:tc>
          <w:tcPr>
            <w:tcW w:type="dxa" w:w="4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Render briefs, target specs, experiment plans, approvals and feedback.</w:t>
            </w:r>
          </w:p>
        </w:tc>
        <w:tc>
          <w:tcPr>
            <w:tcW w:type="dxa" w:w="31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Human sign-off; audit log; output schema validation.</w:t>
            </w:r>
          </w:p>
        </w:tc>
      </w:tr>
    </w:tbl>
    <w:p>
      <w:pPr>
        <w:pStyle w:val="Heading2"/>
        <w:keepNext/>
        <w:spacing w:after="110" w:before="240"/>
      </w:pPr>
      <w:r>
        <w:t xml:space="preserve">3.3 Optional MMP data modes</w:t>
      </w:r>
    </w:p>
    <w:p>
      <w:pPr>
        <w:spacing w:after="120" w:before="0" w:line="276"/>
      </w:pPr>
      <w:r>
        <w:rPr>
          <w:rFonts w:ascii="Aptos" w:cs="Aptos" w:eastAsia="Aptos" w:hAnsi="Aptos"/>
          <w:sz w:val="20"/>
          <w:szCs w:val="20"/>
        </w:rPr>
        <w:t xml:space="preserve">MMP connectivity is an account-level, read-only configuration—not a prerequisite for the agent. The same core analysis runs from Meta and business data when it is disabled. When enabled, the selected mode determines the diagnostic depth available and is displayed on every brief.</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700"/>
        <w:gridCol w:w="2440"/>
        <w:gridCol w:w="3160"/>
        <w:gridCol w:w="2060"/>
      </w:tblGrid>
      <w:tr>
        <w:trPr>
          <w:tblHeader/>
        </w:trPr>
        <w:tc>
          <w:tcPr>
            <w:tcW w:type="dxa" w:w="17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Mode</w:t>
            </w:r>
          </w:p>
        </w:tc>
        <w:tc>
          <w:tcPr>
            <w:tcW w:type="dxa" w:w="244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Data path</w:t>
            </w:r>
          </w:p>
        </w:tc>
        <w:tc>
          <w:tcPr>
            <w:tcW w:type="dxa" w:w="31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What the agent may use</w:t>
            </w:r>
          </w:p>
        </w:tc>
        <w:tc>
          <w:tcPr>
            <w:tcW w:type="dxa" w:w="20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Constraints</w:t>
            </w:r>
          </w:p>
        </w:tc>
      </w:tr>
      <w:tr>
        <w:tc>
          <w:tcPr>
            <w:tcW w:type="dxa" w:w="1700"/>
            <w:tcMar>
              <w:top w:type="dxa" w:w="90"/>
              <w:left w:type="dxa" w:w="120"/>
              <w:bottom w:type="dxa" w:w="90"/>
              <w:right w:type="dxa" w:w="120"/>
            </w:tcMar>
          </w:tcPr>
          <w:p>
            <w:pPr>
              <w:spacing w:after="0" w:before="0" w:line="220"/>
            </w:pPr>
            <w:r>
              <w:rPr>
                <w:rFonts w:ascii="Aptos" w:cs="Aptos" w:eastAsia="Aptos" w:hAnsi="Aptos"/>
                <w:sz w:val="17"/>
                <w:szCs w:val="17"/>
              </w:rPr>
              <w:t xml:space="preserve">Off: platform + business</w:t>
            </w:r>
          </w:p>
        </w:tc>
        <w:tc>
          <w:tcPr>
            <w:tcW w:type="dxa" w:w="2440"/>
            <w:tcMar>
              <w:top w:type="dxa" w:w="90"/>
              <w:left w:type="dxa" w:w="120"/>
              <w:bottom w:type="dxa" w:w="90"/>
              <w:right w:type="dxa" w:w="120"/>
            </w:tcMar>
          </w:tcPr>
          <w:p>
            <w:pPr>
              <w:spacing w:after="0" w:before="0" w:line="220"/>
            </w:pPr>
            <w:r>
              <w:rPr>
                <w:rFonts w:ascii="Aptos" w:cs="Aptos" w:eastAsia="Aptos" w:hAnsi="Aptos"/>
                <w:sz w:val="17"/>
                <w:szCs w:val="17"/>
              </w:rPr>
              <w:t xml:space="preserve">No MMP connection.</w:t>
            </w:r>
          </w:p>
        </w:tc>
        <w:tc>
          <w:tcPr>
            <w:tcW w:type="dxa" w:w="3160"/>
            <w:tcMar>
              <w:top w:type="dxa" w:w="90"/>
              <w:left w:type="dxa" w:w="120"/>
              <w:bottom w:type="dxa" w:w="90"/>
              <w:right w:type="dxa" w:w="120"/>
            </w:tcMar>
          </w:tcPr>
          <w:p>
            <w:pPr>
              <w:spacing w:after="0" w:before="0" w:line="220"/>
            </w:pPr>
            <w:r>
              <w:rPr>
                <w:rFonts w:ascii="Aptos" w:cs="Aptos" w:eastAsia="Aptos" w:hAnsi="Aptos"/>
                <w:sz w:val="17"/>
                <w:szCs w:val="17"/>
              </w:rPr>
              <w:t xml:space="preserve">Meta delivery, server/product events, orders, revenue and operational signals.</w:t>
            </w:r>
          </w:p>
        </w:tc>
        <w:tc>
          <w:tcPr>
            <w:tcW w:type="dxa" w:w="2060"/>
            <w:tcMar>
              <w:top w:type="dxa" w:w="90"/>
              <w:left w:type="dxa" w:w="120"/>
              <w:bottom w:type="dxa" w:w="90"/>
              <w:right w:type="dxa" w:w="120"/>
            </w:tcMar>
          </w:tcPr>
          <w:p>
            <w:pPr>
              <w:spacing w:after="0" w:before="0" w:line="220"/>
            </w:pPr>
            <w:r>
              <w:rPr>
                <w:rFonts w:ascii="Aptos" w:cs="Aptos" w:eastAsia="Aptos" w:hAnsi="Aptos"/>
                <w:sz w:val="17"/>
                <w:szCs w:val="17"/>
              </w:rPr>
              <w:t xml:space="preserve">No MMP attribution or deep-link diagnosis; label gaps clearly.</w:t>
            </w:r>
          </w:p>
        </w:tc>
      </w:tr>
      <w:tr>
        <w:tc>
          <w:tcPr>
            <w:tcW w:type="dxa" w:w="17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Aggregate MMP</w:t>
            </w:r>
          </w:p>
        </w:tc>
        <w:tc>
          <w:tcPr>
            <w:tcW w:type="dxa" w:w="244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Scheduled reporting API or aggregate export.</w:t>
            </w:r>
          </w:p>
        </w:tc>
        <w:tc>
          <w:tcPr>
            <w:tcW w:type="dxa" w:w="31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Campaign/ad set/ad aggregates, attributed conversions, cohorts, deep-link funnel aggregates and reconciliation.</w:t>
            </w:r>
          </w:p>
        </w:tc>
        <w:tc>
          <w:tcPr>
            <w:tcW w:type="dxa" w:w="20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No person/event-level sequence analysis; subject to API granularity and reporting lag.</w:t>
            </w:r>
          </w:p>
        </w:tc>
      </w:tr>
      <w:tr>
        <w:tc>
          <w:tcPr>
            <w:tcW w:type="dxa" w:w="1700"/>
            <w:tcMar>
              <w:top w:type="dxa" w:w="90"/>
              <w:left w:type="dxa" w:w="120"/>
              <w:bottom w:type="dxa" w:w="90"/>
              <w:right w:type="dxa" w:w="120"/>
            </w:tcMar>
          </w:tcPr>
          <w:p>
            <w:pPr>
              <w:spacing w:after="0" w:before="0" w:line="220"/>
            </w:pPr>
            <w:r>
              <w:rPr>
                <w:rFonts w:ascii="Aptos" w:cs="Aptos" w:eastAsia="Aptos" w:hAnsi="Aptos"/>
                <w:sz w:val="17"/>
                <w:szCs w:val="17"/>
              </w:rPr>
              <w:t xml:space="preserve">Granular MMP</w:t>
            </w:r>
          </w:p>
        </w:tc>
        <w:tc>
          <w:tcPr>
            <w:tcW w:type="dxa" w:w="2440"/>
            <w:tcMar>
              <w:top w:type="dxa" w:w="90"/>
              <w:left w:type="dxa" w:w="120"/>
              <w:bottom w:type="dxa" w:w="90"/>
              <w:right w:type="dxa" w:w="120"/>
            </w:tcMar>
          </w:tcPr>
          <w:p>
            <w:pPr>
              <w:spacing w:after="0" w:before="0" w:line="220"/>
            </w:pPr>
            <w:r>
              <w:rPr>
                <w:rFonts w:ascii="Aptos" w:cs="Aptos" w:eastAsia="Aptos" w:hAnsi="Aptos"/>
                <w:sz w:val="17"/>
                <w:szCs w:val="17"/>
              </w:rPr>
              <w:t xml:space="preserve">Read-only raw-event API, webhook feed, cloud-storage export or warehouse share.</w:t>
            </w:r>
          </w:p>
        </w:tc>
        <w:tc>
          <w:tcPr>
            <w:tcW w:type="dxa" w:w="3160"/>
            <w:tcMar>
              <w:top w:type="dxa" w:w="90"/>
              <w:left w:type="dxa" w:w="120"/>
              <w:bottom w:type="dxa" w:w="90"/>
              <w:right w:type="dxa" w:w="120"/>
            </w:tcMar>
          </w:tcPr>
          <w:p>
            <w:pPr>
              <w:spacing w:after="0" w:before="0" w:line="220"/>
            </w:pPr>
            <w:r>
              <w:rPr>
                <w:rFonts w:ascii="Aptos" w:cs="Aptos" w:eastAsia="Aptos" w:hAnsi="Aptos"/>
                <w:sz w:val="17"/>
                <w:szCs w:val="17"/>
              </w:rPr>
              <w:t xml:space="preserve">Event-level attribution, deep-link path, cohort maturation, deduplication and segment analysis under approved privacy policy.</w:t>
            </w:r>
          </w:p>
        </w:tc>
        <w:tc>
          <w:tcPr>
            <w:tcW w:type="dxa" w:w="2060"/>
            <w:tcMar>
              <w:top w:type="dxa" w:w="90"/>
              <w:left w:type="dxa" w:w="120"/>
              <w:bottom w:type="dxa" w:w="90"/>
              <w:right w:type="dxa" w:w="120"/>
            </w:tcMar>
          </w:tcPr>
          <w:p>
            <w:pPr>
              <w:spacing w:after="0" w:before="0" w:line="220"/>
            </w:pPr>
            <w:r>
              <w:rPr>
                <w:rFonts w:ascii="Aptos" w:cs="Aptos" w:eastAsia="Aptos" w:hAnsi="Aptos"/>
                <w:sz w:val="17"/>
                <w:szCs w:val="17"/>
              </w:rPr>
              <w:t xml:space="preserve">Schema mapping, identity minimization, retention, consent and extract-completeness controls required.</w:t>
            </w:r>
          </w:p>
        </w:tc>
      </w:tr>
    </w:tbl>
    <w:p>
      <w:pPr>
        <w:pStyle w:val="Heading2"/>
        <w:keepNext/>
        <w:spacing w:after="110" w:before="240"/>
      </w:pPr>
      <w:r>
        <w:t xml:space="preserve">3.4 MMP connector and export requirements</w:t>
      </w:r>
    </w:p>
    <w:p>
      <w:pPr>
        <w:spacing w:after="120" w:before="0" w:line="276"/>
      </w:pPr>
      <w:r>
        <w:rPr>
          <w:rFonts w:ascii="Aptos" w:cs="Aptos" w:eastAsia="Aptos" w:hAnsi="Aptos"/>
          <w:sz w:val="20"/>
          <w:szCs w:val="20"/>
        </w:rPr>
        <w:t xml:space="preserve">Support both pull and landed-data patterns. API connectors should use incremental cursors, source timestamps, pagination, rate-limit backoff and replay-safe ingestion. Export connectors should ingest immutable dated files from approved cloud storage or a warehouse share, track file manifest/completeness, and quarantine malformed or schema-drifted records. The connector must preserve the MMP’s attribution window/model and configuration version with each record or aggregate.</w:t>
      </w:r>
    </w:p>
    <w:p>
      <w:pPr>
        <w:pStyle w:val="ListParagraph"/>
        <w:numPr>
          <w:ilvl w:val="0"/>
          <w:numId w:val="2"/>
        </w:numPr>
        <w:spacing w:after="55" w:line="260"/>
      </w:pPr>
      <w:r>
        <w:t xml:space="preserve">Minimum aggregate fields: date/hour, account/campaign/ad set/ad identifiers, conversion event, attribution model/window, clicks/installs/conversions/revenue, geo, platform/OS, destination and extract timestamp.</w:t>
      </w:r>
    </w:p>
    <w:p>
      <w:pPr>
        <w:pStyle w:val="ListParagraph"/>
        <w:numPr>
          <w:ilvl w:val="0"/>
          <w:numId w:val="2"/>
        </w:numPr>
        <w:spacing w:after="55" w:line="260"/>
      </w:pPr>
      <w:r>
        <w:t xml:space="preserve">Granular fields where permitted: event timestamp, event name/value/currency, attribution timestamps and touchpoint metadata, deep-link status/path, app/web context, anonymized join key and source/extract identifier.</w:t>
      </w:r>
    </w:p>
    <w:p>
      <w:pPr>
        <w:pStyle w:val="ListParagraph"/>
        <w:numPr>
          <w:ilvl w:val="0"/>
          <w:numId w:val="2"/>
        </w:numPr>
        <w:spacing w:after="55" w:line="260"/>
      </w:pPr>
      <w:r>
        <w:t xml:space="preserve">Never require direct identifiers for V1. Use approved pseudonymous keys only when event-level joining is necessary and legally/contractually permitted.</w:t>
      </w:r>
    </w:p>
    <w:p>
      <w:pPr>
        <w:pStyle w:val="ListParagraph"/>
        <w:numPr>
          <w:ilvl w:val="0"/>
          <w:numId w:val="2"/>
        </w:numPr>
        <w:spacing w:after="55" w:line="260"/>
      </w:pPr>
      <w:r>
        <w:t xml:space="preserve">A connector may be turned off or downgraded at any time. Existing briefs must retain their data-mode and source-provenance record.</w:t>
      </w:r>
    </w:p>
    <w:p>
      <w:pPr>
        <w:pStyle w:val="Heading1"/>
        <w:keepNext/>
        <w:spacing w:after="110" w:before="360"/>
      </w:pPr>
      <w:r>
        <w:t xml:space="preserve">4. Data model and source-of-truth hierarchy</w:t>
      </w:r>
    </w:p>
    <w:p>
      <w:pPr>
        <w:spacing w:after="120" w:before="0" w:line="276"/>
      </w:pPr>
      <w:r>
        <w:rPr>
          <w:rFonts w:ascii="Aptos" w:cs="Aptos" w:eastAsia="Aptos" w:hAnsi="Aptos"/>
          <w:sz w:val="20"/>
          <w:szCs w:val="20"/>
        </w:rPr>
        <w:t xml:space="preserve">Source of truth is metric- and use-case-specific. The system must never overwrite disagreements; it records the difference and describes its likely meaning.</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200"/>
        <w:gridCol w:w="2200"/>
        <w:gridCol w:w="2300"/>
        <w:gridCol w:w="2660"/>
      </w:tblGrid>
      <w:tr>
        <w:trPr>
          <w:tblHeader/>
        </w:trPr>
        <w:tc>
          <w:tcPr>
            <w:tcW w:type="dxa" w:w="22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Question / metric</w:t>
            </w:r>
          </w:p>
        </w:tc>
        <w:tc>
          <w:tcPr>
            <w:tcW w:type="dxa" w:w="22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Primary source</w:t>
            </w:r>
          </w:p>
        </w:tc>
        <w:tc>
          <w:tcPr>
            <w:tcW w:type="dxa" w:w="23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Secondary / reconciliation</w:t>
            </w:r>
          </w:p>
        </w:tc>
        <w:tc>
          <w:tcPr>
            <w:tcW w:type="dxa" w:w="26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Notes</w:t>
            </w:r>
          </w:p>
        </w:tc>
      </w:tr>
      <w:tr>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Spend, impressions, reach, CPM, frequency, delivery status</w:t>
            </w:r>
          </w:p>
        </w:tc>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Meta</w:t>
            </w:r>
          </w:p>
        </w:tc>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Warehouse export / finance ledger</w:t>
            </w:r>
          </w:p>
        </w:tc>
        <w:tc>
          <w:tcPr>
            <w:tcW w:type="dxa" w:w="2660"/>
            <w:tcMar>
              <w:top w:type="dxa" w:w="90"/>
              <w:left w:type="dxa" w:w="120"/>
              <w:bottom w:type="dxa" w:w="90"/>
              <w:right w:type="dxa" w:w="120"/>
            </w:tcMar>
          </w:tcPr>
          <w:p>
            <w:pPr>
              <w:spacing w:after="0" w:before="0" w:line="220"/>
            </w:pPr>
            <w:r>
              <w:rPr>
                <w:rFonts w:ascii="Aptos" w:cs="Aptos" w:eastAsia="Aptos" w:hAnsi="Aptos"/>
                <w:sz w:val="17"/>
                <w:szCs w:val="17"/>
              </w:rPr>
              <w:t xml:space="preserve">Meta is authoritative for its own delivery.</w:t>
            </w:r>
          </w:p>
        </w:tc>
      </w:tr>
      <w:tr>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Meta click and platform CTR</w:t>
            </w:r>
          </w:p>
        </w:tc>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Meta</w:t>
            </w:r>
          </w:p>
        </w:tc>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MMP click/deep-link events</w:t>
            </w:r>
          </w:p>
        </w:tc>
        <w:tc>
          <w:tcPr>
            <w:tcW w:type="dxa" w:w="26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Different click definitions may both be valid.</w:t>
            </w:r>
          </w:p>
        </w:tc>
      </w:tr>
      <w:tr>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Attributed installs / conversions and deep-link resolution</w:t>
            </w:r>
          </w:p>
        </w:tc>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MMP</w:t>
            </w:r>
          </w:p>
        </w:tc>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Product analytics, server events</w:t>
            </w:r>
          </w:p>
        </w:tc>
        <w:tc>
          <w:tcPr>
            <w:tcW w:type="dxa" w:w="2660"/>
            <w:tcMar>
              <w:top w:type="dxa" w:w="90"/>
              <w:left w:type="dxa" w:w="120"/>
              <w:bottom w:type="dxa" w:w="90"/>
              <w:right w:type="dxa" w:w="120"/>
            </w:tcMar>
          </w:tcPr>
          <w:p>
            <w:pPr>
              <w:spacing w:after="0" w:before="0" w:line="220"/>
            </w:pPr>
            <w:r>
              <w:rPr>
                <w:rFonts w:ascii="Aptos" w:cs="Aptos" w:eastAsia="Aptos" w:hAnsi="Aptos"/>
                <w:sz w:val="17"/>
                <w:szCs w:val="17"/>
              </w:rPr>
              <w:t xml:space="preserve">MMP window and attribution model must be displayed.</w:t>
            </w:r>
          </w:p>
        </w:tc>
      </w:tr>
      <w:tr>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Orders, realized revenue, refunds, margin, LTV</w:t>
            </w:r>
          </w:p>
        </w:tc>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Business data / finance</w:t>
            </w:r>
          </w:p>
        </w:tc>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MMP attributed revenue</w:t>
            </w:r>
          </w:p>
        </w:tc>
        <w:tc>
          <w:tcPr>
            <w:tcW w:type="dxa" w:w="26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Business system is authoritative for actual economics.</w:t>
            </w:r>
          </w:p>
        </w:tc>
      </w:tr>
      <w:tr>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Availability, inventory, pricing, product / app health</w:t>
            </w:r>
          </w:p>
        </w:tc>
        <w:tc>
          <w:tcPr>
            <w:tcW w:type="dxa" w:w="2200"/>
            <w:tcMar>
              <w:top w:type="dxa" w:w="90"/>
              <w:left w:type="dxa" w:w="120"/>
              <w:bottom w:type="dxa" w:w="90"/>
              <w:right w:type="dxa" w:w="120"/>
            </w:tcMar>
          </w:tcPr>
          <w:p>
            <w:pPr>
              <w:spacing w:after="0" w:before="0" w:line="220"/>
            </w:pPr>
            <w:r>
              <w:rPr>
                <w:rFonts w:ascii="Aptos" w:cs="Aptos" w:eastAsia="Aptos" w:hAnsi="Aptos"/>
                <w:sz w:val="17"/>
                <w:szCs w:val="17"/>
              </w:rPr>
              <w:t xml:space="preserve">Business operations / observability</w:t>
            </w:r>
          </w:p>
        </w:tc>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Support and incident logs</w:t>
            </w:r>
          </w:p>
        </w:tc>
        <w:tc>
          <w:tcPr>
            <w:tcW w:type="dxa" w:w="2660"/>
            <w:tcMar>
              <w:top w:type="dxa" w:w="90"/>
              <w:left w:type="dxa" w:w="120"/>
              <w:bottom w:type="dxa" w:w="90"/>
              <w:right w:type="dxa" w:w="120"/>
            </w:tcMar>
          </w:tcPr>
          <w:p>
            <w:pPr>
              <w:spacing w:after="0" w:before="0" w:line="220"/>
            </w:pPr>
            <w:r>
              <w:rPr>
                <w:rFonts w:ascii="Aptos" w:cs="Aptos" w:eastAsia="Aptos" w:hAnsi="Aptos"/>
                <w:sz w:val="17"/>
                <w:szCs w:val="17"/>
              </w:rPr>
              <w:t xml:space="preserve">Used to identify non-marketing causes.</w:t>
            </w:r>
          </w:p>
        </w:tc>
      </w:tr>
      <w:tr>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Incrementality / causal lift</w:t>
            </w:r>
          </w:p>
        </w:tc>
        <w:tc>
          <w:tcPr>
            <w:tcW w:type="dxa" w:w="2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Approved experiment or causal model</w:t>
            </w:r>
          </w:p>
        </w:tc>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Attribution as descriptive context</w:t>
            </w:r>
          </w:p>
        </w:tc>
        <w:tc>
          <w:tcPr>
            <w:tcW w:type="dxa" w:w="26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No platform or MMP report alone establishes incrementality.</w:t>
            </w:r>
          </w:p>
        </w:tc>
      </w:tr>
    </w:tbl>
    <w:p>
      <w:pPr>
        <w:pStyle w:val="Heading2"/>
        <w:keepNext/>
        <w:spacing w:after="110" w:before="240"/>
      </w:pPr>
      <w:r>
        <w:t xml:space="preserve">4.1 Canonical entities and required keys</w:t>
      </w:r>
    </w:p>
    <w:p>
      <w:pPr>
        <w:spacing w:after="120" w:before="0" w:line="276"/>
      </w:pPr>
      <w:r>
        <w:rPr>
          <w:rFonts w:ascii="Aptos" w:cs="Aptos" w:eastAsia="Aptos" w:hAnsi="Aptos"/>
          <w:sz w:val="20"/>
          <w:szCs w:val="20"/>
        </w:rPr>
        <w:t xml:space="preserve">At minimum, preserve account, campaign, ad set, ad, creative, placement, geo, device/OS, audience definition/version, event, product/SKU or offer, landing/deep-link destination, time zone, currency, attribution window/model, and data-extract timestamp. Maintain mapping tables for Meta IDs, MMP attribution IDs, deep-link parameters, app/web session IDs and order IDs where privacy policy permits.</w:t>
      </w:r>
    </w:p>
    <w:p>
      <w:pPr>
        <w:pStyle w:val="Heading2"/>
        <w:keepNext/>
        <w:spacing w:after="110" w:before="240"/>
      </w:pPr>
      <w:r>
        <w:t xml:space="preserve">4.2 Data quality gates</w:t>
      </w:r>
    </w:p>
    <w:p>
      <w:pPr>
        <w:pStyle w:val="ListParagraph"/>
        <w:numPr>
          <w:ilvl w:val="0"/>
          <w:numId w:val="2"/>
        </w:numPr>
        <w:spacing w:after="55" w:line="260"/>
      </w:pPr>
      <w:r>
        <w:t xml:space="preserve">Freshness: flag data beyond its expected source latency; do not call an incomplete current day a performance decline.</w:t>
      </w:r>
    </w:p>
    <w:p>
      <w:pPr>
        <w:pStyle w:val="ListParagraph"/>
        <w:numPr>
          <w:ilvl w:val="0"/>
          <w:numId w:val="2"/>
        </w:numPr>
        <w:spacing w:after="55" w:line="260"/>
      </w:pPr>
      <w:r>
        <w:t xml:space="preserve">Completeness: validate row counts, entity coverage, null rates and expected event totals.</w:t>
      </w:r>
    </w:p>
    <w:p>
      <w:pPr>
        <w:pStyle w:val="ListParagraph"/>
        <w:numPr>
          <w:ilvl w:val="0"/>
          <w:numId w:val="2"/>
        </w:numPr>
        <w:spacing w:after="55" w:line="260"/>
      </w:pPr>
      <w:r>
        <w:t xml:space="preserve">Definition integrity: block comparisons that mix event names, attribution windows, currencies, time zones or identity scopes.</w:t>
      </w:r>
    </w:p>
    <w:p>
      <w:pPr>
        <w:pStyle w:val="ListParagraph"/>
        <w:numPr>
          <w:ilvl w:val="0"/>
          <w:numId w:val="2"/>
        </w:numPr>
        <w:spacing w:after="55" w:line="260"/>
      </w:pPr>
      <w:r>
        <w:t xml:space="preserve">Reconciliation: quantify Meta ↔ MMP ↔ business differences; use a tolerance by metric and business maturity.</w:t>
      </w:r>
    </w:p>
    <w:p>
      <w:pPr>
        <w:pStyle w:val="ListParagraph"/>
        <w:numPr>
          <w:ilvl w:val="0"/>
          <w:numId w:val="2"/>
        </w:numPr>
        <w:spacing w:after="55" w:line="260"/>
      </w:pPr>
      <w:r>
        <w:t xml:space="preserve">Privacy: enforce aggregation, retention, consent and access policies; avoid exposing person-level identity in recommendation output.</w:t>
      </w:r>
    </w:p>
    <w:p>
      <w:pPr>
        <w:pStyle w:val="Heading1"/>
        <w:keepNext/>
        <w:spacing w:after="110" w:before="360"/>
      </w:pPr>
      <w:r>
        <w:t xml:space="preserve">5. Diagnostic framework</w:t>
      </w:r>
    </w:p>
    <w:p>
      <w:pPr>
        <w:spacing w:after="120" w:before="0" w:line="276"/>
      </w:pPr>
      <w:r>
        <w:rPr>
          <w:rFonts w:ascii="Aptos" w:cs="Aptos" w:eastAsia="Aptos" w:hAnsi="Aptos"/>
          <w:sz w:val="20"/>
          <w:szCs w:val="20"/>
        </w:rPr>
        <w:t xml:space="preserve">Every analysis starts with a clearly stated outcome and baseline, then follows the funnel. The agent may skip branches only when evidence shows the branch is not material or data is unavailable; skipped branches must be declared.</w:t>
      </w:r>
    </w:p>
    <w:p>
      <w:pPr>
        <w:pStyle w:val="Heading2"/>
        <w:keepNext/>
        <w:spacing w:after="110" w:before="240"/>
      </w:pPr>
      <w:r>
        <w:t xml:space="preserve">5.1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3F7" w:val="clear"/>
            <w:tcMar>
              <w:top w:type="dxa" w:w="160"/>
              <w:left w:type="dxa" w:w="180"/>
              <w:bottom w:type="dxa" w:w="160"/>
              <w:right w:type="dxa" w:w="180"/>
            </w:tcMar>
          </w:tcPr>
          <w:p>
            <w:pPr>
              <w:spacing w:after="25" w:before="0" w:line="210"/>
            </w:pPr>
            <w:r>
              <w:rPr>
                <w:rFonts w:ascii="Aptos" w:cs="Aptos" w:eastAsia="Aptos" w:hAnsi="Aptos"/>
                <w:color w:val="17324D"/>
                <w:sz w:val="17"/>
                <w:szCs w:val="17"/>
              </w:rPr>
              <w:t xml:space="preserve">1. Is the observed outcome real and comparable?</w:t>
            </w:r>
          </w:p>
          <w:p>
            <w:pPr>
              <w:spacing w:after="25" w:before="0" w:line="210"/>
            </w:pPr>
            <w:r>
              <w:rPr>
                <w:rFonts w:ascii="Aptos" w:cs="Aptos" w:eastAsia="Aptos" w:hAnsi="Aptos"/>
                <w:color w:val="17324D"/>
                <w:sz w:val="17"/>
                <w:szCs w:val="17"/>
              </w:rPr>
              <w:t xml:space="preserve">   ├─ No: report freshness / definition / attribution-window issue; wait or repair data.</w:t>
            </w:r>
          </w:p>
          <w:p>
            <w:pPr>
              <w:spacing w:after="25" w:before="0" w:line="210"/>
            </w:pPr>
            <w:r>
              <w:rPr>
                <w:rFonts w:ascii="Aptos" w:cs="Aptos" w:eastAsia="Aptos" w:hAnsi="Aptos"/>
                <w:color w:val="17324D"/>
                <w:sz w:val="17"/>
                <w:szCs w:val="17"/>
              </w:rPr>
              <w:t xml:space="preserve">   └─ Yes</w:t>
            </w:r>
          </w:p>
          <w:p>
            <w:pPr>
              <w:spacing w:after="25" w:before="0" w:line="210"/>
            </w:pPr>
            <w:r>
              <w:rPr>
                <w:rFonts w:ascii="Aptos" w:cs="Aptos" w:eastAsia="Aptos" w:hAnsi="Aptos"/>
                <w:color w:val="17324D"/>
                <w:sz w:val="17"/>
                <w:szCs w:val="17"/>
              </w:rPr>
              <w:t xml:space="preserve">       2. Delivery: spend pacing, eligibility, learning, auction pressure, frequency, reach?</w:t>
            </w:r>
          </w:p>
          <w:p>
            <w:pPr>
              <w:spacing w:after="25" w:before="0" w:line="210"/>
            </w:pPr>
            <w:r>
              <w:rPr>
                <w:rFonts w:ascii="Aptos" w:cs="Aptos" w:eastAsia="Aptos" w:hAnsi="Aptos"/>
                <w:color w:val="17324D"/>
                <w:sz w:val="17"/>
                <w:szCs w:val="17"/>
              </w:rPr>
              <w:t xml:space="preserve">          ├─ Delivery issue: diagnose budget, bid, policy, audience size, competition or ad status.</w:t>
            </w:r>
          </w:p>
          <w:p>
            <w:pPr>
              <w:spacing w:after="25" w:before="0" w:line="210"/>
            </w:pPr>
            <w:r>
              <w:rPr>
                <w:rFonts w:ascii="Aptos" w:cs="Aptos" w:eastAsia="Aptos" w:hAnsi="Aptos"/>
                <w:color w:val="17324D"/>
                <w:sz w:val="17"/>
                <w:szCs w:val="17"/>
              </w:rPr>
              <w:t xml:space="preserve">          └─ Delivery stable</w:t>
            </w:r>
          </w:p>
          <w:p>
            <w:pPr>
              <w:spacing w:after="25" w:before="0" w:line="210"/>
            </w:pPr>
            <w:r>
              <w:rPr>
                <w:rFonts w:ascii="Aptos" w:cs="Aptos" w:eastAsia="Aptos" w:hAnsi="Aptos"/>
                <w:color w:val="17324D"/>
                <w:sz w:val="17"/>
                <w:szCs w:val="17"/>
              </w:rPr>
              <w:t xml:space="preserve">              3. Traffic: clicks, link CTR, CPC, landing/deep-link starts, placement / geo / audience mix?</w:t>
            </w:r>
          </w:p>
          <w:p>
            <w:pPr>
              <w:spacing w:after="25" w:before="0" w:line="210"/>
            </w:pPr>
            <w:r>
              <w:rPr>
                <w:rFonts w:ascii="Aptos" w:cs="Aptos" w:eastAsia="Aptos" w:hAnsi="Aptos"/>
                <w:color w:val="17324D"/>
                <w:sz w:val="17"/>
                <w:szCs w:val="17"/>
              </w:rPr>
              <w:t xml:space="preserve">                 ├─ Traffic issue: inspect targeting mix, destination and creative signals.</w:t>
            </w:r>
          </w:p>
          <w:p>
            <w:pPr>
              <w:spacing w:after="25" w:before="0" w:line="210"/>
            </w:pPr>
            <w:r>
              <w:rPr>
                <w:rFonts w:ascii="Aptos" w:cs="Aptos" w:eastAsia="Aptos" w:hAnsi="Aptos"/>
                <w:color w:val="17324D"/>
                <w:sz w:val="17"/>
                <w:szCs w:val="17"/>
              </w:rPr>
              <w:t xml:space="preserve">                 └─ Traffic stable</w:t>
            </w:r>
          </w:p>
          <w:p>
            <w:pPr>
              <w:spacing w:after="25" w:before="0" w:line="210"/>
            </w:pPr>
            <w:r>
              <w:rPr>
                <w:rFonts w:ascii="Aptos" w:cs="Aptos" w:eastAsia="Aptos" w:hAnsi="Aptos"/>
                <w:color w:val="17324D"/>
                <w:sz w:val="17"/>
                <w:szCs w:val="17"/>
              </w:rPr>
              <w:t xml:space="preserve">                     4. Conversion: destination load, deep-link resolution, install / checkout / purchase rates?</w:t>
            </w:r>
          </w:p>
          <w:p>
            <w:pPr>
              <w:spacing w:after="25" w:before="0" w:line="210"/>
            </w:pPr>
            <w:r>
              <w:rPr>
                <w:rFonts w:ascii="Aptos" w:cs="Aptos" w:eastAsia="Aptos" w:hAnsi="Aptos"/>
                <w:color w:val="17324D"/>
                <w:sz w:val="17"/>
                <w:szCs w:val="17"/>
              </w:rPr>
              <w:t xml:space="preserve">                        ├─ Conversion issue: test product, app, web, offer, inventory and audience quality.</w:t>
            </w:r>
          </w:p>
          <w:p>
            <w:pPr>
              <w:spacing w:after="25" w:before="0" w:line="210"/>
            </w:pPr>
            <w:r>
              <w:rPr>
                <w:rFonts w:ascii="Aptos" w:cs="Aptos" w:eastAsia="Aptos" w:hAnsi="Aptos"/>
                <w:color w:val="17324D"/>
                <w:sz w:val="17"/>
                <w:szCs w:val="17"/>
              </w:rPr>
              <w:t xml:space="preserve">                        └─ Conversion stable</w:t>
            </w:r>
          </w:p>
          <w:p>
            <w:pPr>
              <w:spacing w:after="25" w:before="0" w:line="210"/>
            </w:pPr>
            <w:r>
              <w:rPr>
                <w:rFonts w:ascii="Aptos" w:cs="Aptos" w:eastAsia="Aptos" w:hAnsi="Aptos"/>
                <w:color w:val="17324D"/>
                <w:sz w:val="17"/>
                <w:szCs w:val="17"/>
              </w:rPr>
              <w:t xml:space="preserve">                            5. Economics: AOV, gross margin, refunds, CAC, marginal ROAS / contribution?</w:t>
            </w:r>
          </w:p>
          <w:p>
            <w:pPr>
              <w:spacing w:after="25" w:before="0" w:line="210"/>
            </w:pPr>
            <w:r>
              <w:rPr>
                <w:rFonts w:ascii="Aptos" w:cs="Aptos" w:eastAsia="Aptos" w:hAnsi="Aptos"/>
                <w:color w:val="17324D"/>
                <w:sz w:val="17"/>
                <w:szCs w:val="17"/>
              </w:rPr>
              <w:t xml:space="preserve">                               ├─ Economics issue: flag offer, pricing, mix or saturation pressure.</w:t>
            </w:r>
          </w:p>
          <w:p>
            <w:pPr>
              <w:spacing w:after="25" w:before="0" w:line="210"/>
            </w:pPr>
            <w:r>
              <w:rPr>
                <w:rFonts w:ascii="Aptos" w:cs="Aptos" w:eastAsia="Aptos" w:hAnsi="Aptos"/>
                <w:color w:val="17324D"/>
                <w:sz w:val="17"/>
                <w:szCs w:val="17"/>
              </w:rPr>
              <w:t xml:space="preserve">                               └─ Economics stable</w:t>
            </w:r>
          </w:p>
          <w:p>
            <w:pPr>
              <w:spacing w:after="25" w:before="0" w:line="210"/>
            </w:pPr>
            <w:r>
              <w:rPr>
                <w:rFonts w:ascii="Aptos" w:cs="Aptos" w:eastAsia="Aptos" w:hAnsi="Aptos"/>
                <w:color w:val="17324D"/>
                <w:sz w:val="17"/>
                <w:szCs w:val="17"/>
              </w:rPr>
              <w:t xml:space="preserve">                                   6. Attribution / incrementality: model/window shift, channel overlap, test evidence?</w:t>
            </w:r>
          </w:p>
          <w:p>
            <w:pPr>
              <w:spacing w:after="25" w:before="0" w:line="210"/>
            </w:pPr>
            <w:r>
              <w:rPr>
                <w:rFonts w:ascii="Aptos" w:cs="Aptos" w:eastAsia="Aptos" w:hAnsi="Aptos"/>
                <w:color w:val="17324D"/>
                <w:sz w:val="17"/>
                <w:szCs w:val="17"/>
              </w:rPr>
              <w:t xml:space="preserve">                                      └─ Reconcile; do not infer causality without approved causal evidence.</w:t>
            </w:r>
          </w:p>
        </w:tc>
      </w:tr>
    </w:tbl>
    <w:p>
      <w:pPr>
        <w:pStyle w:val="Heading2"/>
        <w:keepNext/>
        <w:spacing w:after="110" w:before="240"/>
      </w:pPr>
      <w:r>
        <w:t xml:space="preserve">5.2 Branch checks and evidence</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450"/>
        <w:gridCol w:w="2500"/>
        <w:gridCol w:w="3450"/>
        <w:gridCol w:w="1960"/>
      </w:tblGrid>
      <w:tr>
        <w:trPr>
          <w:tblHeader/>
        </w:trPr>
        <w:tc>
          <w:tcPr>
            <w:tcW w:type="dxa" w:w="14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Stage</w:t>
            </w:r>
          </w:p>
        </w:tc>
        <w:tc>
          <w:tcPr>
            <w:tcW w:type="dxa" w:w="25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Primary signals</w:t>
            </w:r>
          </w:p>
        </w:tc>
        <w:tc>
          <w:tcPr>
            <w:tcW w:type="dxa" w:w="34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Examples of supported hypotheses</w:t>
            </w:r>
          </w:p>
        </w:tc>
        <w:tc>
          <w:tcPr>
            <w:tcW w:type="dxa" w:w="19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Critical caveat</w:t>
            </w:r>
          </w:p>
        </w:tc>
      </w:tr>
      <w:tr>
        <w:tc>
          <w:tcPr>
            <w:tcW w:type="dxa" w:w="1450"/>
            <w:tcMar>
              <w:top w:type="dxa" w:w="90"/>
              <w:left w:type="dxa" w:w="120"/>
              <w:bottom w:type="dxa" w:w="90"/>
              <w:right w:type="dxa" w:w="120"/>
            </w:tcMar>
          </w:tcPr>
          <w:p>
            <w:pPr>
              <w:spacing w:after="0" w:before="0" w:line="220"/>
            </w:pPr>
            <w:r>
              <w:rPr>
                <w:rFonts w:ascii="Aptos" w:cs="Aptos" w:eastAsia="Aptos" w:hAnsi="Aptos"/>
                <w:sz w:val="17"/>
                <w:szCs w:val="17"/>
              </w:rPr>
              <w:t xml:space="preserve">Delivery</w:t>
            </w:r>
          </w:p>
        </w:tc>
        <w:tc>
          <w:tcPr>
            <w:tcW w:type="dxa" w:w="2500"/>
            <w:tcMar>
              <w:top w:type="dxa" w:w="90"/>
              <w:left w:type="dxa" w:w="120"/>
              <w:bottom w:type="dxa" w:w="90"/>
              <w:right w:type="dxa" w:w="120"/>
            </w:tcMar>
          </w:tcPr>
          <w:p>
            <w:pPr>
              <w:spacing w:after="0" w:before="0" w:line="220"/>
            </w:pPr>
            <w:r>
              <w:rPr>
                <w:rFonts w:ascii="Aptos" w:cs="Aptos" w:eastAsia="Aptos" w:hAnsi="Aptos"/>
                <w:sz w:val="17"/>
                <w:szCs w:val="17"/>
              </w:rPr>
              <w:t xml:space="preserve">Spend vs plan, impressions, CPM, frequency, reach, learning, auction overlap, rejected ads.</w:t>
            </w:r>
          </w:p>
        </w:tc>
        <w:tc>
          <w:tcPr>
            <w:tcW w:type="dxa" w:w="3450"/>
            <w:tcMar>
              <w:top w:type="dxa" w:w="90"/>
              <w:left w:type="dxa" w:w="120"/>
              <w:bottom w:type="dxa" w:w="90"/>
              <w:right w:type="dxa" w:w="120"/>
            </w:tcMar>
          </w:tcPr>
          <w:p>
            <w:pPr>
              <w:spacing w:after="0" w:before="0" w:line="220"/>
            </w:pPr>
            <w:r>
              <w:rPr>
                <w:rFonts w:ascii="Aptos" w:cs="Aptos" w:eastAsia="Aptos" w:hAnsi="Aptos"/>
                <w:sz w:val="17"/>
                <w:szCs w:val="17"/>
              </w:rPr>
              <w:t xml:space="preserve">Budget constraint; audience too narrow; auction inflation; delivery instability.</w:t>
            </w:r>
          </w:p>
        </w:tc>
        <w:tc>
          <w:tcPr>
            <w:tcW w:type="dxa" w:w="1960"/>
            <w:tcMar>
              <w:top w:type="dxa" w:w="90"/>
              <w:left w:type="dxa" w:w="120"/>
              <w:bottom w:type="dxa" w:w="90"/>
              <w:right w:type="dxa" w:w="120"/>
            </w:tcMar>
          </w:tcPr>
          <w:p>
            <w:pPr>
              <w:spacing w:after="0" w:before="0" w:line="220"/>
            </w:pPr>
            <w:r>
              <w:rPr>
                <w:rFonts w:ascii="Aptos" w:cs="Aptos" w:eastAsia="Aptos" w:hAnsi="Aptos"/>
                <w:sz w:val="17"/>
                <w:szCs w:val="17"/>
              </w:rPr>
              <w:t xml:space="preserve">A CPM change is not automatically targeting failure.</w:t>
            </w:r>
          </w:p>
        </w:tc>
      </w:tr>
      <w:tr>
        <w:tc>
          <w:tcPr>
            <w:tcW w:type="dxa" w:w="14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Traffic</w:t>
            </w:r>
          </w:p>
        </w:tc>
        <w:tc>
          <w:tcPr>
            <w:tcW w:type="dxa" w:w="25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Outbound CTR, CPC, LP views, placement/geo/device mix, click-to-start rate.</w:t>
            </w:r>
          </w:p>
        </w:tc>
        <w:tc>
          <w:tcPr>
            <w:tcW w:type="dxa" w:w="34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Destination mismatch; placement mix shift; weaker message resonance; link issue.</w:t>
            </w:r>
          </w:p>
        </w:tc>
        <w:tc>
          <w:tcPr>
            <w:tcW w:type="dxa" w:w="19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Creative is a suggested, not proven, explanation.</w:t>
            </w:r>
          </w:p>
        </w:tc>
      </w:tr>
      <w:tr>
        <w:tc>
          <w:tcPr>
            <w:tcW w:type="dxa" w:w="1450"/>
            <w:tcMar>
              <w:top w:type="dxa" w:w="90"/>
              <w:left w:type="dxa" w:w="120"/>
              <w:bottom w:type="dxa" w:w="90"/>
              <w:right w:type="dxa" w:w="120"/>
            </w:tcMar>
          </w:tcPr>
          <w:p>
            <w:pPr>
              <w:spacing w:after="0" w:before="0" w:line="220"/>
            </w:pPr>
            <w:r>
              <w:rPr>
                <w:rFonts w:ascii="Aptos" w:cs="Aptos" w:eastAsia="Aptos" w:hAnsi="Aptos"/>
                <w:sz w:val="17"/>
                <w:szCs w:val="17"/>
              </w:rPr>
              <w:t xml:space="preserve">Conversion</w:t>
            </w:r>
          </w:p>
        </w:tc>
        <w:tc>
          <w:tcPr>
            <w:tcW w:type="dxa" w:w="2500"/>
            <w:tcMar>
              <w:top w:type="dxa" w:w="90"/>
              <w:left w:type="dxa" w:w="120"/>
              <w:bottom w:type="dxa" w:w="90"/>
              <w:right w:type="dxa" w:w="120"/>
            </w:tcMar>
          </w:tcPr>
          <w:p>
            <w:pPr>
              <w:spacing w:after="0" w:before="0" w:line="220"/>
            </w:pPr>
            <w:r>
              <w:rPr>
                <w:rFonts w:ascii="Aptos" w:cs="Aptos" w:eastAsia="Aptos" w:hAnsi="Aptos"/>
                <w:sz w:val="17"/>
                <w:szCs w:val="17"/>
              </w:rPr>
              <w:t xml:space="preserve">LP→event, deep-link open→install, install→registration, checkout→purchase, CVR.</w:t>
            </w:r>
          </w:p>
        </w:tc>
        <w:tc>
          <w:tcPr>
            <w:tcW w:type="dxa" w:w="3450"/>
            <w:tcMar>
              <w:top w:type="dxa" w:w="90"/>
              <w:left w:type="dxa" w:w="120"/>
              <w:bottom w:type="dxa" w:w="90"/>
              <w:right w:type="dxa" w:w="120"/>
            </w:tcMar>
          </w:tcPr>
          <w:p>
            <w:pPr>
              <w:spacing w:after="0" w:before="0" w:line="220"/>
            </w:pPr>
            <w:r>
              <w:rPr>
                <w:rFonts w:ascii="Aptos" w:cs="Aptos" w:eastAsia="Aptos" w:hAnsi="Aptos"/>
                <w:sz w:val="17"/>
                <w:szCs w:val="17"/>
              </w:rPr>
              <w:t xml:space="preserve">Deep-link breakage; app/web failure; offer mismatch; audience-quality change.</w:t>
            </w:r>
          </w:p>
        </w:tc>
        <w:tc>
          <w:tcPr>
            <w:tcW w:type="dxa" w:w="1960"/>
            <w:tcMar>
              <w:top w:type="dxa" w:w="90"/>
              <w:left w:type="dxa" w:w="120"/>
              <w:bottom w:type="dxa" w:w="90"/>
              <w:right w:type="dxa" w:w="120"/>
            </w:tcMar>
          </w:tcPr>
          <w:p>
            <w:pPr>
              <w:spacing w:after="0" w:before="0" w:line="220"/>
            </w:pPr>
            <w:r>
              <w:rPr>
                <w:rFonts w:ascii="Aptos" w:cs="Aptos" w:eastAsia="Aptos" w:hAnsi="Aptos"/>
                <w:sz w:val="17"/>
                <w:szCs w:val="17"/>
              </w:rPr>
              <w:t xml:space="preserve">Check release/incidents and source latency first.</w:t>
            </w:r>
          </w:p>
        </w:tc>
      </w:tr>
      <w:tr>
        <w:tc>
          <w:tcPr>
            <w:tcW w:type="dxa" w:w="14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Economics</w:t>
            </w:r>
          </w:p>
        </w:tc>
        <w:tc>
          <w:tcPr>
            <w:tcW w:type="dxa" w:w="25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AOV, margin, refunds, CAC, contribution margin, marginal ROAS.</w:t>
            </w:r>
          </w:p>
        </w:tc>
        <w:tc>
          <w:tcPr>
            <w:tcW w:type="dxa" w:w="34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Unprofitable scale; product/offer mix change; discount leakage.</w:t>
            </w:r>
          </w:p>
        </w:tc>
        <w:tc>
          <w:tcPr>
            <w:tcW w:type="dxa" w:w="19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Use realized business data, not only attributed ROAS.</w:t>
            </w:r>
          </w:p>
        </w:tc>
      </w:tr>
      <w:tr>
        <w:tc>
          <w:tcPr>
            <w:tcW w:type="dxa" w:w="1450"/>
            <w:tcMar>
              <w:top w:type="dxa" w:w="90"/>
              <w:left w:type="dxa" w:w="120"/>
              <w:bottom w:type="dxa" w:w="90"/>
              <w:right w:type="dxa" w:w="120"/>
            </w:tcMar>
          </w:tcPr>
          <w:p>
            <w:pPr>
              <w:spacing w:after="0" w:before="0" w:line="220"/>
            </w:pPr>
            <w:r>
              <w:rPr>
                <w:rFonts w:ascii="Aptos" w:cs="Aptos" w:eastAsia="Aptos" w:hAnsi="Aptos"/>
                <w:sz w:val="17"/>
                <w:szCs w:val="17"/>
              </w:rPr>
              <w:t xml:space="preserve">Attribution / lift</w:t>
            </w:r>
          </w:p>
        </w:tc>
        <w:tc>
          <w:tcPr>
            <w:tcW w:type="dxa" w:w="2500"/>
            <w:tcMar>
              <w:top w:type="dxa" w:w="90"/>
              <w:left w:type="dxa" w:w="120"/>
              <w:bottom w:type="dxa" w:w="90"/>
              <w:right w:type="dxa" w:w="120"/>
            </w:tcMar>
          </w:tcPr>
          <w:p>
            <w:pPr>
              <w:spacing w:after="0" w:before="0" w:line="220"/>
            </w:pPr>
            <w:r>
              <w:rPr>
                <w:rFonts w:ascii="Aptos" w:cs="Aptos" w:eastAsia="Aptos" w:hAnsi="Aptos"/>
                <w:sz w:val="17"/>
                <w:szCs w:val="17"/>
              </w:rPr>
              <w:t xml:space="preserve">Window/model, assisted paths, match rate, experiment results, channel overlap.</w:t>
            </w:r>
          </w:p>
        </w:tc>
        <w:tc>
          <w:tcPr>
            <w:tcW w:type="dxa" w:w="3450"/>
            <w:tcMar>
              <w:top w:type="dxa" w:w="90"/>
              <w:left w:type="dxa" w:w="120"/>
              <w:bottom w:type="dxa" w:w="90"/>
              <w:right w:type="dxa" w:w="120"/>
            </w:tcMar>
          </w:tcPr>
          <w:p>
            <w:pPr>
              <w:spacing w:after="0" w:before="0" w:line="220"/>
            </w:pPr>
            <w:r>
              <w:rPr>
                <w:rFonts w:ascii="Aptos" w:cs="Aptos" w:eastAsia="Aptos" w:hAnsi="Aptos"/>
                <w:sz w:val="17"/>
                <w:szCs w:val="17"/>
              </w:rPr>
              <w:t xml:space="preserve">Measurement shift; cannibalization; attribution lag; incrementality uncertainty.</w:t>
            </w:r>
          </w:p>
        </w:tc>
        <w:tc>
          <w:tcPr>
            <w:tcW w:type="dxa" w:w="1960"/>
            <w:tcMar>
              <w:top w:type="dxa" w:w="90"/>
              <w:left w:type="dxa" w:w="120"/>
              <w:bottom w:type="dxa" w:w="90"/>
              <w:right w:type="dxa" w:w="120"/>
            </w:tcMar>
          </w:tcPr>
          <w:p>
            <w:pPr>
              <w:spacing w:after="0" w:before="0" w:line="220"/>
            </w:pPr>
            <w:r>
              <w:rPr>
                <w:rFonts w:ascii="Aptos" w:cs="Aptos" w:eastAsia="Aptos" w:hAnsi="Aptos"/>
                <w:sz w:val="17"/>
                <w:szCs w:val="17"/>
              </w:rPr>
              <w:t xml:space="preserve">Attribution is descriptive; lift needs causal evidence.</w:t>
            </w:r>
          </w:p>
        </w:tc>
      </w:tr>
    </w:tbl>
    <w:p>
      <w:pPr>
        <w:pStyle w:val="Heading2"/>
        <w:keepNext/>
        <w:spacing w:after="110" w:before="240"/>
      </w:pPr>
      <w:r>
        <w:t xml:space="preserve">5.3 Deep-link diagnostics</w:t>
      </w:r>
    </w:p>
    <w:p>
      <w:pPr>
        <w:spacing w:after="120" w:before="0" w:line="276"/>
      </w:pPr>
      <w:r>
        <w:rPr>
          <w:rFonts w:ascii="Aptos" w:cs="Aptos" w:eastAsia="Aptos" w:hAnsi="Aptos"/>
          <w:sz w:val="20"/>
          <w:szCs w:val="20"/>
        </w:rPr>
        <w:t xml:space="preserve">Deep-link data is a downstream signal that bridges traffic and conversion. For a campaign or segment, inspect click → deep-link resolution → app open → install/return → intended event → purchase. Breakdowns by OS, app version, destination, geo, browser and campaign parameters can isolate routing failures or app-state problems. A sharp fall in resolution or app-open rate with stable Meta clicks is evidence for a destination or instrumentation issue, not a targeting conclusion.</w:t>
      </w:r>
    </w:p>
    <w:p>
      <w:pPr>
        <w:pStyle w:val="Heading1"/>
        <w:keepNext/>
        <w:spacing w:after="110" w:before="360"/>
      </w:pPr>
      <w:r>
        <w:t xml:space="preserve">6. Deterministic targeting and planning policy</w:t>
      </w:r>
    </w:p>
    <w:p>
      <w:pPr>
        <w:spacing w:after="120" w:before="0" w:line="276"/>
      </w:pPr>
      <w:r>
        <w:rPr>
          <w:rFonts w:ascii="Aptos" w:cs="Aptos" w:eastAsia="Aptos" w:hAnsi="Aptos"/>
          <w:sz w:val="20"/>
          <w:szCs w:val="20"/>
        </w:rPr>
        <w:t xml:space="preserve">The agent must use an approved, versioned target policy rather than improvising targeting. Its job is to construct valid plans and highlight trade-offs. Any recommendation outside policy is a proposal requiring explicit policy-owner review.</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850"/>
        <w:gridCol w:w="4900"/>
        <w:gridCol w:w="2610"/>
      </w:tblGrid>
      <w:tr>
        <w:trPr>
          <w:tblHeader/>
        </w:trPr>
        <w:tc>
          <w:tcPr>
            <w:tcW w:type="dxa" w:w="18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Policy area</w:t>
            </w:r>
          </w:p>
        </w:tc>
        <w:tc>
          <w:tcPr>
            <w:tcW w:type="dxa" w:w="49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Deterministic rules in V1</w:t>
            </w:r>
          </w:p>
        </w:tc>
        <w:tc>
          <w:tcPr>
            <w:tcW w:type="dxa" w:w="261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Output</w:t>
            </w:r>
          </w:p>
        </w:tc>
      </w:tr>
      <w:tr>
        <w:tc>
          <w:tcPr>
            <w:tcW w:type="dxa" w:w="1850"/>
            <w:tcMar>
              <w:top w:type="dxa" w:w="90"/>
              <w:left w:type="dxa" w:w="120"/>
              <w:bottom w:type="dxa" w:w="90"/>
              <w:right w:type="dxa" w:w="120"/>
            </w:tcMar>
          </w:tcPr>
          <w:p>
            <w:pPr>
              <w:spacing w:after="0" w:before="0" w:line="220"/>
            </w:pPr>
            <w:r>
              <w:rPr>
                <w:rFonts w:ascii="Aptos" w:cs="Aptos" w:eastAsia="Aptos" w:hAnsi="Aptos"/>
                <w:sz w:val="17"/>
                <w:szCs w:val="17"/>
              </w:rPr>
              <w:t xml:space="preserve">Audience inclusion</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Use approved interest and behavior taxonomies, lookalike seed definitions, geo, age and language constraints.</w:t>
            </w:r>
          </w:p>
        </w:tc>
        <w:tc>
          <w:tcPr>
            <w:tcW w:type="dxa" w:w="2610"/>
            <w:tcMar>
              <w:top w:type="dxa" w:w="90"/>
              <w:left w:type="dxa" w:w="120"/>
              <w:bottom w:type="dxa" w:w="90"/>
              <w:right w:type="dxa" w:w="120"/>
            </w:tcMar>
          </w:tcPr>
          <w:p>
            <w:pPr>
              <w:spacing w:after="0" w:before="0" w:line="220"/>
            </w:pPr>
            <w:r>
              <w:rPr>
                <w:rFonts w:ascii="Aptos" w:cs="Aptos" w:eastAsia="Aptos" w:hAnsi="Aptos"/>
                <w:sz w:val="17"/>
                <w:szCs w:val="17"/>
              </w:rPr>
              <w:t xml:space="preserve">Exact included sets and rationale with policy version.</w:t>
            </w:r>
          </w:p>
        </w:tc>
      </w:tr>
      <w:tr>
        <w:tc>
          <w:tcPr>
            <w:tcW w:type="dxa" w:w="18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Exclusions</w:t>
            </w:r>
          </w:p>
        </w:tc>
        <w:tc>
          <w:tcPr>
            <w:tcW w:type="dxa" w:w="4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Exclude purchasers/leads/active subscribers using approved recency windows; exclude employees, invalid traffic and suppressed geos.</w:t>
            </w:r>
          </w:p>
        </w:tc>
        <w:tc>
          <w:tcPr>
            <w:tcW w:type="dxa" w:w="26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Explicit exclusions with window, source and expected audience impact.</w:t>
            </w:r>
          </w:p>
        </w:tc>
      </w:tr>
      <w:tr>
        <w:tc>
          <w:tcPr>
            <w:tcW w:type="dxa" w:w="1850"/>
            <w:tcMar>
              <w:top w:type="dxa" w:w="90"/>
              <w:left w:type="dxa" w:w="120"/>
              <w:bottom w:type="dxa" w:w="90"/>
              <w:right w:type="dxa" w:w="120"/>
            </w:tcMar>
          </w:tcPr>
          <w:p>
            <w:pPr>
              <w:spacing w:after="0" w:before="0" w:line="220"/>
            </w:pPr>
            <w:r>
              <w:rPr>
                <w:rFonts w:ascii="Aptos" w:cs="Aptos" w:eastAsia="Aptos" w:hAnsi="Aptos"/>
                <w:sz w:val="17"/>
                <w:szCs w:val="17"/>
              </w:rPr>
              <w:t xml:space="preserve">Structure</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Respect campaign objective, geographic separation, test/control isolation, ad-set count limits and learning budget floors.</w:t>
            </w:r>
          </w:p>
        </w:tc>
        <w:tc>
          <w:tcPr>
            <w:tcW w:type="dxa" w:w="2610"/>
            <w:tcMar>
              <w:top w:type="dxa" w:w="90"/>
              <w:left w:type="dxa" w:w="120"/>
              <w:bottom w:type="dxa" w:w="90"/>
              <w:right w:type="dxa" w:w="120"/>
            </w:tcMar>
          </w:tcPr>
          <w:p>
            <w:pPr>
              <w:spacing w:after="0" w:before="0" w:line="220"/>
            </w:pPr>
            <w:r>
              <w:rPr>
                <w:rFonts w:ascii="Aptos" w:cs="Aptos" w:eastAsia="Aptos" w:hAnsi="Aptos"/>
                <w:sz w:val="17"/>
                <w:szCs w:val="17"/>
              </w:rPr>
              <w:t xml:space="preserve">Campaign/ad-set blueprint and validation results.</w:t>
            </w:r>
          </w:p>
        </w:tc>
      </w:tr>
      <w:tr>
        <w:tc>
          <w:tcPr>
            <w:tcW w:type="dxa" w:w="18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Audience health</w:t>
            </w:r>
          </w:p>
        </w:tc>
        <w:tc>
          <w:tcPr>
            <w:tcW w:type="dxa" w:w="4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Warn/block plans below minimum estimated size, above overlap threshold, over-frequency ceiling or unsuitable recency.</w:t>
            </w:r>
          </w:p>
        </w:tc>
        <w:tc>
          <w:tcPr>
            <w:tcW w:type="dxa" w:w="26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Risk flags and permitted alternatives.</w:t>
            </w:r>
          </w:p>
        </w:tc>
      </w:tr>
      <w:tr>
        <w:tc>
          <w:tcPr>
            <w:tcW w:type="dxa" w:w="1850"/>
            <w:tcMar>
              <w:top w:type="dxa" w:w="90"/>
              <w:left w:type="dxa" w:w="120"/>
              <w:bottom w:type="dxa" w:w="90"/>
              <w:right w:type="dxa" w:w="120"/>
            </w:tcMar>
          </w:tcPr>
          <w:p>
            <w:pPr>
              <w:spacing w:after="0" w:before="0" w:line="220"/>
            </w:pPr>
            <w:r>
              <w:rPr>
                <w:rFonts w:ascii="Aptos" w:cs="Aptos" w:eastAsia="Aptos" w:hAnsi="Aptos"/>
                <w:sz w:val="17"/>
                <w:szCs w:val="17"/>
              </w:rPr>
              <w:t xml:space="preserve">Budget/bid guardrails</w:t>
            </w:r>
          </w:p>
        </w:tc>
        <w:tc>
          <w:tcPr>
            <w:tcW w:type="dxa" w:w="4900"/>
            <w:tcMar>
              <w:top w:type="dxa" w:w="90"/>
              <w:left w:type="dxa" w:w="120"/>
              <w:bottom w:type="dxa" w:w="90"/>
              <w:right w:type="dxa" w:w="120"/>
            </w:tcMar>
          </w:tcPr>
          <w:p>
            <w:pPr>
              <w:spacing w:after="0" w:before="0" w:line="220"/>
            </w:pPr>
            <w:r>
              <w:rPr>
                <w:rFonts w:ascii="Aptos" w:cs="Aptos" w:eastAsia="Aptos" w:hAnsi="Aptos"/>
                <w:sz w:val="17"/>
                <w:szCs w:val="17"/>
              </w:rPr>
              <w:t xml:space="preserve">Respect max CAC, margin floor, daily-change limits, learning stabilization rules and approved bid strategy.</w:t>
            </w:r>
          </w:p>
        </w:tc>
        <w:tc>
          <w:tcPr>
            <w:tcW w:type="dxa" w:w="2610"/>
            <w:tcMar>
              <w:top w:type="dxa" w:w="90"/>
              <w:left w:type="dxa" w:w="120"/>
              <w:bottom w:type="dxa" w:w="90"/>
              <w:right w:type="dxa" w:w="120"/>
            </w:tcMar>
          </w:tcPr>
          <w:p>
            <w:pPr>
              <w:spacing w:after="0" w:before="0" w:line="220"/>
            </w:pPr>
            <w:r>
              <w:rPr>
                <w:rFonts w:ascii="Aptos" w:cs="Aptos" w:eastAsia="Aptos" w:hAnsi="Aptos"/>
                <w:sz w:val="17"/>
                <w:szCs w:val="17"/>
              </w:rPr>
              <w:t xml:space="preserve">Recommended range—not an execution command—with constraints.</w:t>
            </w:r>
          </w:p>
        </w:tc>
      </w:tr>
      <w:tr>
        <w:tc>
          <w:tcPr>
            <w:tcW w:type="dxa" w:w="18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Compliance</w:t>
            </w:r>
          </w:p>
        </w:tc>
        <w:tc>
          <w:tcPr>
            <w:tcW w:type="dxa" w:w="4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Apply restricted-category, consent, brand-safety and jurisdiction policy.</w:t>
            </w:r>
          </w:p>
        </w:tc>
        <w:tc>
          <w:tcPr>
            <w:tcW w:type="dxa" w:w="26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Eligibility status and required approval.</w:t>
            </w:r>
          </w:p>
        </w:tc>
      </w:tr>
    </w:tbl>
    <w:p>
      <w:pPr>
        <w:pStyle w:val="Heading2"/>
        <w:keepNext/>
        <w:spacing w:after="110" w:before="240"/>
      </w:pPr>
      <w:r>
        <w:t xml:space="preserve">6.1 Audience saturation and marginal economics</w:t>
      </w:r>
    </w:p>
    <w:p>
      <w:pPr>
        <w:spacing w:after="120" w:before="0" w:line="276"/>
      </w:pPr>
      <w:r>
        <w:rPr>
          <w:rFonts w:ascii="Aptos" w:cs="Aptos" w:eastAsia="Aptos" w:hAnsi="Aptos"/>
          <w:sz w:val="20"/>
          <w:szCs w:val="20"/>
        </w:rPr>
        <w:t xml:space="preserve">Saturation is a hypothesis based on converging evidence—not a frequency threshold alone. The agent should inspect reachable-audience trend, frequency distribution, incremental reach, CPM, CTR/CVR decay, prospecting versus retargeting mix, overlap, recency composition and marginal CAC / contribution margin by spend band. It should distinguish “audience exhausted,” “auction conditions changed,” “creative fatigue plausible,” and “delivery constrained” rather than collapsing them into one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color="DDEBF7" w:val="clear"/>
            <w:tcMar>
              <w:top w:type="dxa" w:w="90"/>
              <w:left w:type="dxa" w:w="120"/>
              <w:bottom w:type="dxa" w:w="90"/>
              <w:right w:type="dxa" w:w="120"/>
            </w:tcMar>
          </w:tcPr>
          <w:p>
            <w:pPr>
              <w:spacing w:after="0" w:before="0" w:line="220"/>
            </w:pPr>
            <w:r>
              <w:rPr>
                <w:rFonts w:ascii="Aptos" w:cs="Aptos" w:eastAsia="Aptos" w:hAnsi="Aptos"/>
                <w:b/>
                <w:bCs/>
                <w:color w:val="0F766E"/>
                <w:sz w:val="17"/>
                <w:szCs w:val="17"/>
              </w:rPr>
              <w:t xml:space="preserve">MARGINAL RULE</w:t>
            </w:r>
          </w:p>
        </w:tc>
        <w:tc>
          <w:tcPr>
            <w:tcW w:type="dxa" w:w="7860"/>
            <w:shd w:color="F1F7F7" w:val="clear"/>
            <w:tcMar>
              <w:top w:type="dxa" w:w="90"/>
              <w:left w:type="dxa" w:w="120"/>
              <w:bottom w:type="dxa" w:w="90"/>
              <w:right w:type="dxa" w:w="120"/>
            </w:tcMar>
          </w:tcPr>
          <w:p>
            <w:pPr>
              <w:spacing w:after="0" w:before="0" w:line="220"/>
            </w:pPr>
            <w:r>
              <w:rPr>
                <w:rFonts w:ascii="Aptos" w:cs="Aptos" w:eastAsia="Aptos" w:hAnsi="Aptos"/>
                <w:sz w:val="17"/>
                <w:szCs w:val="17"/>
              </w:rPr>
              <w:t xml:space="preserve">Plan against marginal contribution, not blended ROAS alone. If added spend worsens incremental CAC or contribution margin beyond an approved threshold, the output should recommend holding, reallocating only within the Meta planning scope, or validating with an experiment.</w:t>
            </w:r>
          </w:p>
        </w:tc>
      </w:tr>
    </w:tbl>
    <w:p>
      <w:pPr>
        <w:pStyle w:val="Heading1"/>
        <w:keepNext/>
        <w:spacing w:after="110" w:before="360"/>
      </w:pPr>
      <w:r>
        <w:t xml:space="preserve">7. Output contract</w:t>
      </w:r>
    </w:p>
    <w:p>
      <w:pPr>
        <w:spacing w:after="120" w:before="0" w:line="276"/>
      </w:pPr>
      <w:r>
        <w:rPr>
          <w:rFonts w:ascii="Aptos" w:cs="Aptos" w:eastAsia="Aptos" w:hAnsi="Aptos"/>
          <w:sz w:val="20"/>
          <w:szCs w:val="20"/>
        </w:rPr>
        <w:t xml:space="preserve">All explanations and plans are returned as a structured, auditable brief. The conversational layer may summarize it, but cannot omit material uncertainty or source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3F7" w:val="clear"/>
            <w:tcMar>
              <w:top w:type="dxa" w:w="160"/>
              <w:left w:type="dxa" w:w="180"/>
              <w:bottom w:type="dxa" w:w="160"/>
              <w:right w:type="dxa" w:w="180"/>
            </w:tcMar>
          </w:tcPr>
          <w:p>
            <w:pPr>
              <w:spacing w:after="25" w:before="0" w:line="210"/>
            </w:pPr>
            <w:r>
              <w:rPr>
                <w:rFonts w:ascii="Aptos" w:cs="Aptos" w:eastAsia="Aptos" w:hAnsi="Aptos"/>
                <w:color w:val="17324D"/>
                <w:sz w:val="17"/>
                <w:szCs w:val="17"/>
              </w:rPr>
              <w:t xml:space="preserve">Observation: what changed, for whom, and in what comparable time window.</w:t>
            </w:r>
          </w:p>
          <w:p>
            <w:pPr>
              <w:spacing w:after="25" w:before="0" w:line="210"/>
            </w:pPr>
            <w:r>
              <w:rPr>
                <w:rFonts w:ascii="Aptos" w:cs="Aptos" w:eastAsia="Aptos" w:hAnsi="Aptos"/>
                <w:color w:val="17324D"/>
                <w:sz w:val="17"/>
                <w:szCs w:val="17"/>
              </w:rPr>
              <w:t xml:space="preserve">Evidence: source references, metric values, baseline, segments, data freshness and reconciliation notes.</w:t>
            </w:r>
          </w:p>
          <w:p>
            <w:pPr>
              <w:spacing w:after="25" w:before="0" w:line="210"/>
            </w:pPr>
            <w:r>
              <w:rPr>
                <w:rFonts w:ascii="Aptos" w:cs="Aptos" w:eastAsia="Aptos" w:hAnsi="Aptos"/>
                <w:color w:val="17324D"/>
                <w:sz w:val="17"/>
                <w:szCs w:val="17"/>
              </w:rPr>
              <w:t xml:space="preserve">Diagnosis: ranked hypotheses; evidence for / against; known competing explanations.</w:t>
            </w:r>
          </w:p>
          <w:p>
            <w:pPr>
              <w:spacing w:after="25" w:before="0" w:line="210"/>
            </w:pPr>
            <w:r>
              <w:rPr>
                <w:rFonts w:ascii="Aptos" w:cs="Aptos" w:eastAsia="Aptos" w:hAnsi="Aptos"/>
                <w:color w:val="17324D"/>
                <w:sz w:val="17"/>
                <w:szCs w:val="17"/>
              </w:rPr>
              <w:t xml:space="preserve">Confidence: high / medium / low, with a calibrated basis and reasons for downgrade.</w:t>
            </w:r>
          </w:p>
          <w:p>
            <w:pPr>
              <w:spacing w:after="25" w:before="0" w:line="210"/>
            </w:pPr>
            <w:r>
              <w:rPr>
                <w:rFonts w:ascii="Aptos" w:cs="Aptos" w:eastAsia="Aptos" w:hAnsi="Aptos"/>
                <w:color w:val="17324D"/>
                <w:sz w:val="17"/>
                <w:szCs w:val="17"/>
              </w:rPr>
              <w:t xml:space="preserve">Recommendation: an action for human review, deterministic guardrails, expected effect, risk and measurement plan.</w:t>
            </w:r>
          </w:p>
          <w:p>
            <w:pPr>
              <w:spacing w:after="25" w:before="0" w:line="210"/>
            </w:pPr>
            <w:r>
              <w:rPr>
                <w:rFonts w:ascii="Aptos" w:cs="Aptos" w:eastAsia="Aptos" w:hAnsi="Aptos"/>
                <w:color w:val="17324D"/>
                <w:sz w:val="17"/>
                <w:szCs w:val="17"/>
              </w:rPr>
              <w:t xml:space="preserve">Next check: missing evidence, minimum wait period, experiment or escalation path.</w:t>
            </w:r>
          </w:p>
        </w:tc>
      </w:tr>
    </w:tbl>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600"/>
        <w:gridCol w:w="4200"/>
        <w:gridCol w:w="3760"/>
      </w:tblGrid>
      <w:tr>
        <w:trPr>
          <w:tblHeader/>
        </w:trPr>
        <w:tc>
          <w:tcPr>
            <w:tcW w:type="dxa" w:w="16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Confidence</w:t>
            </w:r>
          </w:p>
        </w:tc>
        <w:tc>
          <w:tcPr>
            <w:tcW w:type="dxa" w:w="42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Minimum standard</w:t>
            </w:r>
          </w:p>
        </w:tc>
        <w:tc>
          <w:tcPr>
            <w:tcW w:type="dxa" w:w="37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Permitted language / behavior</w:t>
            </w:r>
          </w:p>
        </w:tc>
      </w:tr>
      <w:tr>
        <w:tc>
          <w:tcPr>
            <w:tcW w:type="dxa" w:w="1600"/>
            <w:tcMar>
              <w:top w:type="dxa" w:w="90"/>
              <w:left w:type="dxa" w:w="120"/>
              <w:bottom w:type="dxa" w:w="90"/>
              <w:right w:type="dxa" w:w="120"/>
            </w:tcMar>
          </w:tcPr>
          <w:p>
            <w:pPr>
              <w:spacing w:after="0" w:before="0" w:line="220"/>
            </w:pPr>
            <w:r>
              <w:rPr>
                <w:rFonts w:ascii="Aptos" w:cs="Aptos" w:eastAsia="Aptos" w:hAnsi="Aptos"/>
                <w:sz w:val="17"/>
                <w:szCs w:val="17"/>
              </w:rPr>
              <w:t xml:space="preserve">High</w:t>
            </w:r>
          </w:p>
        </w:tc>
        <w:tc>
          <w:tcPr>
            <w:tcW w:type="dxa" w:w="4200"/>
            <w:tcMar>
              <w:top w:type="dxa" w:w="90"/>
              <w:left w:type="dxa" w:w="120"/>
              <w:bottom w:type="dxa" w:w="90"/>
              <w:right w:type="dxa" w:w="120"/>
            </w:tcMar>
          </w:tcPr>
          <w:p>
            <w:pPr>
              <w:spacing w:after="0" w:before="0" w:line="220"/>
            </w:pPr>
            <w:r>
              <w:rPr>
                <w:rFonts w:ascii="Aptos" w:cs="Aptos" w:eastAsia="Aptos" w:hAnsi="Aptos"/>
                <w:sz w:val="17"/>
                <w:szCs w:val="17"/>
              </w:rPr>
              <w:t xml:space="preserve">Multiple aligned, high-quality sources; material, stable effect; alternatives checked.</w:t>
            </w:r>
          </w:p>
        </w:tc>
        <w:tc>
          <w:tcPr>
            <w:tcW w:type="dxa" w:w="3760"/>
            <w:tcMar>
              <w:top w:type="dxa" w:w="90"/>
              <w:left w:type="dxa" w:w="120"/>
              <w:bottom w:type="dxa" w:w="90"/>
              <w:right w:type="dxa" w:w="120"/>
            </w:tcMar>
          </w:tcPr>
          <w:p>
            <w:pPr>
              <w:spacing w:after="0" w:before="0" w:line="220"/>
            </w:pPr>
            <w:r>
              <w:rPr>
                <w:rFonts w:ascii="Aptos" w:cs="Aptos" w:eastAsia="Aptos" w:hAnsi="Aptos"/>
                <w:sz w:val="17"/>
                <w:szCs w:val="17"/>
              </w:rPr>
              <w:t xml:space="preserve">“Most consistent with…”; allow firm planning recommendation within policy.</w:t>
            </w:r>
          </w:p>
        </w:tc>
      </w:tr>
      <w:tr>
        <w:tc>
          <w:tcPr>
            <w:tcW w:type="dxa" w:w="1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Medium</w:t>
            </w:r>
          </w:p>
        </w:tc>
        <w:tc>
          <w:tcPr>
            <w:tcW w:type="dxa" w:w="4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Directional evidence with one or more unresolved confounders or limited sample.</w:t>
            </w:r>
          </w:p>
        </w:tc>
        <w:tc>
          <w:tcPr>
            <w:tcW w:type="dxa" w:w="37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“Likely…”; recommend bounded test or monitoring.</w:t>
            </w:r>
          </w:p>
        </w:tc>
      </w:tr>
      <w:tr>
        <w:tc>
          <w:tcPr>
            <w:tcW w:type="dxa" w:w="1600"/>
            <w:tcMar>
              <w:top w:type="dxa" w:w="90"/>
              <w:left w:type="dxa" w:w="120"/>
              <w:bottom w:type="dxa" w:w="90"/>
              <w:right w:type="dxa" w:w="120"/>
            </w:tcMar>
          </w:tcPr>
          <w:p>
            <w:pPr>
              <w:spacing w:after="0" w:before="0" w:line="220"/>
            </w:pPr>
            <w:r>
              <w:rPr>
                <w:rFonts w:ascii="Aptos" w:cs="Aptos" w:eastAsia="Aptos" w:hAnsi="Aptos"/>
                <w:sz w:val="17"/>
                <w:szCs w:val="17"/>
              </w:rPr>
              <w:t xml:space="preserve">Low</w:t>
            </w:r>
          </w:p>
        </w:tc>
        <w:tc>
          <w:tcPr>
            <w:tcW w:type="dxa" w:w="4200"/>
            <w:tcMar>
              <w:top w:type="dxa" w:w="90"/>
              <w:left w:type="dxa" w:w="120"/>
              <w:bottom w:type="dxa" w:w="90"/>
              <w:right w:type="dxa" w:w="120"/>
            </w:tcMar>
          </w:tcPr>
          <w:p>
            <w:pPr>
              <w:spacing w:after="0" w:before="0" w:line="220"/>
            </w:pPr>
            <w:r>
              <w:rPr>
                <w:rFonts w:ascii="Aptos" w:cs="Aptos" w:eastAsia="Aptos" w:hAnsi="Aptos"/>
                <w:sz w:val="17"/>
                <w:szCs w:val="17"/>
              </w:rPr>
              <w:t xml:space="preserve">Insufficient sample, fresh/lagged data, conflicting sources or many confounders.</w:t>
            </w:r>
          </w:p>
        </w:tc>
        <w:tc>
          <w:tcPr>
            <w:tcW w:type="dxa" w:w="3760"/>
            <w:tcMar>
              <w:top w:type="dxa" w:w="90"/>
              <w:left w:type="dxa" w:w="120"/>
              <w:bottom w:type="dxa" w:w="90"/>
              <w:right w:type="dxa" w:w="120"/>
            </w:tcMar>
          </w:tcPr>
          <w:p>
            <w:pPr>
              <w:spacing w:after="0" w:before="0" w:line="220"/>
            </w:pPr>
            <w:r>
              <w:rPr>
                <w:rFonts w:ascii="Aptos" w:cs="Aptos" w:eastAsia="Aptos" w:hAnsi="Aptos"/>
                <w:sz w:val="17"/>
                <w:szCs w:val="17"/>
              </w:rPr>
              <w:t xml:space="preserve">“Possible…”; request data, wait, or test; no major plan change.</w:t>
            </w:r>
          </w:p>
        </w:tc>
      </w:tr>
    </w:tbl>
    <w:p>
      <w:pPr>
        <w:pStyle w:val="Heading2"/>
        <w:keepNext/>
        <w:spacing w:after="110" w:before="240"/>
      </w:pPr>
      <w:r>
        <w:t xml:space="preserve">7.1 Creative boundary</w:t>
      </w:r>
    </w:p>
    <w:p>
      <w:pPr>
        <w:spacing w:after="120" w:before="0" w:line="276"/>
      </w:pPr>
      <w:r>
        <w:rPr>
          <w:rFonts w:ascii="Aptos" w:cs="Aptos" w:eastAsia="Aptos" w:hAnsi="Aptos"/>
          <w:sz w:val="20"/>
          <w:szCs w:val="20"/>
        </w:rPr>
        <w:t xml:space="preserve">Creative outputs must be prefixed as suggestions and framed as testable interpretations. Example: “CTR decline is concentrated in long-running assets within this audience. Creative fatigue is plausible; test two distinct hooks before materially changing targeting.” The agent must not state creative fatigue as fact unless an approved experimental design establishes it.</w:t>
      </w:r>
    </w:p>
    <w:p>
      <w:pPr>
        <w:pStyle w:val="Heading1"/>
        <w:keepNext/>
        <w:spacing w:after="110" w:before="360"/>
      </w:pPr>
      <w:r>
        <w:t xml:space="preserve">8. Time windows, lags and comparison rules</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300"/>
        <w:gridCol w:w="3700"/>
        <w:gridCol w:w="3560"/>
      </w:tblGrid>
      <w:tr>
        <w:trPr>
          <w:tblHeader/>
        </w:trPr>
        <w:tc>
          <w:tcPr>
            <w:tcW w:type="dxa" w:w="23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Use case</w:t>
            </w:r>
          </w:p>
        </w:tc>
        <w:tc>
          <w:tcPr>
            <w:tcW w:type="dxa" w:w="37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Default comparison</w:t>
            </w:r>
          </w:p>
        </w:tc>
        <w:tc>
          <w:tcPr>
            <w:tcW w:type="dxa" w:w="35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Required adjustment</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Operational monitoring</w:t>
            </w:r>
          </w:p>
        </w:tc>
        <w:tc>
          <w:tcPr>
            <w:tcW w:type="dxa" w:w="3700"/>
            <w:tcMar>
              <w:top w:type="dxa" w:w="90"/>
              <w:left w:type="dxa" w:w="120"/>
              <w:bottom w:type="dxa" w:w="90"/>
              <w:right w:type="dxa" w:w="120"/>
            </w:tcMar>
          </w:tcPr>
          <w:p>
            <w:pPr>
              <w:spacing w:after="0" w:before="0" w:line="220"/>
            </w:pPr>
            <w:r>
              <w:rPr>
                <w:rFonts w:ascii="Aptos" w:cs="Aptos" w:eastAsia="Aptos" w:hAnsi="Aptos"/>
                <w:sz w:val="17"/>
                <w:szCs w:val="17"/>
              </w:rPr>
              <w:t xml:space="preserve">Today vs same weekday/hour baseline</w:t>
            </w:r>
          </w:p>
        </w:tc>
        <w:tc>
          <w:tcPr>
            <w:tcW w:type="dxa" w:w="3560"/>
            <w:tcMar>
              <w:top w:type="dxa" w:w="90"/>
              <w:left w:type="dxa" w:w="120"/>
              <w:bottom w:type="dxa" w:w="90"/>
              <w:right w:type="dxa" w:w="120"/>
            </w:tcMar>
          </w:tcPr>
          <w:p>
            <w:pPr>
              <w:spacing w:after="0" w:before="0" w:line="220"/>
            </w:pPr>
            <w:r>
              <w:rPr>
                <w:rFonts w:ascii="Aptos" w:cs="Aptos" w:eastAsia="Aptos" w:hAnsi="Aptos"/>
                <w:sz w:val="17"/>
                <w:szCs w:val="17"/>
              </w:rPr>
              <w:t xml:space="preserve">Exclude partial day and account for reporting latency.</w:t>
            </w:r>
          </w:p>
        </w:tc>
      </w:tr>
      <w:tr>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Weekly planning</w:t>
            </w:r>
          </w:p>
        </w:tc>
        <w:tc>
          <w:tcPr>
            <w:tcW w:type="dxa" w:w="37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Last 7 complete days vs prior 7 and 28-day reference</w:t>
            </w:r>
          </w:p>
        </w:tc>
        <w:tc>
          <w:tcPr>
            <w:tcW w:type="dxa" w:w="3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Normalize promotions, holidays, releases and budget step changes.</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Audience/creative trend</w:t>
            </w:r>
          </w:p>
        </w:tc>
        <w:tc>
          <w:tcPr>
            <w:tcW w:type="dxa" w:w="3700"/>
            <w:tcMar>
              <w:top w:type="dxa" w:w="90"/>
              <w:left w:type="dxa" w:w="120"/>
              <w:bottom w:type="dxa" w:w="90"/>
              <w:right w:type="dxa" w:w="120"/>
            </w:tcMar>
          </w:tcPr>
          <w:p>
            <w:pPr>
              <w:spacing w:after="0" w:before="0" w:line="220"/>
            </w:pPr>
            <w:r>
              <w:rPr>
                <w:rFonts w:ascii="Aptos" w:cs="Aptos" w:eastAsia="Aptos" w:hAnsi="Aptos"/>
                <w:sz w:val="17"/>
                <w:szCs w:val="17"/>
              </w:rPr>
              <w:t xml:space="preserve">At least 14–28 days where volume supports it</w:t>
            </w:r>
          </w:p>
        </w:tc>
        <w:tc>
          <w:tcPr>
            <w:tcW w:type="dxa" w:w="3560"/>
            <w:tcMar>
              <w:top w:type="dxa" w:w="90"/>
              <w:left w:type="dxa" w:w="120"/>
              <w:bottom w:type="dxa" w:w="90"/>
              <w:right w:type="dxa" w:w="120"/>
            </w:tcMar>
          </w:tcPr>
          <w:p>
            <w:pPr>
              <w:spacing w:after="0" w:before="0" w:line="220"/>
            </w:pPr>
            <w:r>
              <w:rPr>
                <w:rFonts w:ascii="Aptos" w:cs="Aptos" w:eastAsia="Aptos" w:hAnsi="Aptos"/>
                <w:sz w:val="17"/>
                <w:szCs w:val="17"/>
              </w:rPr>
              <w:t xml:space="preserve">Separate learning/reset periods; inspect distribution, not averages only.</w:t>
            </w:r>
          </w:p>
        </w:tc>
      </w:tr>
      <w:tr>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Conversion/economics</w:t>
            </w:r>
          </w:p>
        </w:tc>
        <w:tc>
          <w:tcPr>
            <w:tcW w:type="dxa" w:w="37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Cohorted event date and maturity curve</w:t>
            </w:r>
          </w:p>
        </w:tc>
        <w:tc>
          <w:tcPr>
            <w:tcW w:type="dxa" w:w="3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Apply attribution lag and late revenue/refund maturation.</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Experiment / incrementality</w:t>
            </w:r>
          </w:p>
        </w:tc>
        <w:tc>
          <w:tcPr>
            <w:tcW w:type="dxa" w:w="3700"/>
            <w:tcMar>
              <w:top w:type="dxa" w:w="90"/>
              <w:left w:type="dxa" w:w="120"/>
              <w:bottom w:type="dxa" w:w="90"/>
              <w:right w:type="dxa" w:w="120"/>
            </w:tcMar>
          </w:tcPr>
          <w:p>
            <w:pPr>
              <w:spacing w:after="0" w:before="0" w:line="220"/>
            </w:pPr>
            <w:r>
              <w:rPr>
                <w:rFonts w:ascii="Aptos" w:cs="Aptos" w:eastAsia="Aptos" w:hAnsi="Aptos"/>
                <w:sz w:val="17"/>
                <w:szCs w:val="17"/>
              </w:rPr>
              <w:t xml:space="preserve">Pre-registered analysis window</w:t>
            </w:r>
          </w:p>
        </w:tc>
        <w:tc>
          <w:tcPr>
            <w:tcW w:type="dxa" w:w="3560"/>
            <w:tcMar>
              <w:top w:type="dxa" w:w="90"/>
              <w:left w:type="dxa" w:w="120"/>
              <w:bottom w:type="dxa" w:w="90"/>
              <w:right w:type="dxa" w:w="120"/>
            </w:tcMar>
          </w:tcPr>
          <w:p>
            <w:pPr>
              <w:spacing w:after="0" w:before="0" w:line="220"/>
            </w:pPr>
            <w:r>
              <w:rPr>
                <w:rFonts w:ascii="Aptos" w:cs="Aptos" w:eastAsia="Aptos" w:hAnsi="Aptos"/>
                <w:sz w:val="17"/>
                <w:szCs w:val="17"/>
              </w:rPr>
              <w:t xml:space="preserve">Use stated causal method; no post-hoc window shopping.</w:t>
            </w:r>
          </w:p>
        </w:tc>
      </w:tr>
    </w:tbl>
    <w:p>
      <w:pPr>
        <w:spacing w:after="120" w:before="0" w:line="276"/>
      </w:pPr>
      <w:r>
        <w:rPr>
          <w:rFonts w:ascii="Aptos" w:cs="Aptos" w:eastAsia="Aptos" w:hAnsi="Aptos"/>
          <w:sz w:val="20"/>
          <w:szCs w:val="20"/>
        </w:rPr>
        <w:t xml:space="preserve">The system should maintain metric-specific lag profiles from historical completeness: e.g., same-day delivery may settle quickly, while purchase, refund and LTV signals require matured cohorts. A recommendation that relies on an immature outcome receives a confidence downgrade and a scheduled re-check.</w:t>
      </w:r>
    </w:p>
    <w:p>
      <w:pPr>
        <w:pStyle w:val="Heading1"/>
        <w:keepNext/>
        <w:spacing w:after="110" w:before="360"/>
      </w:pPr>
      <w:r>
        <w:t xml:space="preserve">9. Cross-channel boundaries and external failures</w:t>
      </w:r>
    </w:p>
    <w:p>
      <w:pPr>
        <w:spacing w:after="120" w:before="0" w:line="276"/>
      </w:pPr>
      <w:r>
        <w:rPr>
          <w:rFonts w:ascii="Aptos" w:cs="Aptos" w:eastAsia="Aptos" w:hAnsi="Aptos"/>
          <w:sz w:val="20"/>
          <w:szCs w:val="20"/>
        </w:rPr>
        <w:t xml:space="preserve">V1 is a Meta planning agent. Other channels are contextual inputs only unless a separately governed cross-channel model is added. The agent may identify coincident channel activity, overlap risk or measurement conflicts, but may not recommend moving spend across channels without approved incrementality evidence and ownership.</w:t>
      </w:r>
    </w:p>
    <w:p>
      <w:pPr>
        <w:pStyle w:val="Heading2"/>
        <w:keepNext/>
        <w:spacing w:after="110" w:before="240"/>
      </w:pPr>
      <w:r>
        <w:t xml:space="preserve">9.1 External/non-marketing failure branches</w:t>
      </w:r>
    </w:p>
    <w:p>
      <w:pPr>
        <w:pStyle w:val="ListParagraph"/>
        <w:numPr>
          <w:ilvl w:val="0"/>
          <w:numId w:val="2"/>
        </w:numPr>
        <w:spacing w:after="55" w:line="260"/>
      </w:pPr>
      <w:r>
        <w:t xml:space="preserve">Product/app: crashes, release regressions, API incidents, login failures, checkout errors, deep-link routing failure.</w:t>
      </w:r>
    </w:p>
    <w:p>
      <w:pPr>
        <w:pStyle w:val="ListParagraph"/>
        <w:numPr>
          <w:ilvl w:val="0"/>
          <w:numId w:val="2"/>
        </w:numPr>
        <w:spacing w:after="55" w:line="260"/>
      </w:pPr>
      <w:r>
        <w:t xml:space="preserve">Commercial: inventory stockouts, shipping constraints, price/discount changes, payment failures, sales capacity or lead follow-up backlog.</w:t>
      </w:r>
    </w:p>
    <w:p>
      <w:pPr>
        <w:pStyle w:val="ListParagraph"/>
        <w:numPr>
          <w:ilvl w:val="0"/>
          <w:numId w:val="2"/>
        </w:numPr>
        <w:spacing w:after="55" w:line="260"/>
      </w:pPr>
      <w:r>
        <w:t xml:space="preserve">Measurement: SDK/server event breakage, consent changes, MMP configuration changes, attribution-window updates, schema changes.</w:t>
      </w:r>
    </w:p>
    <w:p>
      <w:pPr>
        <w:pStyle w:val="ListParagraph"/>
        <w:numPr>
          <w:ilvl w:val="0"/>
          <w:numId w:val="2"/>
        </w:numPr>
        <w:spacing w:after="55" w:line="260"/>
      </w:pPr>
      <w:r>
        <w:t xml:space="preserve">Market: holidays, competitor events, press, seasonality, weather or geo disruptions where relevant.</w:t>
      </w:r>
    </w:p>
    <w:p>
      <w:pPr>
        <w:spacing w:after="120" w:before="0" w:line="276"/>
      </w:pPr>
      <w:r>
        <w:rPr>
          <w:rFonts w:ascii="Aptos" w:cs="Aptos" w:eastAsia="Aptos" w:hAnsi="Aptos"/>
          <w:sz w:val="20"/>
          <w:szCs w:val="20"/>
        </w:rPr>
        <w:t xml:space="preserve">When an external branch is credible, the output should assign an owner (product, operations, analytics, finance), state what marketing should hold constant, and avoid treating the symptom as a targeting problem.</w:t>
      </w:r>
    </w:p>
    <w:p>
      <w:pPr>
        <w:pStyle w:val="Heading1"/>
        <w:keepNext/>
        <w:spacing w:after="110" w:before="360"/>
      </w:pPr>
      <w:r>
        <w:t xml:space="preserve">10. Memory and learning</w:t>
      </w:r>
    </w:p>
    <w:p>
      <w:pPr>
        <w:spacing w:after="120" w:before="0" w:line="276"/>
      </w:pPr>
      <w:r>
        <w:rPr>
          <w:rFonts w:ascii="Aptos" w:cs="Aptos" w:eastAsia="Aptos" w:hAnsi="Aptos"/>
          <w:sz w:val="20"/>
          <w:szCs w:val="20"/>
        </w:rPr>
        <w:t xml:space="preserve">Memory should improve repeatability without laundering prior guesses into facts. Separate immutable run records from reviewable learned knowledge.</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900"/>
        <w:gridCol w:w="4700"/>
        <w:gridCol w:w="2760"/>
      </w:tblGrid>
      <w:tr>
        <w:trPr>
          <w:tblHeader/>
        </w:trPr>
        <w:tc>
          <w:tcPr>
            <w:tcW w:type="dxa" w:w="19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Memory type</w:t>
            </w:r>
          </w:p>
        </w:tc>
        <w:tc>
          <w:tcPr>
            <w:tcW w:type="dxa" w:w="47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Contents</w:t>
            </w:r>
          </w:p>
        </w:tc>
        <w:tc>
          <w:tcPr>
            <w:tcW w:type="dxa" w:w="27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Governance</w:t>
            </w:r>
          </w:p>
        </w:tc>
      </w:tr>
      <w:tr>
        <w:tc>
          <w:tcPr>
            <w:tcW w:type="dxa" w:w="1900"/>
            <w:tcMar>
              <w:top w:type="dxa" w:w="90"/>
              <w:left w:type="dxa" w:w="120"/>
              <w:bottom w:type="dxa" w:w="90"/>
              <w:right w:type="dxa" w:w="120"/>
            </w:tcMar>
          </w:tcPr>
          <w:p>
            <w:pPr>
              <w:spacing w:after="0" w:before="0" w:line="220"/>
            </w:pPr>
            <w:r>
              <w:rPr>
                <w:rFonts w:ascii="Aptos" w:cs="Aptos" w:eastAsia="Aptos" w:hAnsi="Aptos"/>
                <w:sz w:val="17"/>
                <w:szCs w:val="17"/>
              </w:rPr>
              <w:t xml:space="preserve">Run memory</w:t>
            </w:r>
          </w:p>
        </w:tc>
        <w:tc>
          <w:tcPr>
            <w:tcW w:type="dxa" w:w="4700"/>
            <w:tcMar>
              <w:top w:type="dxa" w:w="90"/>
              <w:left w:type="dxa" w:w="120"/>
              <w:bottom w:type="dxa" w:w="90"/>
              <w:right w:type="dxa" w:w="120"/>
            </w:tcMar>
          </w:tcPr>
          <w:p>
            <w:pPr>
              <w:spacing w:after="0" w:before="0" w:line="220"/>
            </w:pPr>
            <w:r>
              <w:rPr>
                <w:rFonts w:ascii="Aptos" w:cs="Aptos" w:eastAsia="Aptos" w:hAnsi="Aptos"/>
                <w:sz w:val="17"/>
                <w:szCs w:val="17"/>
              </w:rPr>
              <w:t xml:space="preserve">Input snapshot, evidence, output, policy version, approver, later outcome.</w:t>
            </w:r>
          </w:p>
        </w:tc>
        <w:tc>
          <w:tcPr>
            <w:tcW w:type="dxa" w:w="2760"/>
            <w:tcMar>
              <w:top w:type="dxa" w:w="90"/>
              <w:left w:type="dxa" w:w="120"/>
              <w:bottom w:type="dxa" w:w="90"/>
              <w:right w:type="dxa" w:w="120"/>
            </w:tcMar>
          </w:tcPr>
          <w:p>
            <w:pPr>
              <w:spacing w:after="0" w:before="0" w:line="220"/>
            </w:pPr>
            <w:r>
              <w:rPr>
                <w:rFonts w:ascii="Aptos" w:cs="Aptos" w:eastAsia="Aptos" w:hAnsi="Aptos"/>
                <w:sz w:val="17"/>
                <w:szCs w:val="17"/>
              </w:rPr>
              <w:t xml:space="preserve">Immutable audit trail; retention/access policy.</w:t>
            </w:r>
          </w:p>
        </w:tc>
      </w:tr>
      <w:tr>
        <w:tc>
          <w:tcPr>
            <w:tcW w:type="dxa" w:w="1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Working context</w:t>
            </w:r>
          </w:p>
        </w:tc>
        <w:tc>
          <w:tcPr>
            <w:tcW w:type="dxa" w:w="47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Current plan, active tests, known incidents, launch calendar and temporary constraints.</w:t>
            </w:r>
          </w:p>
        </w:tc>
        <w:tc>
          <w:tcPr>
            <w:tcW w:type="dxa" w:w="27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Time-bound and owner-tagged; expires or is renewed.</w:t>
            </w:r>
          </w:p>
        </w:tc>
      </w:tr>
      <w:tr>
        <w:tc>
          <w:tcPr>
            <w:tcW w:type="dxa" w:w="1900"/>
            <w:tcMar>
              <w:top w:type="dxa" w:w="90"/>
              <w:left w:type="dxa" w:w="120"/>
              <w:bottom w:type="dxa" w:w="90"/>
              <w:right w:type="dxa" w:w="120"/>
            </w:tcMar>
          </w:tcPr>
          <w:p>
            <w:pPr>
              <w:spacing w:after="0" w:before="0" w:line="220"/>
            </w:pPr>
            <w:r>
              <w:rPr>
                <w:rFonts w:ascii="Aptos" w:cs="Aptos" w:eastAsia="Aptos" w:hAnsi="Aptos"/>
                <w:sz w:val="17"/>
                <w:szCs w:val="17"/>
              </w:rPr>
              <w:t xml:space="preserve">Learned heuristics</w:t>
            </w:r>
          </w:p>
        </w:tc>
        <w:tc>
          <w:tcPr>
            <w:tcW w:type="dxa" w:w="4700"/>
            <w:tcMar>
              <w:top w:type="dxa" w:w="90"/>
              <w:left w:type="dxa" w:w="120"/>
              <w:bottom w:type="dxa" w:w="90"/>
              <w:right w:type="dxa" w:w="120"/>
            </w:tcMar>
          </w:tcPr>
          <w:p>
            <w:pPr>
              <w:spacing w:after="0" w:before="0" w:line="220"/>
            </w:pPr>
            <w:r>
              <w:rPr>
                <w:rFonts w:ascii="Aptos" w:cs="Aptos" w:eastAsia="Aptos" w:hAnsi="Aptos"/>
                <w:sz w:val="17"/>
                <w:szCs w:val="17"/>
              </w:rPr>
              <w:t xml:space="preserve">Validated account-specific patterns, e.g. an attribution lag curve or audience threshold.</w:t>
            </w:r>
          </w:p>
        </w:tc>
        <w:tc>
          <w:tcPr>
            <w:tcW w:type="dxa" w:w="2760"/>
            <w:tcMar>
              <w:top w:type="dxa" w:w="90"/>
              <w:left w:type="dxa" w:w="120"/>
              <w:bottom w:type="dxa" w:w="90"/>
              <w:right w:type="dxa" w:w="120"/>
            </w:tcMar>
          </w:tcPr>
          <w:p>
            <w:pPr>
              <w:spacing w:after="0" w:before="0" w:line="220"/>
            </w:pPr>
            <w:r>
              <w:rPr>
                <w:rFonts w:ascii="Aptos" w:cs="Aptos" w:eastAsia="Aptos" w:hAnsi="Aptos"/>
                <w:sz w:val="17"/>
                <w:szCs w:val="17"/>
              </w:rPr>
              <w:t xml:space="preserve">Requires outcome review, support level, owner and expiry/revalidation date.</w:t>
            </w:r>
          </w:p>
        </w:tc>
      </w:tr>
      <w:tr>
        <w:tc>
          <w:tcPr>
            <w:tcW w:type="dxa" w:w="19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Policy memory</w:t>
            </w:r>
          </w:p>
        </w:tc>
        <w:tc>
          <w:tcPr>
            <w:tcW w:type="dxa" w:w="47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Approved interests, behaviors, exclusions, guardrails and prohibited segments.</w:t>
            </w:r>
          </w:p>
        </w:tc>
        <w:tc>
          <w:tcPr>
            <w:tcW w:type="dxa" w:w="27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Versioned by accountable owner; deterministic application.</w:t>
            </w:r>
          </w:p>
        </w:tc>
      </w:tr>
    </w:tbl>
    <w:p>
      <w:pPr>
        <w:spacing w:after="120" w:before="0" w:line="276"/>
      </w:pPr>
      <w:r>
        <w:rPr>
          <w:rFonts w:ascii="Aptos" w:cs="Aptos" w:eastAsia="Aptos" w:hAnsi="Aptos"/>
          <w:sz w:val="20"/>
          <w:szCs w:val="20"/>
        </w:rPr>
        <w:t xml:space="preserve">Do not retain unexplained model beliefs as durable truth. Feedback loops should record whether recommendations were accepted, executed, and what matured outcome occurred—while controlling for concurrent changes.</w:t>
      </w:r>
    </w:p>
    <w:p>
      <w:pPr>
        <w:pStyle w:val="Heading1"/>
        <w:keepNext/>
        <w:spacing w:after="110" w:before="360"/>
      </w:pPr>
      <w:r>
        <w:t xml:space="preserve">11. Functional requirements</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200"/>
        <w:gridCol w:w="6600"/>
        <w:gridCol w:w="1560"/>
      </w:tblGrid>
      <w:tr>
        <w:trPr>
          <w:tblHeader/>
        </w:trPr>
        <w:tc>
          <w:tcPr>
            <w:tcW w:type="dxa" w:w="12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ID</w:t>
            </w:r>
          </w:p>
        </w:tc>
        <w:tc>
          <w:tcPr>
            <w:tcW w:type="dxa" w:w="66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Requirement</w:t>
            </w:r>
          </w:p>
        </w:tc>
        <w:tc>
          <w:tcPr>
            <w:tcW w:type="dxa" w:w="15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Priority</w:t>
            </w:r>
          </w:p>
        </w:tc>
      </w:tr>
      <w:tr>
        <w:tc>
          <w:tcPr>
            <w:tcW w:type="dxa" w:w="1200"/>
            <w:tcMar>
              <w:top w:type="dxa" w:w="90"/>
              <w:left w:type="dxa" w:w="120"/>
              <w:bottom w:type="dxa" w:w="90"/>
              <w:right w:type="dxa" w:w="120"/>
            </w:tcMar>
          </w:tcPr>
          <w:p>
            <w:pPr>
              <w:spacing w:after="0" w:before="0" w:line="220"/>
            </w:pPr>
            <w:r>
              <w:rPr>
                <w:rFonts w:ascii="Aptos" w:cs="Aptos" w:eastAsia="Aptos" w:hAnsi="Aptos"/>
                <w:sz w:val="17"/>
                <w:szCs w:val="17"/>
              </w:rPr>
              <w:t xml:space="preserve">FR-01</w:t>
            </w:r>
          </w:p>
        </w:tc>
        <w:tc>
          <w:tcPr>
            <w:tcW w:type="dxa" w:w="6600"/>
            <w:tcMar>
              <w:top w:type="dxa" w:w="90"/>
              <w:left w:type="dxa" w:w="120"/>
              <w:bottom w:type="dxa" w:w="90"/>
              <w:right w:type="dxa" w:w="120"/>
            </w:tcMar>
          </w:tcPr>
          <w:p>
            <w:pPr>
              <w:spacing w:after="0" w:before="0" w:line="220"/>
            </w:pPr>
            <w:r>
              <w:rPr>
                <w:rFonts w:ascii="Aptos" w:cs="Aptos" w:eastAsia="Aptos" w:hAnsi="Aptos"/>
                <w:sz w:val="17"/>
                <w:szCs w:val="17"/>
              </w:rPr>
              <w:t xml:space="preserve">Ingest and normalize Meta, optional MMP and business data with lineage and freshness status.</w:t>
            </w:r>
          </w:p>
        </w:tc>
        <w:tc>
          <w:tcPr>
            <w:tcW w:type="dxa" w:w="1560"/>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FR-01a</w:t>
            </w:r>
          </w:p>
        </w:tc>
        <w:tc>
          <w:tcPr>
            <w:tcW w:type="dxa" w:w="6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Allow each account to toggle MMP data off, aggregate/API on, or granular export/warehouse-feed on without changing execution authority.</w:t>
            </w:r>
          </w:p>
        </w:tc>
        <w:tc>
          <w:tcPr>
            <w:tcW w:type="dxa" w:w="1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tcMar>
              <w:top w:type="dxa" w:w="90"/>
              <w:left w:type="dxa" w:w="120"/>
              <w:bottom w:type="dxa" w:w="90"/>
              <w:right w:type="dxa" w:w="120"/>
            </w:tcMar>
          </w:tcPr>
          <w:p>
            <w:pPr>
              <w:spacing w:after="0" w:before="0" w:line="220"/>
            </w:pPr>
            <w:r>
              <w:rPr>
                <w:rFonts w:ascii="Aptos" w:cs="Aptos" w:eastAsia="Aptos" w:hAnsi="Aptos"/>
                <w:sz w:val="17"/>
                <w:szCs w:val="17"/>
              </w:rPr>
              <w:t xml:space="preserve">FR-01b</w:t>
            </w:r>
          </w:p>
        </w:tc>
        <w:tc>
          <w:tcPr>
            <w:tcW w:type="dxa" w:w="6600"/>
            <w:tcMar>
              <w:top w:type="dxa" w:w="90"/>
              <w:left w:type="dxa" w:w="120"/>
              <w:bottom w:type="dxa" w:w="90"/>
              <w:right w:type="dxa" w:w="120"/>
            </w:tcMar>
          </w:tcPr>
          <w:p>
            <w:pPr>
              <w:spacing w:after="0" w:before="0" w:line="220"/>
            </w:pPr>
            <w:r>
              <w:rPr>
                <w:rFonts w:ascii="Aptos" w:cs="Aptos" w:eastAsia="Aptos" w:hAnsi="Aptos"/>
                <w:sz w:val="17"/>
                <w:szCs w:val="17"/>
              </w:rPr>
              <w:t xml:space="preserve">For MMP API/export feeds, capture configuration, freshness, schema version, extract completeness and attribution-window/model provenance.</w:t>
            </w:r>
          </w:p>
        </w:tc>
        <w:tc>
          <w:tcPr>
            <w:tcW w:type="dxa" w:w="1560"/>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FR-02</w:t>
            </w:r>
          </w:p>
        </w:tc>
        <w:tc>
          <w:tcPr>
            <w:tcW w:type="dxa" w:w="6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Generate a daily/weekly evidence-backed diagnostic brief and query-driven ad hoc analysis.</w:t>
            </w:r>
          </w:p>
        </w:tc>
        <w:tc>
          <w:tcPr>
            <w:tcW w:type="dxa" w:w="1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tcMar>
              <w:top w:type="dxa" w:w="90"/>
              <w:left w:type="dxa" w:w="120"/>
              <w:bottom w:type="dxa" w:w="90"/>
              <w:right w:type="dxa" w:w="120"/>
            </w:tcMar>
          </w:tcPr>
          <w:p>
            <w:pPr>
              <w:spacing w:after="0" w:before="0" w:line="220"/>
            </w:pPr>
            <w:r>
              <w:rPr>
                <w:rFonts w:ascii="Aptos" w:cs="Aptos" w:eastAsia="Aptos" w:hAnsi="Aptos"/>
                <w:sz w:val="17"/>
                <w:szCs w:val="17"/>
              </w:rPr>
              <w:t xml:space="preserve">FR-03</w:t>
            </w:r>
          </w:p>
        </w:tc>
        <w:tc>
          <w:tcPr>
            <w:tcW w:type="dxa" w:w="6600"/>
            <w:tcMar>
              <w:top w:type="dxa" w:w="90"/>
              <w:left w:type="dxa" w:w="120"/>
              <w:bottom w:type="dxa" w:w="90"/>
              <w:right w:type="dxa" w:w="120"/>
            </w:tcMar>
          </w:tcPr>
          <w:p>
            <w:pPr>
              <w:spacing w:after="0" w:before="0" w:line="220"/>
            </w:pPr>
            <w:r>
              <w:rPr>
                <w:rFonts w:ascii="Aptos" w:cs="Aptos" w:eastAsia="Aptos" w:hAnsi="Aptos"/>
                <w:sz w:val="17"/>
                <w:szCs w:val="17"/>
              </w:rPr>
              <w:t xml:space="preserve">Apply versioned deterministic targeting, exclusions, structure and budget guardrails.</w:t>
            </w:r>
          </w:p>
        </w:tc>
        <w:tc>
          <w:tcPr>
            <w:tcW w:type="dxa" w:w="1560"/>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FR-04</w:t>
            </w:r>
          </w:p>
        </w:tc>
        <w:tc>
          <w:tcPr>
            <w:tcW w:type="dxa" w:w="6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Produce output conforming to Observation → Evidence → Diagnosis → Confidence → Recommendation.</w:t>
            </w:r>
          </w:p>
        </w:tc>
        <w:tc>
          <w:tcPr>
            <w:tcW w:type="dxa" w:w="1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tcMar>
              <w:top w:type="dxa" w:w="90"/>
              <w:left w:type="dxa" w:w="120"/>
              <w:bottom w:type="dxa" w:w="90"/>
              <w:right w:type="dxa" w:w="120"/>
            </w:tcMar>
          </w:tcPr>
          <w:p>
            <w:pPr>
              <w:spacing w:after="0" w:before="0" w:line="220"/>
            </w:pPr>
            <w:r>
              <w:rPr>
                <w:rFonts w:ascii="Aptos" w:cs="Aptos" w:eastAsia="Aptos" w:hAnsi="Aptos"/>
                <w:sz w:val="17"/>
                <w:szCs w:val="17"/>
              </w:rPr>
              <w:t xml:space="preserve">FR-05</w:t>
            </w:r>
          </w:p>
        </w:tc>
        <w:tc>
          <w:tcPr>
            <w:tcW w:type="dxa" w:w="6600"/>
            <w:tcMar>
              <w:top w:type="dxa" w:w="90"/>
              <w:left w:type="dxa" w:w="120"/>
              <w:bottom w:type="dxa" w:w="90"/>
              <w:right w:type="dxa" w:w="120"/>
            </w:tcMar>
          </w:tcPr>
          <w:p>
            <w:pPr>
              <w:spacing w:after="0" w:before="0" w:line="220"/>
            </w:pPr>
            <w:r>
              <w:rPr>
                <w:rFonts w:ascii="Aptos" w:cs="Aptos" w:eastAsia="Aptos" w:hAnsi="Aptos"/>
                <w:sz w:val="17"/>
                <w:szCs w:val="17"/>
              </w:rPr>
              <w:t xml:space="preserve">Surface deep-link funnel diagnostics and route likely non-marketing failures.</w:t>
            </w:r>
          </w:p>
        </w:tc>
        <w:tc>
          <w:tcPr>
            <w:tcW w:type="dxa" w:w="1560"/>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FR-06</w:t>
            </w:r>
          </w:p>
        </w:tc>
        <w:tc>
          <w:tcPr>
            <w:tcW w:type="dxa" w:w="6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Provide human review, exportable planning plan and complete audit history; no execution path.</w:t>
            </w:r>
          </w:p>
        </w:tc>
        <w:tc>
          <w:tcPr>
            <w:tcW w:type="dxa" w:w="1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P0</w:t>
            </w:r>
          </w:p>
        </w:tc>
      </w:tr>
      <w:tr>
        <w:tc>
          <w:tcPr>
            <w:tcW w:type="dxa" w:w="1200"/>
            <w:tcMar>
              <w:top w:type="dxa" w:w="90"/>
              <w:left w:type="dxa" w:w="120"/>
              <w:bottom w:type="dxa" w:w="90"/>
              <w:right w:type="dxa" w:w="120"/>
            </w:tcMar>
          </w:tcPr>
          <w:p>
            <w:pPr>
              <w:spacing w:after="0" w:before="0" w:line="220"/>
            </w:pPr>
            <w:r>
              <w:rPr>
                <w:rFonts w:ascii="Aptos" w:cs="Aptos" w:eastAsia="Aptos" w:hAnsi="Aptos"/>
                <w:sz w:val="17"/>
                <w:szCs w:val="17"/>
              </w:rPr>
              <w:t xml:space="preserve">FR-07</w:t>
            </w:r>
          </w:p>
        </w:tc>
        <w:tc>
          <w:tcPr>
            <w:tcW w:type="dxa" w:w="6600"/>
            <w:tcMar>
              <w:top w:type="dxa" w:w="90"/>
              <w:left w:type="dxa" w:w="120"/>
              <w:bottom w:type="dxa" w:w="90"/>
              <w:right w:type="dxa" w:w="120"/>
            </w:tcMar>
          </w:tcPr>
          <w:p>
            <w:pPr>
              <w:spacing w:after="0" w:before="0" w:line="220"/>
            </w:pPr>
            <w:r>
              <w:rPr>
                <w:rFonts w:ascii="Aptos" w:cs="Aptos" w:eastAsia="Aptos" w:hAnsi="Aptos"/>
                <w:sz w:val="17"/>
                <w:szCs w:val="17"/>
              </w:rPr>
              <w:t xml:space="preserve">Track recommendation outcomes and support validated, reviewable learning.</w:t>
            </w:r>
          </w:p>
        </w:tc>
        <w:tc>
          <w:tcPr>
            <w:tcW w:type="dxa" w:w="1560"/>
            <w:tcMar>
              <w:top w:type="dxa" w:w="90"/>
              <w:left w:type="dxa" w:w="120"/>
              <w:bottom w:type="dxa" w:w="90"/>
              <w:right w:type="dxa" w:w="120"/>
            </w:tcMar>
          </w:tcPr>
          <w:p>
            <w:pPr>
              <w:spacing w:after="0" w:before="0" w:line="220"/>
            </w:pPr>
            <w:r>
              <w:rPr>
                <w:rFonts w:ascii="Aptos" w:cs="Aptos" w:eastAsia="Aptos" w:hAnsi="Aptos"/>
                <w:sz w:val="17"/>
                <w:szCs w:val="17"/>
              </w:rPr>
              <w:t xml:space="preserve">P1</w:t>
            </w:r>
          </w:p>
        </w:tc>
      </w:tr>
      <w:tr>
        <w:tc>
          <w:tcPr>
            <w:tcW w:type="dxa" w:w="12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FR-08</w:t>
            </w:r>
          </w:p>
        </w:tc>
        <w:tc>
          <w:tcPr>
            <w:tcW w:type="dxa" w:w="66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Support causal-test references and channel-context annotations.</w:t>
            </w:r>
          </w:p>
        </w:tc>
        <w:tc>
          <w:tcPr>
            <w:tcW w:type="dxa" w:w="15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P1</w:t>
            </w:r>
          </w:p>
        </w:tc>
      </w:tr>
    </w:tbl>
    <w:p>
      <w:pPr>
        <w:pStyle w:val="Heading2"/>
        <w:keepNext/>
        <w:spacing w:after="110" w:before="240"/>
      </w:pPr>
      <w:r>
        <w:t xml:space="preserve">11.1 Non-functional requirements</w:t>
      </w:r>
    </w:p>
    <w:p>
      <w:pPr>
        <w:pStyle w:val="ListParagraph"/>
        <w:numPr>
          <w:ilvl w:val="0"/>
          <w:numId w:val="2"/>
        </w:numPr>
        <w:spacing w:after="55" w:line="260"/>
      </w:pPr>
      <w:r>
        <w:t xml:space="preserve">Security: least-privilege, read-only scopes, secret isolation, role-based access and data minimization.</w:t>
      </w:r>
    </w:p>
    <w:p>
      <w:pPr>
        <w:pStyle w:val="ListParagraph"/>
        <w:numPr>
          <w:ilvl w:val="0"/>
          <w:numId w:val="2"/>
        </w:numPr>
        <w:spacing w:after="55" w:line="260"/>
      </w:pPr>
      <w:r>
        <w:t xml:space="preserve">Reliability: source freshness SLAs, retry/replay, schema drift alerts and graceful partial-data responses.</w:t>
      </w:r>
    </w:p>
    <w:p>
      <w:pPr>
        <w:pStyle w:val="ListParagraph"/>
        <w:numPr>
          <w:ilvl w:val="0"/>
          <w:numId w:val="2"/>
        </w:numPr>
        <w:spacing w:after="55" w:line="260"/>
      </w:pPr>
      <w:r>
        <w:t xml:space="preserve">Explainability: every material claim traceable to source, query/transform version, window and policy version.</w:t>
      </w:r>
    </w:p>
    <w:p>
      <w:pPr>
        <w:pStyle w:val="ListParagraph"/>
        <w:numPr>
          <w:ilvl w:val="0"/>
          <w:numId w:val="2"/>
        </w:numPr>
        <w:spacing w:after="55" w:line="260"/>
      </w:pPr>
      <w:r>
        <w:t xml:space="preserve">Performance: daily briefs available after data maturity; interactive drill-down within agreed product SLA.</w:t>
      </w:r>
    </w:p>
    <w:p>
      <w:pPr>
        <w:pStyle w:val="ListParagraph"/>
        <w:numPr>
          <w:ilvl w:val="0"/>
          <w:numId w:val="2"/>
        </w:numPr>
        <w:spacing w:after="55" w:line="260"/>
      </w:pPr>
      <w:r>
        <w:t xml:space="preserve">Governance: audit logs, configurable retention, approval ownership and change management for policy/model prompts.</w:t>
      </w:r>
    </w:p>
    <w:p>
      <w:pPr>
        <w:pStyle w:val="Heading1"/>
        <w:keepNext/>
        <w:spacing w:after="110" w:before="360"/>
      </w:pPr>
      <w:r>
        <w:t xml:space="preserve">12. Evaluation and quality assurance</w:t>
      </w:r>
    </w:p>
    <w:p>
      <w:pPr>
        <w:spacing w:after="120" w:before="0" w:line="276"/>
      </w:pPr>
      <w:r>
        <w:rPr>
          <w:rFonts w:ascii="Aptos" w:cs="Aptos" w:eastAsia="Aptos" w:hAnsi="Aptos"/>
          <w:sz w:val="20"/>
          <w:szCs w:val="20"/>
        </w:rPr>
        <w:t xml:space="preserve">Evaluation must measure whether the agent improves decision quality, not merely whether it writes plausible narratives. Build a labeled evaluation set from historical incidents, planned changes and known measurement issues.</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150"/>
        <w:gridCol w:w="4000"/>
        <w:gridCol w:w="3210"/>
      </w:tblGrid>
      <w:tr>
        <w:trPr>
          <w:tblHeader/>
        </w:trPr>
        <w:tc>
          <w:tcPr>
            <w:tcW w:type="dxa" w:w="21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Evaluation dimension</w:t>
            </w:r>
          </w:p>
        </w:tc>
        <w:tc>
          <w:tcPr>
            <w:tcW w:type="dxa" w:w="40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Method</w:t>
            </w:r>
          </w:p>
        </w:tc>
        <w:tc>
          <w:tcPr>
            <w:tcW w:type="dxa" w:w="321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Success signal</w:t>
            </w:r>
          </w:p>
        </w:tc>
      </w:tr>
      <w:tr>
        <w:tc>
          <w:tcPr>
            <w:tcW w:type="dxa" w:w="2150"/>
            <w:tcMar>
              <w:top w:type="dxa" w:w="90"/>
              <w:left w:type="dxa" w:w="120"/>
              <w:bottom w:type="dxa" w:w="90"/>
              <w:right w:type="dxa" w:w="120"/>
            </w:tcMar>
          </w:tcPr>
          <w:p>
            <w:pPr>
              <w:spacing w:after="0" w:before="0" w:line="220"/>
            </w:pPr>
            <w:r>
              <w:rPr>
                <w:rFonts w:ascii="Aptos" w:cs="Aptos" w:eastAsia="Aptos" w:hAnsi="Aptos"/>
                <w:sz w:val="17"/>
                <w:szCs w:val="17"/>
              </w:rPr>
              <w:t xml:space="preserve">Evidence fidelity</w:t>
            </w:r>
          </w:p>
        </w:tc>
        <w:tc>
          <w:tcPr>
            <w:tcW w:type="dxa" w:w="4000"/>
            <w:tcMar>
              <w:top w:type="dxa" w:w="90"/>
              <w:left w:type="dxa" w:w="120"/>
              <w:bottom w:type="dxa" w:w="90"/>
              <w:right w:type="dxa" w:w="120"/>
            </w:tcMar>
          </w:tcPr>
          <w:p>
            <w:pPr>
              <w:spacing w:after="0" w:before="0" w:line="220"/>
            </w:pPr>
            <w:r>
              <w:rPr>
                <w:rFonts w:ascii="Aptos" w:cs="Aptos" w:eastAsia="Aptos" w:hAnsi="Aptos"/>
                <w:sz w:val="17"/>
                <w:szCs w:val="17"/>
              </w:rPr>
              <w:t xml:space="preserve">Human audit of citations, numbers, windows and source-of-truth selection.</w:t>
            </w:r>
          </w:p>
        </w:tc>
        <w:tc>
          <w:tcPr>
            <w:tcW w:type="dxa" w:w="3210"/>
            <w:tcMar>
              <w:top w:type="dxa" w:w="90"/>
              <w:left w:type="dxa" w:w="120"/>
              <w:bottom w:type="dxa" w:w="90"/>
              <w:right w:type="dxa" w:w="120"/>
            </w:tcMar>
          </w:tcPr>
          <w:p>
            <w:pPr>
              <w:spacing w:after="0" w:before="0" w:line="220"/>
            </w:pPr>
            <w:r>
              <w:rPr>
                <w:rFonts w:ascii="Aptos" w:cs="Aptos" w:eastAsia="Aptos" w:hAnsi="Aptos"/>
                <w:sz w:val="17"/>
                <w:szCs w:val="17"/>
              </w:rPr>
              <w:t xml:space="preserve">No unsupported material claims; traceability passes.</w:t>
            </w:r>
          </w:p>
        </w:tc>
      </w:tr>
      <w:tr>
        <w:tc>
          <w:tcPr>
            <w:tcW w:type="dxa" w:w="21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Diagnostic calibration</w:t>
            </w:r>
          </w:p>
        </w:tc>
        <w:tc>
          <w:tcPr>
            <w:tcW w:type="dxa" w:w="40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Compare ranked hypotheses / confidence against post-mortem or experiment labels.</w:t>
            </w:r>
          </w:p>
        </w:tc>
        <w:tc>
          <w:tcPr>
            <w:tcW w:type="dxa" w:w="32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Confidence aligns with observed accuracy; uncertainty raised appropriately.</w:t>
            </w:r>
          </w:p>
        </w:tc>
      </w:tr>
      <w:tr>
        <w:tc>
          <w:tcPr>
            <w:tcW w:type="dxa" w:w="2150"/>
            <w:tcMar>
              <w:top w:type="dxa" w:w="90"/>
              <w:left w:type="dxa" w:w="120"/>
              <w:bottom w:type="dxa" w:w="90"/>
              <w:right w:type="dxa" w:w="120"/>
            </w:tcMar>
          </w:tcPr>
          <w:p>
            <w:pPr>
              <w:spacing w:after="0" w:before="0" w:line="220"/>
            </w:pPr>
            <w:r>
              <w:rPr>
                <w:rFonts w:ascii="Aptos" w:cs="Aptos" w:eastAsia="Aptos" w:hAnsi="Aptos"/>
                <w:sz w:val="17"/>
                <w:szCs w:val="17"/>
              </w:rPr>
              <w:t xml:space="preserve">Policy correctness</w:t>
            </w:r>
          </w:p>
        </w:tc>
        <w:tc>
          <w:tcPr>
            <w:tcW w:type="dxa" w:w="4000"/>
            <w:tcMar>
              <w:top w:type="dxa" w:w="90"/>
              <w:left w:type="dxa" w:w="120"/>
              <w:bottom w:type="dxa" w:w="90"/>
              <w:right w:type="dxa" w:w="120"/>
            </w:tcMar>
          </w:tcPr>
          <w:p>
            <w:pPr>
              <w:spacing w:after="0" w:before="0" w:line="220"/>
            </w:pPr>
            <w:r>
              <w:rPr>
                <w:rFonts w:ascii="Aptos" w:cs="Aptos" w:eastAsia="Aptos" w:hAnsi="Aptos"/>
                <w:sz w:val="17"/>
                <w:szCs w:val="17"/>
              </w:rPr>
              <w:t xml:space="preserve">Unit tests over targeting inputs and adversarial policy cases.</w:t>
            </w:r>
          </w:p>
        </w:tc>
        <w:tc>
          <w:tcPr>
            <w:tcW w:type="dxa" w:w="3210"/>
            <w:tcMar>
              <w:top w:type="dxa" w:w="90"/>
              <w:left w:type="dxa" w:w="120"/>
              <w:bottom w:type="dxa" w:w="90"/>
              <w:right w:type="dxa" w:w="120"/>
            </w:tcMar>
          </w:tcPr>
          <w:p>
            <w:pPr>
              <w:spacing w:after="0" w:before="0" w:line="220"/>
            </w:pPr>
            <w:r>
              <w:rPr>
                <w:rFonts w:ascii="Aptos" w:cs="Aptos" w:eastAsia="Aptos" w:hAnsi="Aptos"/>
                <w:sz w:val="17"/>
                <w:szCs w:val="17"/>
              </w:rPr>
              <w:t xml:space="preserve">No invalid inclusions, exclusions or prohibited structures.</w:t>
            </w:r>
          </w:p>
        </w:tc>
      </w:tr>
      <w:tr>
        <w:tc>
          <w:tcPr>
            <w:tcW w:type="dxa" w:w="21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Recommendation utility</w:t>
            </w:r>
          </w:p>
        </w:tc>
        <w:tc>
          <w:tcPr>
            <w:tcW w:type="dxa" w:w="40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Marketer review and outcome tracking.</w:t>
            </w:r>
          </w:p>
        </w:tc>
        <w:tc>
          <w:tcPr>
            <w:tcW w:type="dxa" w:w="32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Useful, actionable plans with reduced analysis time; no unsafe advice.</w:t>
            </w:r>
          </w:p>
        </w:tc>
      </w:tr>
      <w:tr>
        <w:tc>
          <w:tcPr>
            <w:tcW w:type="dxa" w:w="2150"/>
            <w:tcMar>
              <w:top w:type="dxa" w:w="90"/>
              <w:left w:type="dxa" w:w="120"/>
              <w:bottom w:type="dxa" w:w="90"/>
              <w:right w:type="dxa" w:w="120"/>
            </w:tcMar>
          </w:tcPr>
          <w:p>
            <w:pPr>
              <w:spacing w:after="0" w:before="0" w:line="220"/>
            </w:pPr>
            <w:r>
              <w:rPr>
                <w:rFonts w:ascii="Aptos" w:cs="Aptos" w:eastAsia="Aptos" w:hAnsi="Aptos"/>
                <w:sz w:val="17"/>
                <w:szCs w:val="17"/>
              </w:rPr>
              <w:t xml:space="preserve">Failure routing</w:t>
            </w:r>
          </w:p>
        </w:tc>
        <w:tc>
          <w:tcPr>
            <w:tcW w:type="dxa" w:w="4000"/>
            <w:tcMar>
              <w:top w:type="dxa" w:w="90"/>
              <w:left w:type="dxa" w:w="120"/>
              <w:bottom w:type="dxa" w:w="90"/>
              <w:right w:type="dxa" w:w="120"/>
            </w:tcMar>
          </w:tcPr>
          <w:p>
            <w:pPr>
              <w:spacing w:after="0" w:before="0" w:line="220"/>
            </w:pPr>
            <w:r>
              <w:rPr>
                <w:rFonts w:ascii="Aptos" w:cs="Aptos" w:eastAsia="Aptos" w:hAnsi="Aptos"/>
                <w:sz w:val="17"/>
                <w:szCs w:val="17"/>
              </w:rPr>
              <w:t xml:space="preserve">Seed incidents in product, measurement and operations data.</w:t>
            </w:r>
          </w:p>
        </w:tc>
        <w:tc>
          <w:tcPr>
            <w:tcW w:type="dxa" w:w="3210"/>
            <w:tcMar>
              <w:top w:type="dxa" w:w="90"/>
              <w:left w:type="dxa" w:w="120"/>
              <w:bottom w:type="dxa" w:w="90"/>
              <w:right w:type="dxa" w:w="120"/>
            </w:tcMar>
          </w:tcPr>
          <w:p>
            <w:pPr>
              <w:spacing w:after="0" w:before="0" w:line="220"/>
            </w:pPr>
            <w:r>
              <w:rPr>
                <w:rFonts w:ascii="Aptos" w:cs="Aptos" w:eastAsia="Aptos" w:hAnsi="Aptos"/>
                <w:sz w:val="17"/>
                <w:szCs w:val="17"/>
              </w:rPr>
              <w:t xml:space="preserve">Correctly avoids marketing-only explanation; routes owner and hold action.</w:t>
            </w:r>
          </w:p>
        </w:tc>
      </w:tr>
      <w:tr>
        <w:tc>
          <w:tcPr>
            <w:tcW w:type="dxa" w:w="21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Regression safety</w:t>
            </w:r>
          </w:p>
        </w:tc>
        <w:tc>
          <w:tcPr>
            <w:tcW w:type="dxa" w:w="40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Golden runs against versioned snapshots.</w:t>
            </w:r>
          </w:p>
        </w:tc>
        <w:tc>
          <w:tcPr>
            <w:tcW w:type="dxa" w:w="32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Changes are reviewed before release; outputs remain auditable.</w:t>
            </w:r>
          </w:p>
        </w:tc>
      </w:tr>
    </w:tbl>
    <w:p>
      <w:pPr>
        <w:pStyle w:val="Heading2"/>
        <w:keepNext/>
        <w:spacing w:after="110" w:before="240"/>
      </w:pPr>
      <w:r>
        <w:t xml:space="preserve">12.1 Evaluation scenarios</w:t>
      </w:r>
    </w:p>
    <w:p>
      <w:pPr>
        <w:pStyle w:val="ListParagraph"/>
        <w:numPr>
          <w:ilvl w:val="0"/>
          <w:numId w:val="2"/>
        </w:numPr>
        <w:spacing w:after="55" w:line="260"/>
      </w:pPr>
      <w:r>
        <w:t xml:space="preserve">Stable delivery but broken deep links on one OS version.</w:t>
      </w:r>
    </w:p>
    <w:p>
      <w:pPr>
        <w:pStyle w:val="ListParagraph"/>
        <w:numPr>
          <w:ilvl w:val="0"/>
          <w:numId w:val="2"/>
        </w:numPr>
        <w:spacing w:after="55" w:line="260"/>
      </w:pPr>
      <w:r>
        <w:t xml:space="preserve">Rising spend and frequency with declining marginal contribution, but steady blended ROAS.</w:t>
      </w:r>
    </w:p>
    <w:p>
      <w:pPr>
        <w:pStyle w:val="ListParagraph"/>
        <w:numPr>
          <w:ilvl w:val="0"/>
          <w:numId w:val="2"/>
        </w:numPr>
        <w:spacing w:after="55" w:line="260"/>
      </w:pPr>
      <w:r>
        <w:t xml:space="preserve">Meta clicks stable while MMP attribution drops after a window/model configuration change.</w:t>
      </w:r>
    </w:p>
    <w:p>
      <w:pPr>
        <w:pStyle w:val="ListParagraph"/>
        <w:numPr>
          <w:ilvl w:val="0"/>
          <w:numId w:val="2"/>
        </w:numPr>
        <w:spacing w:after="55" w:line="260"/>
      </w:pPr>
      <w:r>
        <w:t xml:space="preserve">Conversion decline driven by inventory stockout or checkout incident.</w:t>
      </w:r>
    </w:p>
    <w:p>
      <w:pPr>
        <w:pStyle w:val="ListParagraph"/>
        <w:numPr>
          <w:ilvl w:val="0"/>
          <w:numId w:val="2"/>
        </w:numPr>
        <w:spacing w:after="55" w:line="260"/>
      </w:pPr>
      <w:r>
        <w:t xml:space="preserve">Audience overlap and narrow geo causing learning instability.</w:t>
      </w:r>
    </w:p>
    <w:p>
      <w:pPr>
        <w:pStyle w:val="ListParagraph"/>
        <w:numPr>
          <w:ilvl w:val="0"/>
          <w:numId w:val="2"/>
        </w:numPr>
        <w:spacing w:after="55" w:line="260"/>
      </w:pPr>
      <w:r>
        <w:t xml:space="preserve">Conflicting Meta and business revenue due to refund timing and cohort maturity.</w:t>
      </w:r>
    </w:p>
    <w:p>
      <w:pPr>
        <w:pStyle w:val="Heading1"/>
        <w:keepNext/>
        <w:spacing w:after="110" w:before="360"/>
      </w:pPr>
      <w:r>
        <w:t xml:space="preserve">13. V1 delivery plan and example flows</w:t>
      </w:r>
    </w:p>
    <w:p>
      <w:pPr>
        <w:pStyle w:val="Heading2"/>
        <w:keepNext/>
        <w:spacing w:after="110" w:before="240"/>
      </w:pPr>
      <w:r>
        <w:t xml:space="preserve">13.1 Suggested V1 sequence</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1850"/>
        <w:gridCol w:w="4650"/>
        <w:gridCol w:w="2860"/>
      </w:tblGrid>
      <w:tr>
        <w:trPr>
          <w:tblHeader/>
        </w:trPr>
        <w:tc>
          <w:tcPr>
            <w:tcW w:type="dxa" w:w="18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Phase</w:t>
            </w:r>
          </w:p>
        </w:tc>
        <w:tc>
          <w:tcPr>
            <w:tcW w:type="dxa" w:w="46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Deliverable</w:t>
            </w:r>
          </w:p>
        </w:tc>
        <w:tc>
          <w:tcPr>
            <w:tcW w:type="dxa" w:w="286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Exit criteria</w:t>
            </w:r>
          </w:p>
        </w:tc>
      </w:tr>
      <w:tr>
        <w:tc>
          <w:tcPr>
            <w:tcW w:type="dxa" w:w="1850"/>
            <w:tcMar>
              <w:top w:type="dxa" w:w="90"/>
              <w:left w:type="dxa" w:w="120"/>
              <w:bottom w:type="dxa" w:w="90"/>
              <w:right w:type="dxa" w:w="120"/>
            </w:tcMar>
          </w:tcPr>
          <w:p>
            <w:pPr>
              <w:spacing w:after="0" w:before="0" w:line="220"/>
            </w:pPr>
            <w:r>
              <w:rPr>
                <w:rFonts w:ascii="Aptos" w:cs="Aptos" w:eastAsia="Aptos" w:hAnsi="Aptos"/>
                <w:sz w:val="17"/>
                <w:szCs w:val="17"/>
              </w:rPr>
              <w:t xml:space="preserve">Foundation</w:t>
            </w:r>
          </w:p>
        </w:tc>
        <w:tc>
          <w:tcPr>
            <w:tcW w:type="dxa" w:w="4650"/>
            <w:tcMar>
              <w:top w:type="dxa" w:w="90"/>
              <w:left w:type="dxa" w:w="120"/>
              <w:bottom w:type="dxa" w:w="90"/>
              <w:right w:type="dxa" w:w="120"/>
            </w:tcMar>
          </w:tcPr>
          <w:p>
            <w:pPr>
              <w:spacing w:after="0" w:before="0" w:line="220"/>
            </w:pPr>
            <w:r>
              <w:rPr>
                <w:rFonts w:ascii="Aptos" w:cs="Aptos" w:eastAsia="Aptos" w:hAnsi="Aptos"/>
                <w:sz w:val="17"/>
                <w:szCs w:val="17"/>
              </w:rPr>
              <w:t xml:space="preserve">Metric dictionary, entity mapping, data connectors, freshness/reconciliation dashboard, policy schema.</w:t>
            </w:r>
          </w:p>
        </w:tc>
        <w:tc>
          <w:tcPr>
            <w:tcW w:type="dxa" w:w="2860"/>
            <w:tcMar>
              <w:top w:type="dxa" w:w="90"/>
              <w:left w:type="dxa" w:w="120"/>
              <w:bottom w:type="dxa" w:w="90"/>
              <w:right w:type="dxa" w:w="120"/>
            </w:tcMar>
          </w:tcPr>
          <w:p>
            <w:pPr>
              <w:spacing w:after="0" w:before="0" w:line="220"/>
            </w:pPr>
            <w:r>
              <w:rPr>
                <w:rFonts w:ascii="Aptos" w:cs="Aptos" w:eastAsia="Aptos" w:hAnsi="Aptos"/>
                <w:sz w:val="17"/>
                <w:szCs w:val="17"/>
              </w:rPr>
              <w:t xml:space="preserve">Approved definitions, mapped IDs, source quality gates pass.</w:t>
            </w:r>
          </w:p>
        </w:tc>
      </w:tr>
      <w:tr>
        <w:tc>
          <w:tcPr>
            <w:tcW w:type="dxa" w:w="18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Core diagnosis</w:t>
            </w:r>
          </w:p>
        </w:tc>
        <w:tc>
          <w:tcPr>
            <w:tcW w:type="dxa" w:w="46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Funnel decision tree, evidence bundles, deep-link checks, external-failure routing.</w:t>
            </w:r>
          </w:p>
        </w:tc>
        <w:tc>
          <w:tcPr>
            <w:tcW w:type="dxa" w:w="28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Historical backtests and reviewer audit meet fidelity threshold.</w:t>
            </w:r>
          </w:p>
        </w:tc>
      </w:tr>
      <w:tr>
        <w:tc>
          <w:tcPr>
            <w:tcW w:type="dxa" w:w="1850"/>
            <w:tcMar>
              <w:top w:type="dxa" w:w="90"/>
              <w:left w:type="dxa" w:w="120"/>
              <w:bottom w:type="dxa" w:w="90"/>
              <w:right w:type="dxa" w:w="120"/>
            </w:tcMar>
          </w:tcPr>
          <w:p>
            <w:pPr>
              <w:spacing w:after="0" w:before="0" w:line="220"/>
            </w:pPr>
            <w:r>
              <w:rPr>
                <w:rFonts w:ascii="Aptos" w:cs="Aptos" w:eastAsia="Aptos" w:hAnsi="Aptos"/>
                <w:sz w:val="17"/>
                <w:szCs w:val="17"/>
              </w:rPr>
              <w:t xml:space="preserve">Planning</w:t>
            </w:r>
          </w:p>
        </w:tc>
        <w:tc>
          <w:tcPr>
            <w:tcW w:type="dxa" w:w="4650"/>
            <w:tcMar>
              <w:top w:type="dxa" w:w="90"/>
              <w:left w:type="dxa" w:w="120"/>
              <w:bottom w:type="dxa" w:w="90"/>
              <w:right w:type="dxa" w:w="120"/>
            </w:tcMar>
          </w:tcPr>
          <w:p>
            <w:pPr>
              <w:spacing w:after="0" w:before="0" w:line="220"/>
            </w:pPr>
            <w:r>
              <w:rPr>
                <w:rFonts w:ascii="Aptos" w:cs="Aptos" w:eastAsia="Aptos" w:hAnsi="Aptos"/>
                <w:sz w:val="17"/>
                <w:szCs w:val="17"/>
              </w:rPr>
              <w:t xml:space="preserve">Deterministic targeting-plan compiler, budget/structure guardrails and review UI.</w:t>
            </w:r>
          </w:p>
        </w:tc>
        <w:tc>
          <w:tcPr>
            <w:tcW w:type="dxa" w:w="2860"/>
            <w:tcMar>
              <w:top w:type="dxa" w:w="90"/>
              <w:left w:type="dxa" w:w="120"/>
              <w:bottom w:type="dxa" w:w="90"/>
              <w:right w:type="dxa" w:w="120"/>
            </w:tcMar>
          </w:tcPr>
          <w:p>
            <w:pPr>
              <w:spacing w:after="0" w:before="0" w:line="220"/>
            </w:pPr>
            <w:r>
              <w:rPr>
                <w:rFonts w:ascii="Aptos" w:cs="Aptos" w:eastAsia="Aptos" w:hAnsi="Aptos"/>
                <w:sz w:val="17"/>
                <w:szCs w:val="17"/>
              </w:rPr>
              <w:t xml:space="preserve">Policy test suite passes; no execution credentials exist.</w:t>
            </w:r>
          </w:p>
        </w:tc>
      </w:tr>
      <w:tr>
        <w:tc>
          <w:tcPr>
            <w:tcW w:type="dxa" w:w="18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Learning + evals</w:t>
            </w:r>
          </w:p>
        </w:tc>
        <w:tc>
          <w:tcPr>
            <w:tcW w:type="dxa" w:w="46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Outcome review workflow, evaluation harness and controlled learned heuristics.</w:t>
            </w:r>
          </w:p>
        </w:tc>
        <w:tc>
          <w:tcPr>
            <w:tcW w:type="dxa" w:w="286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Calibration and utility targets met over a representative review period.</w:t>
            </w:r>
          </w:p>
        </w:tc>
      </w:tr>
    </w:tbl>
    <w:p>
      <w:pPr>
        <w:pStyle w:val="Heading2"/>
        <w:keepNext/>
        <w:spacing w:after="110" w:before="240"/>
      </w:pPr>
      <w:r>
        <w:t xml:space="preserve">13.2 Example flow: CPA increase</w:t>
      </w:r>
    </w:p>
    <w:p>
      <w:pPr>
        <w:spacing w:after="120" w:before="0" w:line="276"/>
      </w:pPr>
      <w:r>
        <w:rPr>
          <w:rFonts w:ascii="Aptos" w:cs="Aptos" w:eastAsia="Aptos" w:hAnsi="Aptos"/>
          <w:sz w:val="20"/>
          <w:szCs w:val="20"/>
        </w:rPr>
        <w:t xml:space="preserve">Observation: 7-day purchase CPA increased 23% against the preceding comparable week. Evidence: Meta spend and reach increased; CPM rose 8%; outbound CTR remained stable; MMP deep-link resolution and app opens are stable; business purchase conversion fell on Android 14 after an app release; refund data remains immature. Diagnosis: a product/app conversion issue is the leading hypothesis (medium confidence), not targeting. Recommendation: hold major targeting changes; route Android release investigation to product; isolate the affected segment for monitoring; reassess after 48 hours of matured data.</w:t>
      </w:r>
    </w:p>
    <w:p>
      <w:pPr>
        <w:pStyle w:val="Heading2"/>
        <w:keepNext/>
        <w:spacing w:after="110" w:before="240"/>
      </w:pPr>
      <w:r>
        <w:t xml:space="preserve">13.3 Example flow: saturation risk</w:t>
      </w:r>
    </w:p>
    <w:p>
      <w:pPr>
        <w:spacing w:after="120" w:before="0" w:line="276"/>
      </w:pPr>
      <w:r>
        <w:rPr>
          <w:rFonts w:ascii="Aptos" w:cs="Aptos" w:eastAsia="Aptos" w:hAnsi="Aptos"/>
          <w:sz w:val="20"/>
          <w:szCs w:val="20"/>
        </w:rPr>
        <w:t xml:space="preserve">Observation: Prospecting spend rose 35% over 28 days while incremental reach flattened, frequency distribution shifted upward, CPM rose and marginal contribution deteriorated. Evidence: no relevant app, inventory or measurement incident; audience overlap is above the policy warning threshold; CTR decay is concentrated in long-running ads. Diagnosis: audience saturation / overlap is likely and creative fatigue is a plausible contributor (medium confidence). Recommendation: propose policy-valid audience expansion or segmentation, reduce overlap, preserve a holdout where feasible, and test new creative hooks; do not declare creative as the root cause.</w:t>
      </w:r>
    </w:p>
    <w:p>
      <w:pPr>
        <w:pStyle w:val="Heading1"/>
        <w:keepNext/>
        <w:spacing w:after="110" w:before="360"/>
      </w:pPr>
      <w:r>
        <w:t xml:space="preserve">14. Edge cases and open questions</w:t>
      </w:r>
    </w:p>
    <w:p>
      <w:pPr>
        <w:pStyle w:val="Heading2"/>
        <w:keepNext/>
        <w:spacing w:after="110" w:before="240"/>
      </w:pPr>
      <w:r>
        <w:t xml:space="preserve">14.1 Edge cases</w:t>
      </w:r>
    </w:p>
    <w:p>
      <w:pPr>
        <w:pStyle w:val="ListParagraph"/>
        <w:numPr>
          <w:ilvl w:val="0"/>
          <w:numId w:val="2"/>
        </w:numPr>
        <w:spacing w:after="55" w:line="260"/>
      </w:pPr>
      <w:r>
        <w:t xml:space="preserve">New campaign or new geo: insufficient history; use policy validation and directional benchmarks, label low confidence.</w:t>
      </w:r>
    </w:p>
    <w:p>
      <w:pPr>
        <w:pStyle w:val="ListParagraph"/>
        <w:numPr>
          <w:ilvl w:val="0"/>
          <w:numId w:val="2"/>
        </w:numPr>
        <w:spacing w:after="55" w:line="260"/>
      </w:pPr>
      <w:r>
        <w:t xml:space="preserve">Low-volume accounts: prefer longer windows, Bayesian/shrinkage or pooled benchmarks; avoid daily winner declarations.</w:t>
      </w:r>
    </w:p>
    <w:p>
      <w:pPr>
        <w:pStyle w:val="ListParagraph"/>
        <w:numPr>
          <w:ilvl w:val="0"/>
          <w:numId w:val="2"/>
        </w:numPr>
        <w:spacing w:after="55" w:line="260"/>
      </w:pPr>
      <w:r>
        <w:t xml:space="preserve">Campaign restructures: create a lineage map so pre/post comparisons are not mistaken for performance changes.</w:t>
      </w:r>
    </w:p>
    <w:p>
      <w:pPr>
        <w:pStyle w:val="ListParagraph"/>
        <w:numPr>
          <w:ilvl w:val="0"/>
          <w:numId w:val="2"/>
        </w:numPr>
        <w:spacing w:after="55" w:line="260"/>
      </w:pPr>
      <w:r>
        <w:t xml:space="preserve">Mixed web and app journeys: preserve separate funnels and deep-link state; do not blend CVR without a defined denominator.</w:t>
      </w:r>
    </w:p>
    <w:p>
      <w:pPr>
        <w:pStyle w:val="ListParagraph"/>
        <w:numPr>
          <w:ilvl w:val="0"/>
          <w:numId w:val="2"/>
        </w:numPr>
        <w:spacing w:after="55" w:line="260"/>
      </w:pPr>
      <w:r>
        <w:t xml:space="preserve">MMP outage or late postbacks: mark attribution unavailable; continue delivery analysis but block outcome claims.</w:t>
      </w:r>
    </w:p>
    <w:p>
      <w:pPr>
        <w:pStyle w:val="ListParagraph"/>
        <w:numPr>
          <w:ilvl w:val="0"/>
          <w:numId w:val="2"/>
        </w:numPr>
        <w:spacing w:after="55" w:line="260"/>
      </w:pPr>
      <w:r>
        <w:t xml:space="preserve">Promo/price change: annotate the calendar and isolate offer effects before attributing performance change to audiences.</w:t>
      </w:r>
    </w:p>
    <w:p>
      <w:pPr>
        <w:pStyle w:val="ListParagraph"/>
        <w:numPr>
          <w:ilvl w:val="0"/>
          <w:numId w:val="2"/>
        </w:numPr>
        <w:spacing w:after="55" w:line="260"/>
      </w:pPr>
      <w:r>
        <w:t xml:space="preserve">Privacy/consent shift: detect change in match rate or event coverage; downgrade confidence and prevent false channel conclusions.</w:t>
      </w:r>
    </w:p>
    <w:p>
      <w:pPr>
        <w:pStyle w:val="Heading2"/>
        <w:keepNext/>
        <w:spacing w:after="110" w:before="240"/>
      </w:pPr>
      <w:r>
        <w:t xml:space="preserve">14.2 Open questions for review</w:t>
      </w:r>
    </w:p>
    <w:tbl>
      <w:tblPr>
        <w:tblW w:type="dxa" w:w="9360"/>
        <w:tblBorders>
          <w:top w:val="single" w:color="C7D5E3" w:sz="4"/>
          <w:left w:val="single" w:color="C7D5E3" w:sz="4"/>
          <w:bottom w:val="single" w:color="C7D5E3" w:sz="4"/>
          <w:right w:val="single" w:color="C7D5E3" w:sz="4"/>
          <w:insideH w:val="single" w:color="DCE5ED" w:sz="3"/>
          <w:insideV w:val="single" w:color="DCE5ED" w:sz="3"/>
        </w:tblBorders>
      </w:tblPr>
      <w:tblGrid>
        <w:gridCol w:w="2300"/>
        <w:gridCol w:w="4950"/>
        <w:gridCol w:w="2110"/>
      </w:tblGrid>
      <w:tr>
        <w:trPr>
          <w:tblHeader/>
        </w:trPr>
        <w:tc>
          <w:tcPr>
            <w:tcW w:type="dxa" w:w="230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Question</w:t>
            </w:r>
          </w:p>
        </w:tc>
        <w:tc>
          <w:tcPr>
            <w:tcW w:type="dxa" w:w="495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Decision needed</w:t>
            </w:r>
          </w:p>
        </w:tc>
        <w:tc>
          <w:tcPr>
            <w:tcW w:type="dxa" w:w="2110"/>
            <w:shd w:color="17324D" w:val="clear"/>
            <w:tcMar>
              <w:top w:type="dxa" w:w="90"/>
              <w:left w:type="dxa" w:w="120"/>
              <w:bottom w:type="dxa" w:w="90"/>
              <w:right w:type="dxa" w:w="120"/>
            </w:tcMar>
          </w:tcPr>
          <w:p>
            <w:pPr>
              <w:spacing w:after="0" w:before="0" w:line="220"/>
            </w:pPr>
            <w:r>
              <w:rPr>
                <w:rFonts w:ascii="Aptos" w:cs="Aptos" w:eastAsia="Aptos" w:hAnsi="Aptos"/>
                <w:b/>
                <w:bCs/>
                <w:color w:val="FFFFFF"/>
                <w:sz w:val="18"/>
                <w:szCs w:val="18"/>
              </w:rPr>
              <w:t xml:space="preserve">Owner</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Business objective</w:t>
            </w:r>
          </w:p>
        </w:tc>
        <w:tc>
          <w:tcPr>
            <w:tcW w:type="dxa" w:w="4950"/>
            <w:tcMar>
              <w:top w:type="dxa" w:w="90"/>
              <w:left w:type="dxa" w:w="120"/>
              <w:bottom w:type="dxa" w:w="90"/>
              <w:right w:type="dxa" w:w="120"/>
            </w:tcMar>
          </w:tcPr>
          <w:p>
            <w:pPr>
              <w:spacing w:after="0" w:before="0" w:line="220"/>
            </w:pPr>
            <w:r>
              <w:rPr>
                <w:rFonts w:ascii="Aptos" w:cs="Aptos" w:eastAsia="Aptos" w:hAnsi="Aptos"/>
                <w:sz w:val="17"/>
                <w:szCs w:val="17"/>
              </w:rPr>
              <w:t xml:space="preserve">Which primary conversion and contribution metric governs each market/product?</w:t>
            </w:r>
          </w:p>
        </w:tc>
        <w:tc>
          <w:tcPr>
            <w:tcW w:type="dxa" w:w="2110"/>
            <w:tcMar>
              <w:top w:type="dxa" w:w="90"/>
              <w:left w:type="dxa" w:w="120"/>
              <w:bottom w:type="dxa" w:w="90"/>
              <w:right w:type="dxa" w:w="120"/>
            </w:tcMar>
          </w:tcPr>
          <w:p>
            <w:pPr>
              <w:spacing w:after="0" w:before="0" w:line="220"/>
            </w:pPr>
            <w:r>
              <w:rPr>
                <w:rFonts w:ascii="Aptos" w:cs="Aptos" w:eastAsia="Aptos" w:hAnsi="Aptos"/>
                <w:sz w:val="17"/>
                <w:szCs w:val="17"/>
              </w:rPr>
              <w:t xml:space="preserve">Growth + Finance</w:t>
            </w:r>
          </w:p>
        </w:tc>
      </w:tr>
      <w:tr>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Attribution configuration</w:t>
            </w:r>
          </w:p>
        </w:tc>
        <w:tc>
          <w:tcPr>
            <w:tcW w:type="dxa" w:w="49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Which MMP windows/models and reconciliation tolerances are approved?</w:t>
            </w:r>
          </w:p>
        </w:tc>
        <w:tc>
          <w:tcPr>
            <w:tcW w:type="dxa" w:w="21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Analytics + Marketing</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Targeting policy</w:t>
            </w:r>
          </w:p>
        </w:tc>
        <w:tc>
          <w:tcPr>
            <w:tcW w:type="dxa" w:w="4950"/>
            <w:tcMar>
              <w:top w:type="dxa" w:w="90"/>
              <w:left w:type="dxa" w:w="120"/>
              <w:bottom w:type="dxa" w:w="90"/>
              <w:right w:type="dxa" w:w="120"/>
            </w:tcMar>
          </w:tcPr>
          <w:p>
            <w:pPr>
              <w:spacing w:after="0" w:before="0" w:line="220"/>
            </w:pPr>
            <w:r>
              <w:rPr>
                <w:rFonts w:ascii="Aptos" w:cs="Aptos" w:eastAsia="Aptos" w:hAnsi="Aptos"/>
                <w:sz w:val="17"/>
                <w:szCs w:val="17"/>
              </w:rPr>
              <w:t xml:space="preserve">What interests/behaviors, exclusions, size/overlap/frequency thresholds and restricted segments are approved?</w:t>
            </w:r>
          </w:p>
        </w:tc>
        <w:tc>
          <w:tcPr>
            <w:tcW w:type="dxa" w:w="2110"/>
            <w:tcMar>
              <w:top w:type="dxa" w:w="90"/>
              <w:left w:type="dxa" w:w="120"/>
              <w:bottom w:type="dxa" w:w="90"/>
              <w:right w:type="dxa" w:w="120"/>
            </w:tcMar>
          </w:tcPr>
          <w:p>
            <w:pPr>
              <w:spacing w:after="0" w:before="0" w:line="220"/>
            </w:pPr>
            <w:r>
              <w:rPr>
                <w:rFonts w:ascii="Aptos" w:cs="Aptos" w:eastAsia="Aptos" w:hAnsi="Aptos"/>
                <w:sz w:val="17"/>
                <w:szCs w:val="17"/>
              </w:rPr>
              <w:t xml:space="preserve">Performance Marketing + Legal</w:t>
            </w:r>
          </w:p>
        </w:tc>
      </w:tr>
      <w:tr>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Business integrations</w:t>
            </w:r>
          </w:p>
        </w:tc>
        <w:tc>
          <w:tcPr>
            <w:tcW w:type="dxa" w:w="49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Which order, margin, refund, inventory, price, product-health and experiment sources are available?</w:t>
            </w:r>
          </w:p>
        </w:tc>
        <w:tc>
          <w:tcPr>
            <w:tcW w:type="dxa" w:w="21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Data + Product + Operations</w:t>
            </w:r>
          </w:p>
        </w:tc>
      </w:tr>
      <w:tr>
        <w:tc>
          <w:tcPr>
            <w:tcW w:type="dxa" w:w="2300"/>
            <w:tcMar>
              <w:top w:type="dxa" w:w="90"/>
              <w:left w:type="dxa" w:w="120"/>
              <w:bottom w:type="dxa" w:w="90"/>
              <w:right w:type="dxa" w:w="120"/>
            </w:tcMar>
          </w:tcPr>
          <w:p>
            <w:pPr>
              <w:spacing w:after="0" w:before="0" w:line="220"/>
            </w:pPr>
            <w:r>
              <w:rPr>
                <w:rFonts w:ascii="Aptos" w:cs="Aptos" w:eastAsia="Aptos" w:hAnsi="Aptos"/>
                <w:sz w:val="17"/>
                <w:szCs w:val="17"/>
              </w:rPr>
              <w:t xml:space="preserve">Operating cadence</w:t>
            </w:r>
          </w:p>
        </w:tc>
        <w:tc>
          <w:tcPr>
            <w:tcW w:type="dxa" w:w="4950"/>
            <w:tcMar>
              <w:top w:type="dxa" w:w="90"/>
              <w:left w:type="dxa" w:w="120"/>
              <w:bottom w:type="dxa" w:w="90"/>
              <w:right w:type="dxa" w:w="120"/>
            </w:tcMar>
          </w:tcPr>
          <w:p>
            <w:pPr>
              <w:spacing w:after="0" w:before="0" w:line="220"/>
            </w:pPr>
            <w:r>
              <w:rPr>
                <w:rFonts w:ascii="Aptos" w:cs="Aptos" w:eastAsia="Aptos" w:hAnsi="Aptos"/>
                <w:sz w:val="17"/>
                <w:szCs w:val="17"/>
              </w:rPr>
              <w:t xml:space="preserve">Who reviews daily/weekly plans, and what approvals are required before execution?</w:t>
            </w:r>
          </w:p>
        </w:tc>
        <w:tc>
          <w:tcPr>
            <w:tcW w:type="dxa" w:w="2110"/>
            <w:tcMar>
              <w:top w:type="dxa" w:w="90"/>
              <w:left w:type="dxa" w:w="120"/>
              <w:bottom w:type="dxa" w:w="90"/>
              <w:right w:type="dxa" w:w="120"/>
            </w:tcMar>
          </w:tcPr>
          <w:p>
            <w:pPr>
              <w:spacing w:after="0" w:before="0" w:line="220"/>
            </w:pPr>
            <w:r>
              <w:rPr>
                <w:rFonts w:ascii="Aptos" w:cs="Aptos" w:eastAsia="Aptos" w:hAnsi="Aptos"/>
                <w:sz w:val="17"/>
                <w:szCs w:val="17"/>
              </w:rPr>
              <w:t xml:space="preserve">Growth leadership</w:t>
            </w:r>
          </w:p>
        </w:tc>
      </w:tr>
      <w:tr>
        <w:tc>
          <w:tcPr>
            <w:tcW w:type="dxa" w:w="230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Success baseline</w:t>
            </w:r>
          </w:p>
        </w:tc>
        <w:tc>
          <w:tcPr>
            <w:tcW w:type="dxa" w:w="495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What analyst time, decision-quality and incremental-business outcomes define V1 success?</w:t>
            </w:r>
          </w:p>
        </w:tc>
        <w:tc>
          <w:tcPr>
            <w:tcW w:type="dxa" w:w="2110"/>
            <w:shd w:color="F5F7FA" w:val="clear"/>
            <w:tcMar>
              <w:top w:type="dxa" w:w="90"/>
              <w:left w:type="dxa" w:w="120"/>
              <w:bottom w:type="dxa" w:w="90"/>
              <w:right w:type="dxa" w:w="120"/>
            </w:tcMar>
          </w:tcPr>
          <w:p>
            <w:pPr>
              <w:spacing w:after="0" w:before="0" w:line="220"/>
            </w:pPr>
            <w:r>
              <w:rPr>
                <w:rFonts w:ascii="Aptos" w:cs="Aptos" w:eastAsia="Aptos" w:hAnsi="Aptos"/>
                <w:sz w:val="17"/>
                <w:szCs w:val="17"/>
              </w:rPr>
              <w:t xml:space="preserve">Product + Growth</w:t>
            </w:r>
          </w:p>
        </w:tc>
      </w:tr>
    </w:tbl>
    <w:p>
      <w:pPr>
        <w:pStyle w:val="Heading1"/>
        <w:keepNext/>
        <w:spacing w:after="110" w:before="360"/>
      </w:pPr>
      <w:r>
        <w:t xml:space="preserve">15. Approval checklist</w:t>
      </w:r>
    </w:p>
    <w:p>
      <w:pPr>
        <w:pStyle w:val="ListParagraph"/>
        <w:numPr>
          <w:ilvl w:val="0"/>
          <w:numId w:val="2"/>
        </w:numPr>
        <w:spacing w:after="55" w:line="260"/>
      </w:pPr>
      <w:r>
        <w:t xml:space="preserve">Confirm read-only scope and absence of campaign execution capabilities.</w:t>
      </w:r>
    </w:p>
    <w:p>
      <w:pPr>
        <w:pStyle w:val="ListParagraph"/>
        <w:numPr>
          <w:ilvl w:val="0"/>
          <w:numId w:val="2"/>
        </w:numPr>
        <w:spacing w:after="55" w:line="260"/>
      </w:pPr>
      <w:r>
        <w:t xml:space="preserve">Approve metric dictionary and per-metric source-of-truth hierarchy.</w:t>
      </w:r>
    </w:p>
    <w:p>
      <w:pPr>
        <w:pStyle w:val="ListParagraph"/>
        <w:numPr>
          <w:ilvl w:val="0"/>
          <w:numId w:val="2"/>
        </w:numPr>
        <w:spacing w:after="55" w:line="260"/>
      </w:pPr>
      <w:r>
        <w:t xml:space="preserve">Approve attribution windows, cohort maturity rules and reconciliation tolerance.</w:t>
      </w:r>
    </w:p>
    <w:p>
      <w:pPr>
        <w:pStyle w:val="ListParagraph"/>
        <w:numPr>
          <w:ilvl w:val="0"/>
          <w:numId w:val="2"/>
        </w:numPr>
        <w:spacing w:after="55" w:line="260"/>
      </w:pPr>
      <w:r>
        <w:t xml:space="preserve">Approve deterministic targeting / exclusion / structure / budget policy and owners.</w:t>
      </w:r>
    </w:p>
    <w:p>
      <w:pPr>
        <w:pStyle w:val="ListParagraph"/>
        <w:numPr>
          <w:ilvl w:val="0"/>
          <w:numId w:val="2"/>
        </w:numPr>
        <w:spacing w:after="55" w:line="260"/>
      </w:pPr>
      <w:r>
        <w:t xml:space="preserve">Confirm business and product health integrations needed to route external failures.</w:t>
      </w:r>
    </w:p>
    <w:p>
      <w:pPr>
        <w:pStyle w:val="ListParagraph"/>
        <w:numPr>
          <w:ilvl w:val="0"/>
          <w:numId w:val="2"/>
        </w:numPr>
        <w:spacing w:after="55" w:line="260"/>
      </w:pPr>
      <w:r>
        <w:t xml:space="preserve">Agree V1 evaluation set, review cadence, confidence calibration standard and launch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color="DDEBF7" w:val="clear"/>
            <w:tcMar>
              <w:top w:type="dxa" w:w="90"/>
              <w:left w:type="dxa" w:w="120"/>
              <w:bottom w:type="dxa" w:w="90"/>
              <w:right w:type="dxa" w:w="120"/>
            </w:tcMar>
          </w:tcPr>
          <w:p>
            <w:pPr>
              <w:spacing w:after="0" w:before="0" w:line="220"/>
            </w:pPr>
            <w:r>
              <w:rPr>
                <w:rFonts w:ascii="Aptos" w:cs="Aptos" w:eastAsia="Aptos" w:hAnsi="Aptos"/>
                <w:b/>
                <w:bCs/>
                <w:color w:val="2867A9"/>
                <w:sz w:val="17"/>
                <w:szCs w:val="17"/>
              </w:rPr>
              <w:t xml:space="preserve">DECISION REQUESTED</w:t>
            </w:r>
          </w:p>
        </w:tc>
        <w:tc>
          <w:tcPr>
            <w:tcW w:type="dxa" w:w="7860"/>
            <w:shd w:color="F1F7F7" w:val="clear"/>
            <w:tcMar>
              <w:top w:type="dxa" w:w="90"/>
              <w:left w:type="dxa" w:w="120"/>
              <w:bottom w:type="dxa" w:w="90"/>
              <w:right w:type="dxa" w:w="120"/>
            </w:tcMar>
          </w:tcPr>
          <w:p>
            <w:pPr>
              <w:spacing w:after="0" w:before="0" w:line="220"/>
            </w:pPr>
            <w:r>
              <w:rPr>
                <w:rFonts w:ascii="Aptos" w:cs="Aptos" w:eastAsia="Aptos" w:hAnsi="Aptos"/>
                <w:sz w:val="17"/>
                <w:szCs w:val="17"/>
              </w:rPr>
              <w:t xml:space="preserve">Approve the V1 boundary: evidence-led analysis and planning with deterministic policy validation; optional MMP measurement inputs; human-owned execution; and a controlled learning/evaluation loop before expanding scope.</w:t>
            </w:r>
          </w:p>
        </w:tc>
      </w:tr>
    </w:tbl>
    <w:sectPr>
      <w:headerReference w:type="default" r:id="rId7"/>
      <w:footerReference w:type="default" r:id="rId8"/>
      <w:pgSz w:w="11906" w:h="16838" w:orient="portrait"/>
      <w:pgMar w:top="850" w:right="900" w:bottom="7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B6573"/>
        <w:sz w:val="15"/>
        <w:szCs w:val="15"/>
      </w:rPr>
      <w:t xml:space="preserve">Internal working draft  |  </w:t>
    </w:r>
    <w:r>
      <w:rPr>
        <w:color w:val="5B65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5E3" w:sz="6" w:space="5"/>
      </w:pBdr>
      <w:spacing w:after="40" w:before="0" w:line="276"/>
    </w:pPr>
    <w:r>
      <w:rPr>
        <w:rFonts w:ascii="Aptos" w:cs="Aptos" w:eastAsia="Aptos" w:hAnsi="Aptos"/>
        <w:b/>
        <w:bCs/>
        <w:color w:val="5B6573"/>
        <w:sz w:val="15"/>
        <w:szCs w:val="15"/>
      </w:rPr>
      <w:t xml:space="preserve">META AI PERFORMANCE MARKETING AGENT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24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60"/>
      <w:outlineLvl w:val="0"/>
    </w:pPr>
    <w:rPr>
      <w:rFonts w:ascii="Aptos Display" w:cs="Aptos Display" w:eastAsia="Aptos Display" w:hAnsi="Aptos Display"/>
      <w:b/>
      <w:bCs/>
      <w:color w:val="17324D"/>
      <w:sz w:val="31"/>
      <w:szCs w:val="31"/>
    </w:rPr>
  </w:style>
  <w:style w:type="paragraph" w:styleId="Heading2">
    <w:name w:val="Heading 2"/>
    <w:basedOn w:val="Normal"/>
    <w:next w:val="Normal"/>
    <w:qFormat/>
    <w:pPr>
      <w:spacing w:after="90" w:before="260"/>
      <w:outlineLvl w:val="1"/>
    </w:pPr>
    <w:rPr>
      <w:rFonts w:ascii="Aptos Display" w:cs="Aptos Display" w:eastAsia="Aptos Display" w:hAnsi="Aptos Display"/>
      <w:b/>
      <w:bCs/>
      <w:color w:val="2867A9"/>
      <w:sz w:val="24"/>
      <w:szCs w:val="24"/>
    </w:rPr>
  </w:style>
  <w:style w:type="paragraph" w:styleId="Heading3">
    <w:name w:val="Heading 3"/>
    <w:basedOn w:val="Normal"/>
    <w:next w:val="Normal"/>
    <w:qFormat/>
    <w:pPr>
      <w:spacing w:after="60" w:before="190"/>
      <w:outlineLvl w:val="2"/>
    </w:pPr>
    <w:rPr>
      <w:rFonts w:ascii="Aptos" w:cs="Aptos" w:eastAsia="Aptos" w:hAnsi="Aptos"/>
      <w:b/>
      <w:bCs/>
      <w:color w:val="0F76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AI Performance Marketing Agent — Design Document</dc:title>
  <dc:creator>Codex</dc:creator>
  <dc:description>Product and engineering design for an analysis and planning agent.</dc:description>
  <cp:lastModifiedBy>Un-named</cp:lastModifiedBy>
  <cp:revision>1</cp:revision>
  <dcterms:created xsi:type="dcterms:W3CDTF">2026-08-29T08:56:22.377Z</dcterms:created>
  <dcterms:modified xsi:type="dcterms:W3CDTF">2026-08-29T08:56:22.383Z</dcterms:modified>
</cp:coreProperties>
</file>

<file path=docProps/custom.xml><?xml version="1.0" encoding="utf-8"?>
<Properties xmlns="http://schemas.openxmlformats.org/officeDocument/2006/custom-properties" xmlns:vt="http://schemas.openxmlformats.org/officeDocument/2006/docPropsVTypes"/>
</file>