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300"/>
        <w:jc w:val="center"/>
      </w:pPr>
      <w:r>
        <w:rPr>
          <w:b/>
          <w:bCs/>
          <w:color w:val="1F4E79"/>
          <w:sz w:val="56"/>
          <w:szCs w:val="56"/>
        </w:rPr>
        <w:t xml:space="preserve">Intelligent Credit Card &amp; Rewards Optimization Agent</w:t>
      </w:r>
    </w:p>
    <w:p>
      <w:pPr>
        <w:spacing w:after="800"/>
        <w:jc w:val="center"/>
      </w:pPr>
      <w:r>
        <w:rPr>
          <w:i/>
          <w:iCs/>
          <w:color w:val="595959"/>
          <w:sz w:val="30"/>
          <w:szCs w:val="30"/>
        </w:rPr>
        <w:t xml:space="preserve">Comprehensive Solution Architecture &amp; Product Documentation</w:t>
      </w:r>
    </w:p>
    <w:p>
      <w:pPr>
        <w:spacing w:after="120"/>
        <w:jc w:val="center"/>
      </w:pPr>
      <w:r>
        <w:rPr>
          <w:b/>
          <w:bCs/>
        </w:rPr>
        <w:t xml:space="preserve">Document class: </w:t>
      </w:r>
      <w:r>
        <w:t xml:space="preserve">Capstone Engineering Documentation Package</w:t>
      </w:r>
    </w:p>
    <w:p>
      <w:pPr>
        <w:spacing w:after="120"/>
        <w:jc w:val="center"/>
      </w:pPr>
      <w:r>
        <w:rPr>
          <w:b/>
          <w:bCs/>
        </w:rPr>
        <w:t xml:space="preserve">Audience: </w:t>
      </w:r>
      <w:r>
        <w:t xml:space="preserve">University evaluators, investors, software architects, engineering managers, AI researchers, future maintainers</w:t>
      </w:r>
    </w:p>
    <w:p>
      <w:pPr>
        <w:spacing w:after="3200"/>
        <w:jc w:val="center"/>
      </w:pPr>
      <w:r>
        <w:rPr>
          <w:color w:val="595959"/>
        </w:rPr>
        <w:t xml:space="preserve">Version 1.0  |  Status: Draft for Review</w:t>
      </w:r>
    </w:p>
    <w:p>
      <w:r>
        <w:br w:type="page"/>
      </w:r>
    </w:p>
    <w:p>
      <w:pPr>
        <w:spacing w:after="300"/>
      </w:pPr>
      <w:r>
        <w:rPr>
          <w:b/>
          <w:bCs/>
          <w:color w:val="1F4E79"/>
          <w:sz w:val="36"/>
          <w:szCs w:val="36"/>
        </w:rPr>
        <w:t xml:space="preserve">Table of Contents</w:t>
      </w:r>
    </w:p>
    <w:p>
      <w:pPr>
        <w:spacing w:after="140"/>
      </w:pPr>
      <w:hyperlink w:history="1" w:anchor="sec0">
        <w:r>
          <w:rPr>
            <w:color w:val="2E75B6"/>
            <w:u w:val="single"/>
          </w:rPr>
          <w:t xml:space="preserve">1. Executive Summary</w:t>
        </w:r>
      </w:hyperlink>
    </w:p>
    <w:p>
      <w:pPr>
        <w:spacing w:after="140"/>
      </w:pPr>
      <w:hyperlink w:history="1" w:anchor="sec1">
        <w:r>
          <w:rPr>
            <w:color w:val="2E75B6"/>
            <w:u w:val="single"/>
          </w:rPr>
          <w:t xml:space="preserve">2. Problem Analysis</w:t>
        </w:r>
      </w:hyperlink>
    </w:p>
    <w:p>
      <w:pPr>
        <w:spacing w:after="140"/>
      </w:pPr>
      <w:hyperlink w:history="1" w:anchor="sec2">
        <w:r>
          <w:rPr>
            <w:color w:val="2E75B6"/>
            <w:u w:val="single"/>
          </w:rPr>
          <w:t xml:space="preserve">3. Goals</w:t>
        </w:r>
      </w:hyperlink>
    </w:p>
    <w:p>
      <w:pPr>
        <w:spacing w:after="140"/>
      </w:pPr>
      <w:hyperlink w:history="1" w:anchor="sec3">
        <w:r>
          <w:rPr>
            <w:color w:val="2E75B6"/>
            <w:u w:val="single"/>
          </w:rPr>
          <w:t xml:space="preserve">4. Market Research</w:t>
        </w:r>
      </w:hyperlink>
    </w:p>
    <w:p>
      <w:pPr>
        <w:spacing w:after="140"/>
      </w:pPr>
      <w:hyperlink w:history="1" w:anchor="sec4">
        <w:r>
          <w:rPr>
            <w:color w:val="2E75B6"/>
            <w:u w:val="single"/>
          </w:rPr>
          <w:t xml:space="preserve">5. Stakeholder Analysis</w:t>
        </w:r>
      </w:hyperlink>
    </w:p>
    <w:p>
      <w:pPr>
        <w:spacing w:after="140"/>
      </w:pPr>
      <w:hyperlink w:history="1" w:anchor="sec5">
        <w:r>
          <w:rPr>
            <w:color w:val="2E75B6"/>
            <w:u w:val="single"/>
          </w:rPr>
          <w:t xml:space="preserve">6. User Personas</w:t>
        </w:r>
      </w:hyperlink>
    </w:p>
    <w:p>
      <w:pPr>
        <w:spacing w:after="140"/>
      </w:pPr>
      <w:hyperlink w:history="1" w:anchor="sec6">
        <w:r>
          <w:rPr>
            <w:color w:val="2E75B6"/>
            <w:u w:val="single"/>
          </w:rPr>
          <w:t xml:space="preserve">7. Functional Requirements</w:t>
        </w:r>
      </w:hyperlink>
    </w:p>
    <w:p>
      <w:pPr>
        <w:spacing w:after="140"/>
      </w:pPr>
      <w:hyperlink w:history="1" w:anchor="sec7">
        <w:r>
          <w:rPr>
            <w:color w:val="2E75B6"/>
            <w:u w:val="single"/>
          </w:rPr>
          <w:t xml:space="preserve">8. Non-Functional Requirements</w:t>
        </w:r>
      </w:hyperlink>
    </w:p>
    <w:p>
      <w:pPr>
        <w:spacing w:after="140"/>
      </w:pPr>
      <w:hyperlink w:history="1" w:anchor="sec8">
        <w:r>
          <w:rPr>
            <w:color w:val="2E75B6"/>
            <w:u w:val="single"/>
          </w:rPr>
          <w:t xml:space="preserve">9. Feature Breakdown</w:t>
        </w:r>
      </w:hyperlink>
    </w:p>
    <w:p>
      <w:pPr>
        <w:spacing w:after="140"/>
      </w:pPr>
      <w:hyperlink w:history="1" w:anchor="sec9">
        <w:r>
          <w:rPr>
            <w:color w:val="2E75B6"/>
            <w:u w:val="single"/>
          </w:rPr>
          <w:t xml:space="preserve">10. AI Architecture</w:t>
        </w:r>
      </w:hyperlink>
    </w:p>
    <w:p>
      <w:pPr>
        <w:spacing w:after="140"/>
      </w:pPr>
      <w:hyperlink w:history="1" w:anchor="sec10">
        <w:r>
          <w:rPr>
            <w:color w:val="2E75B6"/>
            <w:u w:val="single"/>
          </w:rPr>
          <w:t xml:space="preserve">11. Complete System Architecture</w:t>
        </w:r>
      </w:hyperlink>
    </w:p>
    <w:p>
      <w:pPr>
        <w:spacing w:after="140"/>
      </w:pPr>
      <w:hyperlink w:history="1" w:anchor="sec11">
        <w:r>
          <w:rPr>
            <w:color w:val="2E75B6"/>
            <w:u w:val="single"/>
          </w:rPr>
          <w:t xml:space="preserve">12. Database Design</w:t>
        </w:r>
      </w:hyperlink>
    </w:p>
    <w:p>
      <w:pPr>
        <w:spacing w:after="140"/>
      </w:pPr>
      <w:hyperlink w:history="1" w:anchor="sec12">
        <w:r>
          <w:rPr>
            <w:color w:val="2E75B6"/>
            <w:u w:val="single"/>
          </w:rPr>
          <w:t xml:space="preserve">13. API Design</w:t>
        </w:r>
      </w:hyperlink>
    </w:p>
    <w:p>
      <w:pPr>
        <w:spacing w:after="140"/>
      </w:pPr>
      <w:hyperlink w:history="1" w:anchor="sec13">
        <w:r>
          <w:rPr>
            <w:color w:val="2E75B6"/>
            <w:u w:val="single"/>
          </w:rPr>
          <w:t xml:space="preserve">14. AI Agent Workflow (LangGraph)</w:t>
        </w:r>
      </w:hyperlink>
    </w:p>
    <w:p>
      <w:pPr>
        <w:spacing w:after="140"/>
      </w:pPr>
      <w:hyperlink w:history="1" w:anchor="sec14">
        <w:r>
          <w:rPr>
            <w:color w:val="2E75B6"/>
            <w:u w:val="single"/>
          </w:rPr>
          <w:t xml:space="preserve">15. Technology Selection</w:t>
        </w:r>
      </w:hyperlink>
    </w:p>
    <w:p>
      <w:pPr>
        <w:spacing w:after="140"/>
      </w:pPr>
      <w:hyperlink w:history="1" w:anchor="sec15">
        <w:r>
          <w:rPr>
            <w:color w:val="2E75B6"/>
            <w:u w:val="single"/>
          </w:rPr>
          <w:t xml:space="preserve">16. Feasibility Study</w:t>
        </w:r>
      </w:hyperlink>
    </w:p>
    <w:p>
      <w:pPr>
        <w:spacing w:after="140"/>
      </w:pPr>
      <w:hyperlink w:history="1" w:anchor="sec16">
        <w:r>
          <w:rPr>
            <w:color w:val="2E75B6"/>
            <w:u w:val="single"/>
          </w:rPr>
          <w:t xml:space="preserve">17. Risk Analysis</w:t>
        </w:r>
      </w:hyperlink>
    </w:p>
    <w:p>
      <w:pPr>
        <w:spacing w:after="140"/>
      </w:pPr>
      <w:hyperlink w:history="1" w:anchor="sec17">
        <w:r>
          <w:rPr>
            <w:color w:val="2E75B6"/>
            <w:u w:val="single"/>
          </w:rPr>
          <w:t xml:space="preserve">18. Security Design</w:t>
        </w:r>
      </w:hyperlink>
    </w:p>
    <w:p>
      <w:pPr>
        <w:spacing w:after="140"/>
      </w:pPr>
      <w:hyperlink w:history="1" w:anchor="sec18">
        <w:r>
          <w:rPr>
            <w:color w:val="2E75B6"/>
            <w:u w:val="single"/>
          </w:rPr>
          <w:t xml:space="preserve">19. Testing Strategy</w:t>
        </w:r>
      </w:hyperlink>
    </w:p>
    <w:p>
      <w:pPr>
        <w:spacing w:after="140"/>
      </w:pPr>
      <w:hyperlink w:history="1" w:anchor="sec19">
        <w:r>
          <w:rPr>
            <w:color w:val="2E75B6"/>
            <w:u w:val="single"/>
          </w:rPr>
          <w:t xml:space="preserve">20. Evaluation Metrics</w:t>
        </w:r>
      </w:hyperlink>
    </w:p>
    <w:p>
      <w:pPr>
        <w:spacing w:after="140"/>
      </w:pPr>
      <w:hyperlink w:history="1" w:anchor="sec20">
        <w:r>
          <w:rPr>
            <w:color w:val="2E75B6"/>
            <w:u w:val="single"/>
          </w:rPr>
          <w:t xml:space="preserve">21. Implementation Roadmap</w:t>
        </w:r>
      </w:hyperlink>
    </w:p>
    <w:p>
      <w:pPr>
        <w:spacing w:after="140"/>
      </w:pPr>
      <w:hyperlink w:history="1" w:anchor="sec21">
        <w:r>
          <w:rPr>
            <w:color w:val="2E75B6"/>
            <w:u w:val="single"/>
          </w:rPr>
          <w:t xml:space="preserve">22. Resource Estimation</w:t>
        </w:r>
      </w:hyperlink>
    </w:p>
    <w:p>
      <w:pPr>
        <w:spacing w:after="140"/>
      </w:pPr>
      <w:hyperlink w:history="1" w:anchor="sec22">
        <w:r>
          <w:rPr>
            <w:color w:val="2E75B6"/>
            <w:u w:val="single"/>
          </w:rPr>
          <w:t xml:space="preserve">23. Future Scope</w:t>
        </w:r>
      </w:hyperlink>
    </w:p>
    <w:p>
      <w:pPr>
        <w:spacing w:after="140"/>
      </w:pPr>
      <w:hyperlink w:history="1" w:anchor="sec23">
        <w:r>
          <w:rPr>
            <w:color w:val="2E75B6"/>
            <w:u w:val="single"/>
          </w:rPr>
          <w:t xml:space="preserve">24. SWOT Analysis</w:t>
        </w:r>
      </w:hyperlink>
    </w:p>
    <w:p>
      <w:pPr>
        <w:spacing w:after="140"/>
      </w:pPr>
      <w:hyperlink w:history="1" w:anchor="sec24">
        <w:r>
          <w:rPr>
            <w:color w:val="2E75B6"/>
            <w:u w:val="single"/>
          </w:rPr>
          <w:t xml:space="preserve">25. Conclusion</w:t>
        </w:r>
      </w:hyperlink>
    </w:p>
    <w:p>
      <w:pPr>
        <w:spacing w:after="140"/>
      </w:pPr>
      <w:hyperlink w:history="1" w:anchor="sec25">
        <w:r>
          <w:rPr>
            <w:color w:val="2E75B6"/>
            <w:u w:val="single"/>
          </w:rPr>
          <w:t xml:space="preserve">26. Scorecard &amp; Strategic Recommendations</w:t>
        </w:r>
      </w:hyperlink>
    </w:p>
    <w:p>
      <w:r>
        <w:br w:type="page"/>
      </w:r>
    </w:p>
    <w:p>
      <w:pPr>
        <w:pStyle w:val="Heading1"/>
        <w:pageBreakBefore/>
        <w:spacing w:after="180" w:before="360"/>
      </w:pPr>
      <w:bookmarkStart w:name="sec0" w:id="1"/>
      <w:r>
        <w:t xml:space="preserve">1. Executive Summary</w:t>
      </w:r>
      <w:bookmarkEnd w:id="1"/>
    </w:p>
    <w:p>
      <w:pPr>
        <w:pStyle w:val="Heading2"/>
        <w:spacing w:after="140" w:before="260"/>
      </w:pPr>
      <w:r>
        <w:t xml:space="preserve">1.1 Vision</w:t>
      </w:r>
    </w:p>
    <w:p>
      <w:pPr>
        <w:spacing w:after="160" w:line="300"/>
      </w:pPr>
      <w:r>
        <w:t xml:space="preserve">Credit card rewards in India (and most markets) are a classic case of </w:t>
      </w:r>
      <w:r>
        <w:rPr>
          <w:b/>
          <w:bCs/>
        </w:rPr>
        <w:t xml:space="preserve">information asymmetry disguised as a benefit</w:t>
      </w:r>
      <w:r>
        <w:t xml:space="preserve">. Banks publish reward structures across PDFs, microsites, FAQs, and call-center scripts that are inconsistent, frequently revised, and full of category exclusions, caps, and milestone conditions that most cardholders never fully read. The </w:t>
      </w:r>
      <w:r>
        <w:rPr>
          <w:b/>
          <w:bCs/>
        </w:rPr>
        <w:t xml:space="preserve">Intelligent Credit Card &amp; Rewards Optimization Agent</w:t>
      </w:r>
      <w:r>
        <w:t xml:space="preserve"> ("the Agent") is an AI system that closes this gap: given a real spending scenario, it retrieves the actual governing rules for the cards a user owns, performs a transparent calculation, and returns a recommendation that is explainable, evidence-grounded, and appropriately cautious about irreversible actions (like point transfers).</w:t>
      </w:r>
    </w:p>
    <w:p>
      <w:pPr>
        <w:spacing w:after="160" w:line="300"/>
      </w:pPr>
      <w:r>
        <w:t xml:space="preserve">This is deliberately </w:t>
      </w:r>
      <w:r>
        <w:rPr>
          <w:b/>
          <w:bCs/>
        </w:rPr>
        <w:t xml:space="preserve">not</w:t>
      </w:r>
      <w:r>
        <w:t xml:space="preserve"> framed as "a chatbot that knows about credit cards." It is framed as a </w:t>
      </w:r>
      <w:r>
        <w:rPr>
          <w:b/>
          <w:bCs/>
        </w:rPr>
        <w:t xml:space="preserve">decision-support system with a financial domain</w:t>
      </w:r>
      <w:r>
        <w:t xml:space="preserve">, which is the correct framing for both engineering rigor and academic defensibility. The distinction matters throughout this document: every architectural choice — retrieval-augmented generation (RAG), structured extraction, tool-calling for arithmetic, guardrails, and human-in-the-loop approval — exists because a domain where wrong answers cost users real money cannot be served by a model's parametric memory alone.</w:t>
      </w:r>
    </w:p>
    <w:p>
      <w:pPr>
        <w:pStyle w:val="Heading2"/>
        <w:spacing w:after="140" w:before="260"/>
      </w:pPr>
      <w:r>
        <w:t xml:space="preserve">1.2 Problem Statement</w:t>
      </w:r>
    </w:p>
    <w:p>
      <w:pPr>
        <w:spacing w:after="160" w:line="300"/>
      </w:pPr>
      <w:r>
        <w:t xml:space="preserve">A cardholder with three or more credit cards cannot, in real time, answer the question "which card should I use for this ₹50,000 transaction?" with confidence, because:</w:t>
      </w:r>
    </w:p>
    <w:p>
      <w:pPr>
        <w:pStyle w:val="ListParagraph"/>
        <w:numPr>
          <w:ilvl w:val="0"/>
          <w:numId w:val="1"/>
        </w:numPr>
        <w:spacing w:after="80" w:line="290"/>
      </w:pPr>
      <w:r>
        <w:t xml:space="preserve">Reward rates vary by </w:t>
      </w:r>
      <w:r>
        <w:rPr>
          <w:b/>
          <w:bCs/>
        </w:rPr>
        <w:t xml:space="preserve">spend category</w:t>
      </w:r>
      <w:r>
        <w:t xml:space="preserve">, and category classification (is a "hotel booking through an OTA" travel or a wallet-adjacent excluded category?) is itself ambiguous.</w:t>
      </w:r>
    </w:p>
    <w:p>
      <w:pPr>
        <w:pStyle w:val="ListParagraph"/>
        <w:numPr>
          <w:ilvl w:val="0"/>
          <w:numId w:val="1"/>
        </w:numPr>
        <w:spacing w:after="80" w:line="290"/>
      </w:pPr>
      <w:r>
        <w:t xml:space="preserve">Reward value is not linear: milestone bonuses, monthly/annual caps, and category-specific accelerators mean the </w:t>
      </w:r>
      <w:r>
        <w:rPr>
          <w:i/>
          <w:iCs/>
        </w:rPr>
        <w:t xml:space="preserve">marginal</w:t>
      </w:r>
      <w:r>
        <w:t xml:space="preserve"> value of a transaction depends on spend already accrued that period.</w:t>
      </w:r>
    </w:p>
    <w:p>
      <w:pPr>
        <w:pStyle w:val="ListParagraph"/>
        <w:numPr>
          <w:ilvl w:val="0"/>
          <w:numId w:val="1"/>
        </w:numPr>
        <w:spacing w:after="80" w:line="290"/>
      </w:pPr>
      <w:r>
        <w:t xml:space="preserve">Card issuers change terms with limited notice, and comparison content on the web (blogs, forums) lags reality or is monetized (affiliate-driven) in ways that bias recommendations.</w:t>
      </w:r>
    </w:p>
    <w:p>
      <w:pPr>
        <w:pStyle w:val="ListParagraph"/>
        <w:numPr>
          <w:ilvl w:val="0"/>
          <w:numId w:val="1"/>
        </w:numPr>
        <w:spacing w:after="80" w:line="290"/>
      </w:pPr>
      <w:r>
        <w:t xml:space="preserve">Point transfer to airline/hotel partners is a </w:t>
      </w:r>
      <w:r>
        <w:rPr>
          <w:b/>
          <w:bCs/>
        </w:rPr>
        <w:t xml:space="preserve">one-way, often irreversible</w:t>
      </w:r>
      <w:r>
        <w:t xml:space="preserve"> action with variable, frequently-changing transfer ratios — the highest-stakes decision in the domain and the one users are least equipped to reason about alone.</w:t>
      </w:r>
    </w:p>
    <w:p>
      <w:pPr>
        <w:pStyle w:val="Heading2"/>
        <w:spacing w:after="140" w:before="260"/>
      </w:pPr>
      <w:r>
        <w:t xml:space="preserve">1.3 Why Existing Solutions Are Insufficient</w:t>
      </w:r>
    </w:p>
    <w:p>
      <w:pPr>
        <w:spacing w:after="160" w:line="300"/>
      </w:pPr>
      <w:r>
        <w:t xml:space="preserve">Existing tools fall into two categories, and both fail the same underlying test — see Section 4 for the full comparison — but the summary is:</w:t>
      </w:r>
    </w:p>
    <w:p>
      <w:pPr>
        <w:pStyle w:val="ListParagraph"/>
        <w:numPr>
          <w:ilvl w:val="0"/>
          <w:numId w:val="1"/>
        </w:numPr>
        <w:spacing w:after="80" w:line="290"/>
      </w:pPr>
      <w:r>
        <w:rPr>
          <w:b/>
          <w:bCs/>
        </w:rPr>
        <w:t xml:space="preserve">Static comparison sites</w:t>
      </w:r>
      <w:r>
        <w:t xml:space="preserve"> (NerdWallet-style, card comparison blogs) present </w:t>
      </w:r>
      <w:r>
        <w:rPr>
          <w:i/>
          <w:iCs/>
        </w:rPr>
        <w:t xml:space="preserve">generic</w:t>
      </w:r>
      <w:r>
        <w:t xml:space="preserve"> reward rates without accounting for the user's actual owned cards, category caps already consumed, or a specific transaction context. They answer "which card is best in general," not "which card should I use </w:t>
      </w:r>
      <w:r>
        <w:rPr>
          <w:i/>
          <w:iCs/>
        </w:rPr>
        <w:t xml:space="preserve">right now, for this transaction, given my situation</w:t>
      </w:r>
      <w:r>
        <w:t xml:space="preserve">."</w:t>
      </w:r>
    </w:p>
    <w:p>
      <w:pPr>
        <w:pStyle w:val="ListParagraph"/>
        <w:numPr>
          <w:ilvl w:val="0"/>
          <w:numId w:val="1"/>
        </w:numPr>
        <w:spacing w:after="80" w:line="290"/>
      </w:pPr>
      <w:r>
        <w:rPr>
          <w:b/>
          <w:bCs/>
        </w:rPr>
        <w:t xml:space="preserve">Portfolio trackers</w:t>
      </w:r>
      <w:r>
        <w:t xml:space="preserve"> (AwardWallet, CardPointers, MaxRewards) are excellent at aggregation — showing balances and benefits across cards — but they are not reasoning engines. They do not compute expected value for a hypothetical transaction, and they do not explain </w:t>
      </w:r>
      <w:r>
        <w:rPr>
          <w:i/>
          <w:iCs/>
        </w:rPr>
        <w:t xml:space="preserve">why</w:t>
      </w:r>
      <w:r>
        <w:t xml:space="preserve"> using retrieved, cited source rules.</w:t>
      </w:r>
    </w:p>
    <w:p>
      <w:pPr>
        <w:spacing w:after="160" w:line="300"/>
      </w:pPr>
      <w:r>
        <w:t xml:space="preserve">The market gap is a system that combines </w:t>
      </w:r>
      <w:r>
        <w:rPr>
          <w:b/>
          <w:bCs/>
        </w:rPr>
        <w:t xml:space="preserve">aggregation + retrieval + arithmetic reasoning + explainability + appropriate caution</w:t>
      </w:r>
      <w:r>
        <w:t xml:space="preserve">, which is precisely the profile of an agentic RAG system with tool use and guardrails, not a lookup table and not an unconstrained chatbot.</w:t>
      </w:r>
    </w:p>
    <w:p>
      <w:pPr>
        <w:pStyle w:val="Heading2"/>
        <w:spacing w:after="140" w:before="260"/>
      </w:pPr>
      <w:r>
        <w:t xml:space="preserve">1.4 Opportunity</w:t>
      </w:r>
    </w:p>
    <w:p>
      <w:pPr>
        <w:spacing w:after="160" w:line="300"/>
      </w:pPr>
      <w:r>
        <w:t xml:space="preserve">The opportunity is twofold:</w:t>
      </w:r>
    </w:p>
    <w:p>
      <w:pPr>
        <w:pStyle w:val="ListParagraph"/>
        <w:numPr>
          <w:ilvl w:val="0"/>
          <w:numId w:val="2"/>
        </w:numPr>
        <w:spacing w:after="80" w:line="290"/>
      </w:pPr>
      <w:r>
        <w:rPr>
          <w:b/>
          <w:bCs/>
        </w:rPr>
        <w:t xml:space="preserve">As a capstone project</w:t>
      </w:r>
      <w:r>
        <w:t xml:space="preserve">, this is a rare case where the "toy" version and the "real" version are architecturally the same system at different data scale and different levels of production-hardening. A student can build a genuinely defensible, demo-able MVP in weeks and have a credible narrative for why every additional stage (memory, guardrails, human approval, evaluation) is necessary rather than decorative.</w:t>
      </w:r>
    </w:p>
    <w:p>
      <w:pPr>
        <w:pStyle w:val="ListParagraph"/>
        <w:numPr>
          <w:ilvl w:val="0"/>
          <w:numId w:val="2"/>
        </w:numPr>
        <w:spacing w:after="80" w:line="290"/>
      </w:pPr>
      <w:r>
        <w:rPr>
          <w:b/>
          <w:bCs/>
        </w:rPr>
        <w:t xml:space="preserve">As a product</w:t>
      </w:r>
      <w:r>
        <w:t xml:space="preserve">, reward optimization assistants are a validated category (see Section 4), but the explainability and grounding bar in existing tools is low. A system that shows its retrieved evidence and its arithmetic, and refuses to guess when evidence is weak, is differentiated on trust — the single scarcest resource in personal-finance software.</w:t>
      </w:r>
    </w:p>
    <w:p>
      <w:pPr>
        <w:pStyle w:val="Heading2"/>
        <w:spacing w:after="140" w:before="260"/>
      </w:pPr>
      <w:r>
        <w:t xml:space="preserve">1.5 Expected Impact</w:t>
      </w:r>
    </w:p>
    <w:p>
      <w:pPr>
        <w:pStyle w:val="ListParagraph"/>
        <w:numPr>
          <w:ilvl w:val="0"/>
          <w:numId w:val="1"/>
        </w:numPr>
        <w:spacing w:after="80" w:line="290"/>
      </w:pPr>
      <w:r>
        <w:rPr>
          <w:b/>
          <w:bCs/>
        </w:rPr>
        <w:t xml:space="preserve">For the user:</w:t>
      </w:r>
      <w:r>
        <w:t xml:space="preserve"> more accurately captured reward value per transaction, reduced decision fatigue, reduced risk of executing a bad irreversible transfer.</w:t>
      </w:r>
    </w:p>
    <w:p>
      <w:pPr>
        <w:pStyle w:val="ListParagraph"/>
        <w:numPr>
          <w:ilvl w:val="0"/>
          <w:numId w:val="1"/>
        </w:numPr>
        <w:spacing w:after="80" w:line="290"/>
      </w:pPr>
      <w:r>
        <w:rPr>
          <w:b/>
          <w:bCs/>
        </w:rPr>
        <w:t xml:space="preserve">For the institution/product owner (if commercialized):</w:t>
      </w:r>
      <w:r>
        <w:t xml:space="preserve"> a defensible, auditable recommendation engine — important given the regulatory sensitivity of anything resembling financial advice (see Section 18 and the compliance discussion in Section 5).</w:t>
      </w:r>
    </w:p>
    <w:p>
      <w:pPr>
        <w:pStyle w:val="ListParagraph"/>
        <w:numPr>
          <w:ilvl w:val="0"/>
          <w:numId w:val="1"/>
        </w:numPr>
        <w:spacing w:after="80" w:line="290"/>
      </w:pPr>
      <w:r>
        <w:rPr>
          <w:b/>
          <w:bCs/>
        </w:rPr>
        <w:t xml:space="preserve">For the student:</w:t>
      </w:r>
      <w:r>
        <w:t xml:space="preserve"> an end-to-end demonstration of the 2025–2026 state of the art in applied LLM systems — RAG, structured extraction, agent orchestration (LangGraph), tool use, memory, guardrails, human-in-the-loop, and evaluation — anchored to one coherent, explainable use case rather than five disconnected demos.</w:t>
      </w:r>
    </w:p>
    <w:p>
      <w:pPr>
        <w:pStyle w:val="Heading2"/>
        <w:spacing w:after="140" w:before="260"/>
      </w:pPr>
      <w:r>
        <w:t xml:space="preserve">1.6 Innovation</w:t>
      </w:r>
    </w:p>
    <w:p>
      <w:pPr>
        <w:spacing w:after="160" w:line="300"/>
      </w:pPr>
      <w:r>
        <w:t xml:space="preserve">The genuinely novel combination here is not any single component (RAG and agents are well-established patterns by 2026) but the </w:t>
      </w:r>
      <w:r>
        <w:rPr>
          <w:b/>
          <w:bCs/>
        </w:rPr>
        <w:t xml:space="preserve">domain-specific guardrail design</w:t>
      </w:r>
      <w:r>
        <w:t xml:space="preserve">: a system whose refusal behavior ("I do not have enough information") is treated as a first-class, tested feature rather than a fallback, and whose human-approval gate is triggered specifically by </w:t>
      </w:r>
      <w:r>
        <w:rPr>
          <w:b/>
          <w:bCs/>
        </w:rPr>
        <w:t xml:space="preserve">irreversibility</w:t>
      </w:r>
      <w:r>
        <w:t xml:space="preserve"> of the downstream action (point transfer) rather than by a generic "high-stakes topic" heuristic. This is a more mature and more defensible pattern than blanket disclaimers, and it is worth stating explicitly as the project's core design thesis.</w:t>
      </w:r>
    </w:p>
    <w:p>
      <w:pPr>
        <w:pStyle w:val="Heading2"/>
        <w:spacing w:after="140" w:before="260"/>
      </w:pPr>
      <w:r>
        <w:t xml:space="preserve">1.7 Value Proposition</w:t>
      </w:r>
    </w:p>
    <w:tbl>
      <w:tblPr>
        <w:tblW w:type="dxa" w:w="9800"/>
        <w:tblBorders>
          <w:top w:val="single" w:color="BFBFBF" w:sz="2"/>
          <w:left w:val="single" w:color="BFBFBF" w:sz="2"/>
          <w:bottom w:val="single" w:color="BFBFBF" w:sz="2"/>
          <w:right w:val="single" w:color="BFBFBF" w:sz="2"/>
          <w:insideH w:val="single" w:color="D9D9D9" w:sz="2"/>
          <w:insideV w:val="single" w:color="D9D9D9" w:sz="2"/>
        </w:tblBorders>
      </w:tblPr>
      <w:tblGrid>
        <w:gridCol w:w="100"/>
        <w:gridCol w:w="100"/>
      </w:tblGrid>
      <w:tr>
        <w:trPr>
          <w:tblHeader/>
        </w:trPr>
        <w:tc>
          <w:tcPr>
            <w:tcW w:type="dxa" w:w="4900"/>
            <w:shd w:fill="1F4E79" w:color="auto" w:val="clear"/>
            <w:tcMar>
              <w:top w:type="dxa" w:w="80"/>
              <w:left w:type="dxa" w:w="100"/>
              <w:bottom w:type="dxa" w:w="80"/>
              <w:right w:type="dxa" w:w="100"/>
            </w:tcMar>
          </w:tcPr>
          <w:p>
            <w:r>
              <w:rPr>
                <w:b/>
                <w:bCs/>
                <w:color w:val="FFFFFF"/>
                <w:sz w:val="20"/>
                <w:szCs w:val="20"/>
              </w:rPr>
              <w:t xml:space="preserve">Stakeholder</w:t>
            </w:r>
          </w:p>
        </w:tc>
        <w:tc>
          <w:tcPr>
            <w:tcW w:type="dxa" w:w="4900"/>
            <w:shd w:fill="1F4E79" w:color="auto" w:val="clear"/>
            <w:tcMar>
              <w:top w:type="dxa" w:w="80"/>
              <w:left w:type="dxa" w:w="100"/>
              <w:bottom w:type="dxa" w:w="80"/>
              <w:right w:type="dxa" w:w="100"/>
            </w:tcMar>
          </w:tcPr>
          <w:p>
            <w:r>
              <w:rPr>
                <w:b/>
                <w:bCs/>
                <w:color w:val="FFFFFF"/>
                <w:sz w:val="20"/>
                <w:szCs w:val="20"/>
              </w:rPr>
              <w:t xml:space="preserve">Value delivered</w:t>
            </w:r>
          </w:p>
        </w:tc>
      </w:tr>
      <w:tr>
        <w:trPr>
          <w:tblHeader w:val="false"/>
        </w:trPr>
        <w:tc>
          <w:tcPr>
            <w:tcW w:type="dxa" w:w="4900"/>
            <w:tcMar>
              <w:top w:type="dxa" w:w="80"/>
              <w:left w:type="dxa" w:w="100"/>
              <w:bottom w:type="dxa" w:w="80"/>
              <w:right w:type="dxa" w:w="100"/>
            </w:tcMar>
          </w:tcPr>
          <w:p>
            <w:r>
              <w:rPr>
                <w:sz w:val="20"/>
                <w:szCs w:val="20"/>
              </w:rPr>
              <w:t xml:space="preserve">End user</w:t>
            </w:r>
          </w:p>
        </w:tc>
        <w:tc>
          <w:tcPr>
            <w:tcW w:type="dxa" w:w="4900"/>
            <w:tcMar>
              <w:top w:type="dxa" w:w="80"/>
              <w:left w:type="dxa" w:w="100"/>
              <w:bottom w:type="dxa" w:w="80"/>
              <w:right w:type="dxa" w:w="100"/>
            </w:tcMar>
          </w:tcPr>
          <w:p>
            <w:r>
              <w:rPr>
                <w:sz w:val="20"/>
                <w:szCs w:val="20"/>
              </w:rPr>
              <w:t xml:space="preserve">Higher captured reward value, lower cognitive load, safer transfer decisions</w:t>
            </w:r>
          </w:p>
        </w:tc>
      </w:tr>
      <w:tr>
        <w:trPr>
          <w:tblHeader w:val="false"/>
        </w:trPr>
        <w:tc>
          <w:tcPr>
            <w:tcW w:type="dxa" w:w="4900"/>
            <w:tcMar>
              <w:top w:type="dxa" w:w="80"/>
              <w:left w:type="dxa" w:w="100"/>
              <w:bottom w:type="dxa" w:w="80"/>
              <w:right w:type="dxa" w:w="100"/>
            </w:tcMar>
          </w:tcPr>
          <w:p>
            <w:r>
              <w:rPr>
                <w:sz w:val="20"/>
                <w:szCs w:val="20"/>
              </w:rPr>
              <w:t xml:space="preserve">Academic evaluator</w:t>
            </w:r>
          </w:p>
        </w:tc>
        <w:tc>
          <w:tcPr>
            <w:tcW w:type="dxa" w:w="4900"/>
            <w:tcMar>
              <w:top w:type="dxa" w:w="80"/>
              <w:left w:type="dxa" w:w="100"/>
              <w:bottom w:type="dxa" w:w="80"/>
              <w:right w:type="dxa" w:w="100"/>
            </w:tcMar>
          </w:tcPr>
          <w:p>
            <w:r>
              <w:rPr>
                <w:sz w:val="20"/>
                <w:szCs w:val="20"/>
              </w:rPr>
              <w:t xml:space="preserve">Demonstrated mastery of RAG, agents, tool use, evaluation, and safety engineering on a non-trivial domain</w:t>
            </w:r>
          </w:p>
        </w:tc>
      </w:tr>
      <w:tr>
        <w:trPr>
          <w:tblHeader w:val="false"/>
        </w:trPr>
        <w:tc>
          <w:tcPr>
            <w:tcW w:type="dxa" w:w="4900"/>
            <w:tcMar>
              <w:top w:type="dxa" w:w="80"/>
              <w:left w:type="dxa" w:w="100"/>
              <w:bottom w:type="dxa" w:w="80"/>
              <w:right w:type="dxa" w:w="100"/>
            </w:tcMar>
          </w:tcPr>
          <w:p>
            <w:r>
              <w:rPr>
                <w:sz w:val="20"/>
                <w:szCs w:val="20"/>
              </w:rPr>
              <w:t xml:space="preserve">Investor (if pursued commercially)</w:t>
            </w:r>
          </w:p>
        </w:tc>
        <w:tc>
          <w:tcPr>
            <w:tcW w:type="dxa" w:w="4900"/>
            <w:tcMar>
              <w:top w:type="dxa" w:w="80"/>
              <w:left w:type="dxa" w:w="100"/>
              <w:bottom w:type="dxa" w:w="80"/>
              <w:right w:type="dxa" w:w="100"/>
            </w:tcMar>
          </w:tcPr>
          <w:p>
            <w:r>
              <w:rPr>
                <w:sz w:val="20"/>
                <w:szCs w:val="20"/>
              </w:rPr>
              <w:t xml:space="preserve">A trust-differentiated wedge into a large, monetizable personal-finance category</w:t>
            </w:r>
          </w:p>
        </w:tc>
      </w:tr>
      <w:tr>
        <w:trPr>
          <w:tblHeader w:val="false"/>
        </w:trPr>
        <w:tc>
          <w:tcPr>
            <w:tcW w:type="dxa" w:w="4900"/>
            <w:tcMar>
              <w:top w:type="dxa" w:w="80"/>
              <w:left w:type="dxa" w:w="100"/>
              <w:bottom w:type="dxa" w:w="80"/>
              <w:right w:type="dxa" w:w="100"/>
            </w:tcMar>
          </w:tcPr>
          <w:p>
            <w:r>
              <w:rPr>
                <w:sz w:val="20"/>
                <w:szCs w:val="20"/>
              </w:rPr>
              <w:t xml:space="preserve">Future maintainer</w:t>
            </w:r>
          </w:p>
        </w:tc>
        <w:tc>
          <w:tcPr>
            <w:tcW w:type="dxa" w:w="4900"/>
            <w:tcMar>
              <w:top w:type="dxa" w:w="80"/>
              <w:left w:type="dxa" w:w="100"/>
              <w:bottom w:type="dxa" w:w="80"/>
              <w:right w:type="dxa" w:w="100"/>
            </w:tcMar>
          </w:tcPr>
          <w:p>
            <w:r>
              <w:rPr>
                <w:sz w:val="20"/>
                <w:szCs w:val="20"/>
              </w:rPr>
              <w:t xml:space="preserve">A modular, well-documented codebase where card data (the volatile part) is decoupled from agent logic (the stable part)</w:t>
            </w:r>
          </w:p>
        </w:tc>
      </w:tr>
    </w:tbl>
    <w:p>
      <w:pPr>
        <w:spacing w:after="200"/>
      </w:pPr>
    </w:p>
    <w:p>
      <w:pPr>
        <w:pStyle w:val="Heading1"/>
        <w:pageBreakBefore/>
        <w:spacing w:after="180" w:before="360"/>
      </w:pPr>
      <w:bookmarkStart w:name="sec1" w:id="1"/>
      <w:r>
        <w:t xml:space="preserve">2. Problem Analysis</w:t>
      </w:r>
      <w:bookmarkEnd w:id="1"/>
    </w:p>
    <w:p>
      <w:pPr>
        <w:pStyle w:val="Heading2"/>
        <w:spacing w:after="140" w:before="260"/>
      </w:pPr>
      <w:r>
        <w:t xml:space="preserve">2.1 Industry Pain Points</w:t>
      </w:r>
    </w:p>
    <w:p>
      <w:pPr>
        <w:spacing w:after="160" w:line="300"/>
      </w:pPr>
      <w:r>
        <w:rPr>
          <w:b/>
          <w:bCs/>
        </w:rPr>
        <w:t xml:space="preserve">Reward complexity.</w:t>
      </w:r>
      <w:r>
        <w:t xml:space="preserve"> Reward programs are intentionally multi-dimensional: category multipliers, merchant category code (MCC) based exclusions, spend tiers, milestone bonuses that apply retroactively at spend thresholds, and monthly/annual caps that reset on different cycles. No two issuers structure this identically, and issuers do not publish a machine-readable schema — everything is prose in a PDF or a T&amp;C page.</w:t>
      </w:r>
    </w:p>
    <w:p>
      <w:pPr>
        <w:spacing w:after="160" w:line="300"/>
      </w:pPr>
      <w:r>
        <w:rPr>
          <w:b/>
          <w:bCs/>
        </w:rPr>
        <w:t xml:space="preserve">Fragmented reward ecosystems.</w:t>
      </w:r>
      <w:r>
        <w:t xml:space="preserve"> A single user's "reward estate" spans multiple issuers, multiple loyalty currencies (issuer points, airline miles, hotel points, cashback), and multiple transfer partners with independently variable ratios. There is no unified ledger.</w:t>
      </w:r>
    </w:p>
    <w:p>
      <w:pPr>
        <w:spacing w:after="160" w:line="300"/>
      </w:pPr>
      <w:r>
        <w:rPr>
          <w:b/>
          <w:bCs/>
        </w:rPr>
        <w:t xml:space="preserve">Customer decision fatigue.</w:t>
      </w:r>
      <w:r>
        <w:t xml:space="preserve"> Behavioral economics research on choice overload applies directly: faced with 3+ cards and ambiguous rules, most users default to a single "habit" card and leave value on the table, or worse, guess.</w:t>
      </w:r>
    </w:p>
    <w:p>
      <w:pPr>
        <w:spacing w:after="160" w:line="300"/>
      </w:pPr>
      <w:r>
        <w:rPr>
          <w:b/>
          <w:bCs/>
        </w:rPr>
        <w:t xml:space="preserve">Lack of explainable recommendations.</w:t>
      </w:r>
      <w:r>
        <w:t xml:space="preserve"> Where recommendations exist (a bank's app suggesting "use this card"), they are rarely accompanied by the underlying rule or calculation, which limits trust and makes it impossible for the user to sanity-check the advice.</w:t>
      </w:r>
    </w:p>
    <w:p>
      <w:pPr>
        <w:spacing w:after="160" w:line="300"/>
      </w:pPr>
      <w:r>
        <w:rPr>
          <w:b/>
          <w:bCs/>
        </w:rPr>
        <w:t xml:space="preserve">Limitations of existing comparison websites.</w:t>
      </w:r>
      <w:r>
        <w:t xml:space="preserve"> These are largely </w:t>
      </w:r>
      <w:r>
        <w:rPr>
          <w:i/>
          <w:iCs/>
        </w:rPr>
        <w:t xml:space="preserve">catalog</w:t>
      </w:r>
      <w:r>
        <w:t xml:space="preserve"> tools (compare card A's advertised rates to card B's) rather than </w:t>
      </w:r>
      <w:r>
        <w:rPr>
          <w:i/>
          <w:iCs/>
        </w:rPr>
        <w:t xml:space="preserve">decision</w:t>
      </w:r>
      <w:r>
        <w:t xml:space="preserve"> tools (given spend of ₹X in category Y with cards you already own, what should you do today). They are also frequently monetized via card-issuance affiliate commissions, which is a structural conflict of interest with the "best card for the user" objective.</w:t>
      </w:r>
    </w:p>
    <w:p>
      <w:pPr>
        <w:pStyle w:val="Heading2"/>
        <w:spacing w:after="140" w:before="260"/>
      </w:pPr>
      <w:r>
        <w:t xml:space="preserve">2.2 Business Implications</w:t>
      </w:r>
    </w:p>
    <w:p>
      <w:pPr>
        <w:pStyle w:val="ListParagraph"/>
        <w:numPr>
          <w:ilvl w:val="0"/>
          <w:numId w:val="1"/>
        </w:numPr>
        <w:spacing w:after="80" w:line="290"/>
      </w:pPr>
      <w:r>
        <w:t xml:space="preserve">Card issuers benefit from complexity (users under-redeem value, cards go unused, effective APRs on unredeemed float benefit the issuer) — so there is no natural market incentive for issuers themselves to build this tool, which validates it as a </w:t>
      </w:r>
      <w:r>
        <w:rPr>
          <w:b/>
          <w:bCs/>
        </w:rPr>
        <w:t xml:space="preserve">third-party opportunity</w:t>
      </w:r>
      <w:r>
        <w:t xml:space="preserve">.</w:t>
      </w:r>
    </w:p>
    <w:p>
      <w:pPr>
        <w:pStyle w:val="ListParagraph"/>
        <w:numPr>
          <w:ilvl w:val="0"/>
          <w:numId w:val="1"/>
        </w:numPr>
        <w:spacing w:after="80" w:line="290"/>
      </w:pPr>
      <w:r>
        <w:t xml:space="preserve">Any product in this space that becomes popular will attract issuer attention (for both partnership and adversarial reasons — e.g., scraping/ToS concerns, discussed in Section 17).</w:t>
      </w:r>
    </w:p>
    <w:p>
      <w:pPr>
        <w:pStyle w:val="Heading2"/>
        <w:spacing w:after="140" w:before="260"/>
      </w:pPr>
      <w:r>
        <w:t xml:space="preserve">2.3 Customer Implications</w:t>
      </w:r>
    </w:p>
    <w:p>
      <w:pPr>
        <w:pStyle w:val="ListParagraph"/>
        <w:numPr>
          <w:ilvl w:val="0"/>
          <w:numId w:val="1"/>
        </w:numPr>
        <w:spacing w:after="80" w:line="290"/>
      </w:pPr>
      <w:r>
        <w:t xml:space="preserve">Under-optimization is invisible to the user — there's no error message when you leave 2% of a transaction's value on the table. This is precisely the kind of "silent" inefficiency that a well-designed nudge/recommendation system is suited to correct.</w:t>
      </w:r>
    </w:p>
    <w:p>
      <w:pPr>
        <w:pStyle w:val="Heading2"/>
        <w:spacing w:after="140" w:before="260"/>
      </w:pPr>
      <w:r>
        <w:t xml:space="preserve">2.4 Technical Implications</w:t>
      </w:r>
    </w:p>
    <w:p>
      <w:pPr>
        <w:pStyle w:val="ListParagraph"/>
        <w:numPr>
          <w:ilvl w:val="0"/>
          <w:numId w:val="1"/>
        </w:numPr>
        <w:spacing w:after="80" w:line="290"/>
      </w:pPr>
      <w:r>
        <w:t xml:space="preserve">The "ground truth" (card terms) is unstructured, frequently updated, and must be treated as </w:t>
      </w:r>
      <w:r>
        <w:rPr>
          <w:b/>
          <w:bCs/>
        </w:rPr>
        <w:t xml:space="preserve">untrusted and versioned data</w:t>
      </w:r>
      <w:r>
        <w:t xml:space="preserve">, not baked into a prompt. This single fact is the architectural root of nearly every design decision in Sections 10–13: it is why RAG exists, why there's a </w:t>
      </w:r>
      <w:r>
        <w:rPr>
          <w:rFonts w:ascii="Consolas" w:cs="Consolas" w:eastAsia="Consolas" w:hAnsi="Consolas"/>
          <w:shd w:fill="F0F0F0" w:val="clear"/>
        </w:rPr>
        <w:t xml:space="preserve">document_chunks</w:t>
      </w:r>
      <w:r>
        <w:t xml:space="preserve"> table with </w:t>
      </w:r>
      <w:r>
        <w:rPr>
          <w:rFonts w:ascii="Consolas" w:cs="Consolas" w:eastAsia="Consolas" w:hAnsi="Consolas"/>
          <w:shd w:fill="F0F0F0" w:val="clear"/>
        </w:rPr>
        <w:t xml:space="preserve">effective_date</w:t>
      </w:r>
      <w:r>
        <w:t xml:space="preserve">, why there's a </w:t>
      </w:r>
      <w:r>
        <w:rPr>
          <w:rFonts w:ascii="Consolas" w:cs="Consolas" w:eastAsia="Consolas" w:hAnsi="Consolas"/>
          <w:shd w:fill="F0F0F0" w:val="clear"/>
        </w:rPr>
        <w:t xml:space="preserve">rule_validation</w:t>
      </w:r>
      <w:r>
        <w:t xml:space="preserve"> node in the agent graph, and why guardrails explicitly forbid answering from parametric memory.</w:t>
      </w:r>
    </w:p>
    <w:p>
      <w:pPr>
        <w:pStyle w:val="Heading1"/>
        <w:pageBreakBefore/>
        <w:spacing w:after="180" w:before="360"/>
      </w:pPr>
      <w:bookmarkStart w:name="sec2" w:id="1"/>
      <w:r>
        <w:t xml:space="preserve">3. Goals</w:t>
      </w:r>
      <w:bookmarkEnd w:id="1"/>
    </w:p>
    <w:p>
      <w:pPr>
        <w:pStyle w:val="Heading2"/>
        <w:spacing w:after="140" w:before="260"/>
      </w:pPr>
      <w:r>
        <w:t xml:space="preserve">3.1 Business Goals</w:t>
      </w:r>
    </w:p>
    <w:p>
      <w:pPr>
        <w:pStyle w:val="ListParagraph"/>
        <w:numPr>
          <w:ilvl w:val="0"/>
          <w:numId w:val="1"/>
        </w:numPr>
        <w:spacing w:after="80" w:line="290"/>
      </w:pPr>
      <w:r>
        <w:t xml:space="preserve">Establish a defensible, trust-differentiated position in the reward-optimization category.</w:t>
      </w:r>
    </w:p>
    <w:p>
      <w:pPr>
        <w:pStyle w:val="ListParagraph"/>
        <w:numPr>
          <w:ilvl w:val="0"/>
          <w:numId w:val="1"/>
        </w:numPr>
        <w:spacing w:after="80" w:line="290"/>
      </w:pPr>
      <w:r>
        <w:t xml:space="preserve">Prove a monetizable value proposition (freemium: basic recommendations free, advanced multi-card optimization / transfer routing as a paid tier) — see Section 22 for cost structure that underpins this.</w:t>
      </w:r>
    </w:p>
    <w:p>
      <w:pPr>
        <w:pStyle w:val="Heading2"/>
        <w:spacing w:after="140" w:before="260"/>
      </w:pPr>
      <w:r>
        <w:t xml:space="preserve">3.2 Technical Goals</w:t>
      </w:r>
    </w:p>
    <w:p>
      <w:pPr>
        <w:pStyle w:val="ListParagraph"/>
        <w:numPr>
          <w:ilvl w:val="0"/>
          <w:numId w:val="1"/>
        </w:numPr>
        <w:spacing w:after="80" w:line="290"/>
      </w:pPr>
      <w:r>
        <w:t xml:space="preserve">Build a retrieval pipeline with measurable precision/recall on a golden test set (Section 20).</w:t>
      </w:r>
    </w:p>
    <w:p>
      <w:pPr>
        <w:pStyle w:val="ListParagraph"/>
        <w:numPr>
          <w:ilvl w:val="0"/>
          <w:numId w:val="1"/>
        </w:numPr>
        <w:spacing w:after="80" w:line="290"/>
      </w:pPr>
      <w:r>
        <w:t xml:space="preserve">Build an agent graph (LangGraph) with explicit state, retries, and a human-approval interrupt.</w:t>
      </w:r>
    </w:p>
    <w:p>
      <w:pPr>
        <w:pStyle w:val="ListParagraph"/>
        <w:numPr>
          <w:ilvl w:val="0"/>
          <w:numId w:val="1"/>
        </w:numPr>
        <w:spacing w:after="80" w:line="290"/>
      </w:pPr>
      <w:r>
        <w:t xml:space="preserve">Achieve deterministic, auditable arithmetic via a dedicated calculator tool — the LLM must never freehand a reward calculation.</w:t>
      </w:r>
    </w:p>
    <w:p>
      <w:pPr>
        <w:pStyle w:val="Heading2"/>
        <w:spacing w:after="140" w:before="260"/>
      </w:pPr>
      <w:r>
        <w:t xml:space="preserve">3.3 Academic Goals</w:t>
      </w:r>
    </w:p>
    <w:p>
      <w:pPr>
        <w:pStyle w:val="ListParagraph"/>
        <w:numPr>
          <w:ilvl w:val="0"/>
          <w:numId w:val="1"/>
        </w:numPr>
        <w:spacing w:after="80" w:line="290"/>
      </w:pPr>
      <w:r>
        <w:t xml:space="preserve">Demonstrate applied competence across the full modern LLM systems stack: ingestion, chunking, embeddings, hybrid retrieval, agent orchestration, memory, guardrails, human-in-the-loop, observability, and evaluation — in service of one coherent, real-world problem rather than isolated exercises.</w:t>
      </w:r>
    </w:p>
    <w:p>
      <w:pPr>
        <w:pStyle w:val="Heading2"/>
        <w:spacing w:after="140" w:before="260"/>
      </w:pPr>
      <w:r>
        <w:t xml:space="preserve">3.4 Research Goals</w:t>
      </w:r>
    </w:p>
    <w:p>
      <w:pPr>
        <w:pStyle w:val="ListParagraph"/>
        <w:numPr>
          <w:ilvl w:val="0"/>
          <w:numId w:val="1"/>
        </w:numPr>
        <w:spacing w:after="80" w:line="290"/>
      </w:pPr>
      <w:r>
        <w:t xml:space="preserve">Contribute a reusable evaluation harness for "grounded financial calculation" tasks: a class of problem (retrieve a rule → apply arithmetic → cite the rule) that is under-studied relative to open-domain QA RAG benchmarks.</w:t>
      </w:r>
    </w:p>
    <w:p>
      <w:pPr>
        <w:pStyle w:val="Heading2"/>
        <w:spacing w:after="140" w:before="260"/>
      </w:pPr>
      <w:r>
        <w:t xml:space="preserve">3.5 Long-Term Goals</w:t>
      </w:r>
    </w:p>
    <w:p>
      <w:pPr>
        <w:pStyle w:val="ListParagraph"/>
        <w:numPr>
          <w:ilvl w:val="0"/>
          <w:numId w:val="1"/>
        </w:numPr>
        <w:spacing w:after="80" w:line="290"/>
      </w:pPr>
      <w:r>
        <w:t xml:space="preserve">Expand from 4–5 manually curated cards to a maintained, larger card corpus with a human review step for extracted rules (see Section 23).</w:t>
      </w:r>
    </w:p>
    <w:p>
      <w:pPr>
        <w:pStyle w:val="Heading2"/>
        <w:spacing w:after="140" w:before="260"/>
      </w:pPr>
      <w:r>
        <w:t xml:space="preserve">3.6 Success Metrics / KPIs</w:t>
      </w:r>
    </w:p>
    <w:tbl>
      <w:tblPr>
        <w:tblW w:type="dxa" w:w="9800"/>
        <w:tblBorders>
          <w:top w:val="single" w:color="BFBFBF" w:sz="2"/>
          <w:left w:val="single" w:color="BFBFBF" w:sz="2"/>
          <w:bottom w:val="single" w:color="BFBFBF" w:sz="2"/>
          <w:right w:val="single" w:color="BFBFBF" w:sz="2"/>
          <w:insideH w:val="single" w:color="D9D9D9" w:sz="2"/>
          <w:insideV w:val="single" w:color="D9D9D9" w:sz="2"/>
        </w:tblBorders>
      </w:tblPr>
      <w:tblGrid>
        <w:gridCol w:w="100"/>
        <w:gridCol w:w="100"/>
        <w:gridCol w:w="100"/>
      </w:tblGrid>
      <w:tr>
        <w:trPr>
          <w:tblHeader/>
        </w:trPr>
        <w:tc>
          <w:tcPr>
            <w:tcW w:type="dxa" w:w="3266"/>
            <w:shd w:fill="1F4E79" w:color="auto" w:val="clear"/>
            <w:tcMar>
              <w:top w:type="dxa" w:w="80"/>
              <w:left w:type="dxa" w:w="100"/>
              <w:bottom w:type="dxa" w:w="80"/>
              <w:right w:type="dxa" w:w="100"/>
            </w:tcMar>
          </w:tcPr>
          <w:p>
            <w:r>
              <w:rPr>
                <w:b/>
                <w:bCs/>
                <w:color w:val="FFFFFF"/>
                <w:sz w:val="20"/>
                <w:szCs w:val="20"/>
              </w:rPr>
              <w:t xml:space="preserve">Metric</w:t>
            </w:r>
          </w:p>
        </w:tc>
        <w:tc>
          <w:tcPr>
            <w:tcW w:type="dxa" w:w="3266"/>
            <w:shd w:fill="1F4E79" w:color="auto" w:val="clear"/>
            <w:tcMar>
              <w:top w:type="dxa" w:w="80"/>
              <w:left w:type="dxa" w:w="100"/>
              <w:bottom w:type="dxa" w:w="80"/>
              <w:right w:type="dxa" w:w="100"/>
            </w:tcMar>
          </w:tcPr>
          <w:p>
            <w:r>
              <w:rPr>
                <w:b/>
                <w:bCs/>
                <w:color w:val="FFFFFF"/>
                <w:sz w:val="20"/>
                <w:szCs w:val="20"/>
              </w:rPr>
              <w:t xml:space="preserve">Target (MVP)</w:t>
            </w:r>
          </w:p>
        </w:tc>
        <w:tc>
          <w:tcPr>
            <w:tcW w:type="dxa" w:w="3266"/>
            <w:shd w:fill="1F4E79" w:color="auto" w:val="clear"/>
            <w:tcMar>
              <w:top w:type="dxa" w:w="80"/>
              <w:left w:type="dxa" w:w="100"/>
              <w:bottom w:type="dxa" w:w="80"/>
              <w:right w:type="dxa" w:w="100"/>
            </w:tcMar>
          </w:tcPr>
          <w:p>
            <w:r>
              <w:rPr>
                <w:b/>
                <w:bCs/>
                <w:color w:val="FFFFFF"/>
                <w:sz w:val="20"/>
                <w:szCs w:val="20"/>
              </w:rPr>
              <w:t xml:space="preserve">Target (Stage 3)</w:t>
            </w:r>
          </w:p>
        </w:tc>
      </w:tr>
      <w:tr>
        <w:trPr>
          <w:tblHeader w:val="false"/>
        </w:trPr>
        <w:tc>
          <w:tcPr>
            <w:tcW w:type="dxa" w:w="3266"/>
            <w:tcMar>
              <w:top w:type="dxa" w:w="80"/>
              <w:left w:type="dxa" w:w="100"/>
              <w:bottom w:type="dxa" w:w="80"/>
              <w:right w:type="dxa" w:w="100"/>
            </w:tcMar>
          </w:tcPr>
          <w:p>
            <w:r>
              <w:rPr>
                <w:sz w:val="20"/>
                <w:szCs w:val="20"/>
              </w:rPr>
              <w:t xml:space="preserve">Retrieval Precision@5</w:t>
            </w:r>
          </w:p>
        </w:tc>
        <w:tc>
          <w:tcPr>
            <w:tcW w:type="dxa" w:w="3266"/>
            <w:tcMar>
              <w:top w:type="dxa" w:w="80"/>
              <w:left w:type="dxa" w:w="100"/>
              <w:bottom w:type="dxa" w:w="80"/>
              <w:right w:type="dxa" w:w="100"/>
            </w:tcMar>
          </w:tcPr>
          <w:p>
            <w:r>
              <w:rPr>
                <w:sz w:val="20"/>
                <w:szCs w:val="20"/>
              </w:rPr>
              <w:t xml:space="preserve">≥ 0.75</w:t>
            </w:r>
          </w:p>
        </w:tc>
        <w:tc>
          <w:tcPr>
            <w:tcW w:type="dxa" w:w="3266"/>
            <w:tcMar>
              <w:top w:type="dxa" w:w="80"/>
              <w:left w:type="dxa" w:w="100"/>
              <w:bottom w:type="dxa" w:w="80"/>
              <w:right w:type="dxa" w:w="100"/>
            </w:tcMar>
          </w:tcPr>
          <w:p>
            <w:r>
              <w:rPr>
                <w:sz w:val="20"/>
                <w:szCs w:val="20"/>
              </w:rPr>
              <w:t xml:space="preserve">≥ 0.90</w:t>
            </w:r>
          </w:p>
        </w:tc>
      </w:tr>
      <w:tr>
        <w:trPr>
          <w:tblHeader w:val="false"/>
        </w:trPr>
        <w:tc>
          <w:tcPr>
            <w:tcW w:type="dxa" w:w="3266"/>
            <w:tcMar>
              <w:top w:type="dxa" w:w="80"/>
              <w:left w:type="dxa" w:w="100"/>
              <w:bottom w:type="dxa" w:w="80"/>
              <w:right w:type="dxa" w:w="100"/>
            </w:tcMar>
          </w:tcPr>
          <w:p>
            <w:r>
              <w:rPr>
                <w:sz w:val="20"/>
                <w:szCs w:val="20"/>
              </w:rPr>
              <w:t xml:space="preserve">Calculation accuracy (golden set)</w:t>
            </w:r>
          </w:p>
        </w:tc>
        <w:tc>
          <w:tcPr>
            <w:tcW w:type="dxa" w:w="3266"/>
            <w:tcMar>
              <w:top w:type="dxa" w:w="80"/>
              <w:left w:type="dxa" w:w="100"/>
              <w:bottom w:type="dxa" w:w="80"/>
              <w:right w:type="dxa" w:w="100"/>
            </w:tcMar>
          </w:tcPr>
          <w:p>
            <w:r>
              <w:rPr>
                <w:sz w:val="20"/>
                <w:szCs w:val="20"/>
              </w:rPr>
              <w:t xml:space="preserve">100% (deterministic tool)</w:t>
            </w:r>
          </w:p>
        </w:tc>
        <w:tc>
          <w:tcPr>
            <w:tcW w:type="dxa" w:w="3266"/>
            <w:tcMar>
              <w:top w:type="dxa" w:w="80"/>
              <w:left w:type="dxa" w:w="100"/>
              <w:bottom w:type="dxa" w:w="80"/>
              <w:right w:type="dxa" w:w="100"/>
            </w:tcMar>
          </w:tcPr>
          <w:p>
            <w:r>
              <w:rPr>
                <w:sz w:val="20"/>
                <w:szCs w:val="20"/>
              </w:rPr>
              <w:t xml:space="preserve">100%</w:t>
            </w:r>
          </w:p>
        </w:tc>
      </w:tr>
      <w:tr>
        <w:trPr>
          <w:tblHeader w:val="false"/>
        </w:trPr>
        <w:tc>
          <w:tcPr>
            <w:tcW w:type="dxa" w:w="3266"/>
            <w:tcMar>
              <w:top w:type="dxa" w:w="80"/>
              <w:left w:type="dxa" w:w="100"/>
              <w:bottom w:type="dxa" w:w="80"/>
              <w:right w:type="dxa" w:w="100"/>
            </w:tcMar>
          </w:tcPr>
          <w:p>
            <w:r>
              <w:rPr>
                <w:sz w:val="20"/>
                <w:szCs w:val="20"/>
              </w:rPr>
              <w:t xml:space="preserve">Hallucinated-rule rate</w:t>
            </w:r>
          </w:p>
        </w:tc>
        <w:tc>
          <w:tcPr>
            <w:tcW w:type="dxa" w:w="3266"/>
            <w:tcMar>
              <w:top w:type="dxa" w:w="80"/>
              <w:left w:type="dxa" w:w="100"/>
              <w:bottom w:type="dxa" w:w="80"/>
              <w:right w:type="dxa" w:w="100"/>
            </w:tcMar>
          </w:tcPr>
          <w:p>
            <w:r>
              <w:rPr>
                <w:sz w:val="20"/>
                <w:szCs w:val="20"/>
              </w:rPr>
              <w:t xml:space="preserve">&lt; 5%</w:t>
            </w:r>
          </w:p>
        </w:tc>
        <w:tc>
          <w:tcPr>
            <w:tcW w:type="dxa" w:w="3266"/>
            <w:tcMar>
              <w:top w:type="dxa" w:w="80"/>
              <w:left w:type="dxa" w:w="100"/>
              <w:bottom w:type="dxa" w:w="80"/>
              <w:right w:type="dxa" w:w="100"/>
            </w:tcMar>
          </w:tcPr>
          <w:p>
            <w:r>
              <w:rPr>
                <w:sz w:val="20"/>
                <w:szCs w:val="20"/>
              </w:rPr>
              <w:t xml:space="preserve">0% (guardrail-blocked)</w:t>
            </w:r>
          </w:p>
        </w:tc>
      </w:tr>
      <w:tr>
        <w:trPr>
          <w:tblHeader w:val="false"/>
        </w:trPr>
        <w:tc>
          <w:tcPr>
            <w:tcW w:type="dxa" w:w="3266"/>
            <w:tcMar>
              <w:top w:type="dxa" w:w="80"/>
              <w:left w:type="dxa" w:w="100"/>
              <w:bottom w:type="dxa" w:w="80"/>
              <w:right w:type="dxa" w:w="100"/>
            </w:tcMar>
          </w:tcPr>
          <w:p>
            <w:r>
              <w:rPr>
                <w:sz w:val="20"/>
                <w:szCs w:val="20"/>
              </w:rPr>
              <w:t xml:space="preserve">Median end-to-end latency</w:t>
            </w:r>
          </w:p>
        </w:tc>
        <w:tc>
          <w:tcPr>
            <w:tcW w:type="dxa" w:w="3266"/>
            <w:tcMar>
              <w:top w:type="dxa" w:w="80"/>
              <w:left w:type="dxa" w:w="100"/>
              <w:bottom w:type="dxa" w:w="80"/>
              <w:right w:type="dxa" w:w="100"/>
            </w:tcMar>
          </w:tcPr>
          <w:p>
            <w:r>
              <w:rPr>
                <w:sz w:val="20"/>
                <w:szCs w:val="20"/>
              </w:rPr>
              <w:t xml:space="preserve">&lt; 8s</w:t>
            </w:r>
          </w:p>
        </w:tc>
        <w:tc>
          <w:tcPr>
            <w:tcW w:type="dxa" w:w="3266"/>
            <w:tcMar>
              <w:top w:type="dxa" w:w="80"/>
              <w:left w:type="dxa" w:w="100"/>
              <w:bottom w:type="dxa" w:w="80"/>
              <w:right w:type="dxa" w:w="100"/>
            </w:tcMar>
          </w:tcPr>
          <w:p>
            <w:r>
              <w:rPr>
                <w:sz w:val="20"/>
                <w:szCs w:val="20"/>
              </w:rPr>
              <w:t xml:space="preserve">&lt; 4s</w:t>
            </w:r>
          </w:p>
        </w:tc>
      </w:tr>
      <w:tr>
        <w:trPr>
          <w:tblHeader w:val="false"/>
        </w:trPr>
        <w:tc>
          <w:tcPr>
            <w:tcW w:type="dxa" w:w="3266"/>
            <w:tcMar>
              <w:top w:type="dxa" w:w="80"/>
              <w:left w:type="dxa" w:w="100"/>
              <w:bottom w:type="dxa" w:w="80"/>
              <w:right w:type="dxa" w:w="100"/>
            </w:tcMar>
          </w:tcPr>
          <w:p>
            <w:r>
              <w:rPr>
                <w:sz w:val="20"/>
                <w:szCs w:val="20"/>
              </w:rPr>
              <w:t xml:space="preserve">"Insufficient information" precision (doesn't over-refuse or under-refuse)</w:t>
            </w:r>
          </w:p>
        </w:tc>
        <w:tc>
          <w:tcPr>
            <w:tcW w:type="dxa" w:w="3266"/>
            <w:tcMar>
              <w:top w:type="dxa" w:w="80"/>
              <w:left w:type="dxa" w:w="100"/>
              <w:bottom w:type="dxa" w:w="80"/>
              <w:right w:type="dxa" w:w="100"/>
            </w:tcMar>
          </w:tcPr>
          <w:p>
            <w:r>
              <w:rPr>
                <w:sz w:val="20"/>
                <w:szCs w:val="20"/>
              </w:rPr>
              <w:t xml:space="preserve">Manually graded ≥ 80%</w:t>
            </w:r>
          </w:p>
        </w:tc>
        <w:tc>
          <w:tcPr>
            <w:tcW w:type="dxa" w:w="3266"/>
            <w:tcMar>
              <w:top w:type="dxa" w:w="80"/>
              <w:left w:type="dxa" w:w="100"/>
              <w:bottom w:type="dxa" w:w="80"/>
              <w:right w:type="dxa" w:w="100"/>
            </w:tcMar>
          </w:tcPr>
          <w:p>
            <w:r>
              <w:rPr>
                <w:sz w:val="20"/>
                <w:szCs w:val="20"/>
              </w:rPr>
              <w:t xml:space="preserve">≥ 95%</w:t>
            </w:r>
          </w:p>
        </w:tc>
      </w:tr>
      <w:tr>
        <w:trPr>
          <w:tblHeader w:val="false"/>
        </w:trPr>
        <w:tc>
          <w:tcPr>
            <w:tcW w:type="dxa" w:w="3266"/>
            <w:tcMar>
              <w:top w:type="dxa" w:w="80"/>
              <w:left w:type="dxa" w:w="100"/>
              <w:bottom w:type="dxa" w:w="80"/>
              <w:right w:type="dxa" w:w="100"/>
            </w:tcMar>
          </w:tcPr>
          <w:p>
            <w:r>
              <w:rPr>
                <w:sz w:val="20"/>
                <w:szCs w:val="20"/>
              </w:rPr>
              <w:t xml:space="preserve">User-reported trust (survey, 1–5)</w:t>
            </w:r>
          </w:p>
        </w:tc>
        <w:tc>
          <w:tcPr>
            <w:tcW w:type="dxa" w:w="3266"/>
            <w:tcMar>
              <w:top w:type="dxa" w:w="80"/>
              <w:left w:type="dxa" w:w="100"/>
              <w:bottom w:type="dxa" w:w="80"/>
              <w:right w:type="dxa" w:w="100"/>
            </w:tcMar>
          </w:tcPr>
          <w:p>
            <w:r>
              <w:rPr>
                <w:sz w:val="20"/>
                <w:szCs w:val="20"/>
              </w:rPr>
              <w:t xml:space="preserve">N/A (no users yet)</w:t>
            </w:r>
          </w:p>
        </w:tc>
        <w:tc>
          <w:tcPr>
            <w:tcW w:type="dxa" w:w="3266"/>
            <w:tcMar>
              <w:top w:type="dxa" w:w="80"/>
              <w:left w:type="dxa" w:w="100"/>
              <w:bottom w:type="dxa" w:w="80"/>
              <w:right w:type="dxa" w:w="100"/>
            </w:tcMar>
          </w:tcPr>
          <w:p>
            <w:r>
              <w:rPr>
                <w:sz w:val="20"/>
                <w:szCs w:val="20"/>
              </w:rPr>
              <w:t xml:space="preserve">≥ 4.0</w:t>
            </w:r>
          </w:p>
        </w:tc>
      </w:tr>
    </w:tbl>
    <w:p>
      <w:pPr>
        <w:spacing w:after="200"/>
      </w:pPr>
    </w:p>
    <w:p>
      <w:pPr>
        <w:pStyle w:val="Heading2"/>
        <w:spacing w:after="140" w:before="260"/>
      </w:pPr>
      <w:r>
        <w:t xml:space="preserve">3.7 Non-Goals (explicitly out of scope for this capstone)</w:t>
      </w:r>
    </w:p>
    <w:p>
      <w:pPr>
        <w:pStyle w:val="ListParagraph"/>
        <w:numPr>
          <w:ilvl w:val="0"/>
          <w:numId w:val="1"/>
        </w:numPr>
        <w:spacing w:after="80" w:line="290"/>
      </w:pPr>
      <w:r>
        <w:t xml:space="preserve">Real-time, authoritative issuer API integration (no major Indian issuer exposes this publicly as of this writing — this is a </w:t>
      </w:r>
      <w:r>
        <w:rPr>
          <w:i/>
          <w:iCs/>
        </w:rPr>
        <w:t xml:space="preserve">future scope</w:t>
      </w:r>
      <w:r>
        <w:t xml:space="preserve"> item, Section 23).</w:t>
      </w:r>
    </w:p>
    <w:p>
      <w:pPr>
        <w:pStyle w:val="ListParagraph"/>
        <w:numPr>
          <w:ilvl w:val="0"/>
          <w:numId w:val="1"/>
        </w:numPr>
        <w:spacing w:after="80" w:line="290"/>
      </w:pPr>
      <w:r>
        <w:t xml:space="preserve">Automated execution of point transfers (the system recommends; it does not act as a broker or transact on the user's behalf).</w:t>
      </w:r>
    </w:p>
    <w:p>
      <w:pPr>
        <w:pStyle w:val="ListParagraph"/>
        <w:numPr>
          <w:ilvl w:val="0"/>
          <w:numId w:val="1"/>
        </w:numPr>
        <w:spacing w:after="80" w:line="290"/>
      </w:pPr>
      <w:r>
        <w:t xml:space="preserve">Personalized regulated financial advice in the legal sense (SEBI/RBI-registered advisory) — the system is explicitly scoped as an </w:t>
      </w:r>
      <w:r>
        <w:rPr>
          <w:i/>
          <w:iCs/>
        </w:rPr>
        <w:t xml:space="preserve">informational optimization tool</w:t>
      </w:r>
      <w:r>
        <w:t xml:space="preserve">, not investment or credit advice, and this framing must appear in-product (Section 18).</w:t>
      </w:r>
    </w:p>
    <w:p>
      <w:pPr>
        <w:pStyle w:val="ListParagraph"/>
        <w:numPr>
          <w:ilvl w:val="0"/>
          <w:numId w:val="1"/>
        </w:numPr>
        <w:spacing w:after="80" w:line="290"/>
      </w:pPr>
      <w:r>
        <w:t xml:space="preserve">Credit score impact analysis, debt/interest optimization, or card </w:t>
      </w:r>
      <w:r>
        <w:rPr>
          <w:i/>
          <w:iCs/>
        </w:rPr>
        <w:t xml:space="preserve">acquisition</w:t>
      </w:r>
      <w:r>
        <w:t xml:space="preserve"> recommendations (i.e., "which new card should I apply for") — scoped as a v2 feature at most.</w:t>
      </w:r>
    </w:p>
    <w:p>
      <w:pPr>
        <w:pStyle w:val="Heading1"/>
        <w:pageBreakBefore/>
        <w:spacing w:after="180" w:before="360"/>
      </w:pPr>
      <w:bookmarkStart w:name="sec3" w:id="1"/>
      <w:r>
        <w:t xml:space="preserve">4. Market Research</w:t>
      </w:r>
      <w:bookmarkEnd w:id="1"/>
    </w:p>
    <w:tbl>
      <w:tblPr>
        <w:tblW w:type="dxa" w:w="9800"/>
        <w:tblBorders>
          <w:top w:val="single" w:color="BFBFBF" w:sz="2"/>
          <w:left w:val="single" w:color="BFBFBF" w:sz="2"/>
          <w:bottom w:val="single" w:color="BFBFBF" w:sz="2"/>
          <w:right w:val="single" w:color="BFBFBF" w:sz="2"/>
          <w:insideH w:val="single" w:color="D9D9D9" w:sz="2"/>
          <w:insideV w:val="single" w:color="D9D9D9" w:sz="2"/>
        </w:tblBorders>
      </w:tblPr>
      <w:tblGrid>
        <w:gridCol w:w="100"/>
        <w:gridCol w:w="100"/>
        <w:gridCol w:w="100"/>
        <w:gridCol w:w="100"/>
      </w:tblGrid>
      <w:tr>
        <w:trPr>
          <w:tblHeader/>
        </w:trPr>
        <w:tc>
          <w:tcPr>
            <w:tcW w:type="dxa" w:w="2450"/>
            <w:shd w:fill="1F4E79" w:color="auto" w:val="clear"/>
            <w:tcMar>
              <w:top w:type="dxa" w:w="80"/>
              <w:left w:type="dxa" w:w="100"/>
              <w:bottom w:type="dxa" w:w="80"/>
              <w:right w:type="dxa" w:w="100"/>
            </w:tcMar>
          </w:tcPr>
          <w:p>
            <w:r>
              <w:rPr>
                <w:b/>
                <w:bCs/>
                <w:color w:val="FFFFFF"/>
                <w:sz w:val="20"/>
                <w:szCs w:val="20"/>
              </w:rPr>
              <w:t xml:space="preserve">Product</w:t>
            </w:r>
          </w:p>
        </w:tc>
        <w:tc>
          <w:tcPr>
            <w:tcW w:type="dxa" w:w="2450"/>
            <w:shd w:fill="1F4E79" w:color="auto" w:val="clear"/>
            <w:tcMar>
              <w:top w:type="dxa" w:w="80"/>
              <w:left w:type="dxa" w:w="100"/>
              <w:bottom w:type="dxa" w:w="80"/>
              <w:right w:type="dxa" w:w="100"/>
            </w:tcMar>
          </w:tcPr>
          <w:p>
            <w:r>
              <w:rPr>
                <w:b/>
                <w:bCs/>
                <w:color w:val="FFFFFF"/>
                <w:sz w:val="20"/>
                <w:szCs w:val="20"/>
              </w:rPr>
              <w:t xml:space="preserve">Core function</w:t>
            </w:r>
          </w:p>
        </w:tc>
        <w:tc>
          <w:tcPr>
            <w:tcW w:type="dxa" w:w="2450"/>
            <w:shd w:fill="1F4E79" w:color="auto" w:val="clear"/>
            <w:tcMar>
              <w:top w:type="dxa" w:w="80"/>
              <w:left w:type="dxa" w:w="100"/>
              <w:bottom w:type="dxa" w:w="80"/>
              <w:right w:type="dxa" w:w="100"/>
            </w:tcMar>
          </w:tcPr>
          <w:p>
            <w:r>
              <w:rPr>
                <w:b/>
                <w:bCs/>
                <w:color w:val="FFFFFF"/>
                <w:sz w:val="20"/>
                <w:szCs w:val="20"/>
              </w:rPr>
              <w:t xml:space="preserve">Strengths</w:t>
            </w:r>
          </w:p>
        </w:tc>
        <w:tc>
          <w:tcPr>
            <w:tcW w:type="dxa" w:w="2450"/>
            <w:shd w:fill="1F4E79" w:color="auto" w:val="clear"/>
            <w:tcMar>
              <w:top w:type="dxa" w:w="80"/>
              <w:left w:type="dxa" w:w="100"/>
              <w:bottom w:type="dxa" w:w="80"/>
              <w:right w:type="dxa" w:w="100"/>
            </w:tcMar>
          </w:tcPr>
          <w:p>
            <w:r>
              <w:rPr>
                <w:b/>
                <w:bCs/>
                <w:color w:val="FFFFFF"/>
                <w:sz w:val="20"/>
                <w:szCs w:val="20"/>
              </w:rPr>
              <w:t xml:space="preserve">Weaknesses</w:t>
            </w:r>
          </w:p>
        </w:tc>
      </w:tr>
      <w:tr>
        <w:trPr>
          <w:tblHeader w:val="false"/>
        </w:trPr>
        <w:tc>
          <w:tcPr>
            <w:tcW w:type="dxa" w:w="2450"/>
            <w:tcMar>
              <w:top w:type="dxa" w:w="80"/>
              <w:left w:type="dxa" w:w="100"/>
              <w:bottom w:type="dxa" w:w="80"/>
              <w:right w:type="dxa" w:w="100"/>
            </w:tcMar>
          </w:tcPr>
          <w:p>
            <w:r>
              <w:rPr>
                <w:b/>
                <w:bCs/>
                <w:sz w:val="20"/>
                <w:szCs w:val="20"/>
              </w:rPr>
              <w:t xml:space="preserve">CardExpert / CardInsider (India-focused blogs)</w:t>
            </w:r>
          </w:p>
        </w:tc>
        <w:tc>
          <w:tcPr>
            <w:tcW w:type="dxa" w:w="2450"/>
            <w:tcMar>
              <w:top w:type="dxa" w:w="80"/>
              <w:left w:type="dxa" w:w="100"/>
              <w:bottom w:type="dxa" w:w="80"/>
              <w:right w:type="dxa" w:w="100"/>
            </w:tcMar>
          </w:tcPr>
          <w:p>
            <w:r>
              <w:rPr>
                <w:sz w:val="20"/>
                <w:szCs w:val="20"/>
              </w:rPr>
              <w:t xml:space="preserve">Editorial card comparison &amp; news</w:t>
            </w:r>
          </w:p>
        </w:tc>
        <w:tc>
          <w:tcPr>
            <w:tcW w:type="dxa" w:w="2450"/>
            <w:tcMar>
              <w:top w:type="dxa" w:w="80"/>
              <w:left w:type="dxa" w:w="100"/>
              <w:bottom w:type="dxa" w:w="80"/>
              <w:right w:type="dxa" w:w="100"/>
            </w:tcMar>
          </w:tcPr>
          <w:p>
            <w:r>
              <w:rPr>
                <w:sz w:val="20"/>
                <w:szCs w:val="20"/>
              </w:rPr>
              <w:t xml:space="preserve">Deep India-specific domain knowledge, community trust</w:t>
            </w:r>
          </w:p>
        </w:tc>
        <w:tc>
          <w:tcPr>
            <w:tcW w:type="dxa" w:w="2450"/>
            <w:tcMar>
              <w:top w:type="dxa" w:w="80"/>
              <w:left w:type="dxa" w:w="100"/>
              <w:bottom w:type="dxa" w:w="80"/>
              <w:right w:type="dxa" w:w="100"/>
            </w:tcMar>
          </w:tcPr>
          <w:p>
            <w:r>
              <w:rPr>
                <w:sz w:val="20"/>
                <w:szCs w:val="20"/>
              </w:rPr>
              <w:t xml:space="preserve">Static content, not personalized, monetized via affiliate links (conflict of interest), no per-transaction calculation</w:t>
            </w:r>
          </w:p>
        </w:tc>
      </w:tr>
      <w:tr>
        <w:trPr>
          <w:tblHeader w:val="false"/>
        </w:trPr>
        <w:tc>
          <w:tcPr>
            <w:tcW w:type="dxa" w:w="2450"/>
            <w:tcMar>
              <w:top w:type="dxa" w:w="80"/>
              <w:left w:type="dxa" w:w="100"/>
              <w:bottom w:type="dxa" w:w="80"/>
              <w:right w:type="dxa" w:w="100"/>
            </w:tcMar>
          </w:tcPr>
          <w:p>
            <w:r>
              <w:rPr>
                <w:b/>
                <w:bCs/>
                <w:sz w:val="20"/>
                <w:szCs w:val="20"/>
              </w:rPr>
              <w:t xml:space="preserve">Cred</w:t>
            </w:r>
          </w:p>
        </w:tc>
        <w:tc>
          <w:tcPr>
            <w:tcW w:type="dxa" w:w="2450"/>
            <w:tcMar>
              <w:top w:type="dxa" w:w="80"/>
              <w:left w:type="dxa" w:w="100"/>
              <w:bottom w:type="dxa" w:w="80"/>
              <w:right w:type="dxa" w:w="100"/>
            </w:tcMar>
          </w:tcPr>
          <w:p>
            <w:r>
              <w:rPr>
                <w:sz w:val="20"/>
                <w:szCs w:val="20"/>
              </w:rPr>
              <w:t xml:space="preserve">Card bill payment + rewards/cred-coins</w:t>
            </w:r>
          </w:p>
        </w:tc>
        <w:tc>
          <w:tcPr>
            <w:tcW w:type="dxa" w:w="2450"/>
            <w:tcMar>
              <w:top w:type="dxa" w:w="80"/>
              <w:left w:type="dxa" w:w="100"/>
              <w:bottom w:type="dxa" w:w="80"/>
              <w:right w:type="dxa" w:w="100"/>
            </w:tcMar>
          </w:tcPr>
          <w:p>
            <w:r>
              <w:rPr>
                <w:sz w:val="20"/>
                <w:szCs w:val="20"/>
              </w:rPr>
              <w:t xml:space="preserve">Huge distribution, slick UX, payment rail integration</w:t>
            </w:r>
          </w:p>
        </w:tc>
        <w:tc>
          <w:tcPr>
            <w:tcW w:type="dxa" w:w="2450"/>
            <w:tcMar>
              <w:top w:type="dxa" w:w="80"/>
              <w:left w:type="dxa" w:w="100"/>
              <w:bottom w:type="dxa" w:w="80"/>
              <w:right w:type="dxa" w:w="100"/>
            </w:tcMar>
          </w:tcPr>
          <w:p>
            <w:r>
              <w:rPr>
                <w:sz w:val="20"/>
                <w:szCs w:val="20"/>
              </w:rPr>
              <w:t xml:space="preserve">Rewards are Cred's own coin economy, not issuer-reward optimization; doesn't advise across issuer reward programs</w:t>
            </w:r>
          </w:p>
        </w:tc>
      </w:tr>
      <w:tr>
        <w:trPr>
          <w:tblHeader w:val="false"/>
        </w:trPr>
        <w:tc>
          <w:tcPr>
            <w:tcW w:type="dxa" w:w="2450"/>
            <w:tcMar>
              <w:top w:type="dxa" w:w="80"/>
              <w:left w:type="dxa" w:w="100"/>
              <w:bottom w:type="dxa" w:w="80"/>
              <w:right w:type="dxa" w:w="100"/>
            </w:tcMar>
          </w:tcPr>
          <w:p>
            <w:r>
              <w:rPr>
                <w:b/>
                <w:bCs/>
                <w:sz w:val="20"/>
                <w:szCs w:val="20"/>
              </w:rPr>
              <w:t xml:space="preserve">Technofino (forum)</w:t>
            </w:r>
          </w:p>
        </w:tc>
        <w:tc>
          <w:tcPr>
            <w:tcW w:type="dxa" w:w="2450"/>
            <w:tcMar>
              <w:top w:type="dxa" w:w="80"/>
              <w:left w:type="dxa" w:w="100"/>
              <w:bottom w:type="dxa" w:w="80"/>
              <w:right w:type="dxa" w:w="100"/>
            </w:tcMar>
          </w:tcPr>
          <w:p>
            <w:r>
              <w:rPr>
                <w:sz w:val="20"/>
                <w:szCs w:val="20"/>
              </w:rPr>
              <w:t xml:space="preserve">Community discussion of card terms/experiences</w:t>
            </w:r>
          </w:p>
        </w:tc>
        <w:tc>
          <w:tcPr>
            <w:tcW w:type="dxa" w:w="2450"/>
            <w:tcMar>
              <w:top w:type="dxa" w:w="80"/>
              <w:left w:type="dxa" w:w="100"/>
              <w:bottom w:type="dxa" w:w="80"/>
              <w:right w:type="dxa" w:w="100"/>
            </w:tcMar>
          </w:tcPr>
          <w:p>
            <w:r>
              <w:rPr>
                <w:sz w:val="20"/>
                <w:szCs w:val="20"/>
              </w:rPr>
              <w:t xml:space="preserve">Extremely current, crowdsourced edge cases</w:t>
            </w:r>
          </w:p>
        </w:tc>
        <w:tc>
          <w:tcPr>
            <w:tcW w:type="dxa" w:w="2450"/>
            <w:tcMar>
              <w:top w:type="dxa" w:w="80"/>
              <w:left w:type="dxa" w:w="100"/>
              <w:bottom w:type="dxa" w:w="80"/>
              <w:right w:type="dxa" w:w="100"/>
            </w:tcMar>
          </w:tcPr>
          <w:p>
            <w:r>
              <w:rPr>
                <w:sz w:val="20"/>
                <w:szCs w:val="20"/>
              </w:rPr>
              <w:t xml:space="preserve">Unstructured, requires manual reading, no computation, advice quality varies</w:t>
            </w:r>
          </w:p>
        </w:tc>
      </w:tr>
      <w:tr>
        <w:trPr>
          <w:tblHeader w:val="false"/>
        </w:trPr>
        <w:tc>
          <w:tcPr>
            <w:tcW w:type="dxa" w:w="2450"/>
            <w:tcMar>
              <w:top w:type="dxa" w:w="80"/>
              <w:left w:type="dxa" w:w="100"/>
              <w:bottom w:type="dxa" w:w="80"/>
              <w:right w:type="dxa" w:w="100"/>
            </w:tcMar>
          </w:tcPr>
          <w:p>
            <w:r>
              <w:rPr>
                <w:b/>
                <w:bCs/>
                <w:sz w:val="20"/>
                <w:szCs w:val="20"/>
              </w:rPr>
              <w:t xml:space="preserve">AwardWallet</w:t>
            </w:r>
          </w:p>
        </w:tc>
        <w:tc>
          <w:tcPr>
            <w:tcW w:type="dxa" w:w="2450"/>
            <w:tcMar>
              <w:top w:type="dxa" w:w="80"/>
              <w:left w:type="dxa" w:w="100"/>
              <w:bottom w:type="dxa" w:w="80"/>
              <w:right w:type="dxa" w:w="100"/>
            </w:tcMar>
          </w:tcPr>
          <w:p>
            <w:r>
              <w:rPr>
                <w:sz w:val="20"/>
                <w:szCs w:val="20"/>
              </w:rPr>
              <w:t xml:space="preserve">Multi-loyalty-program balance aggregation</w:t>
            </w:r>
          </w:p>
        </w:tc>
        <w:tc>
          <w:tcPr>
            <w:tcW w:type="dxa" w:w="2450"/>
            <w:tcMar>
              <w:top w:type="dxa" w:w="80"/>
              <w:left w:type="dxa" w:w="100"/>
              <w:bottom w:type="dxa" w:w="80"/>
              <w:right w:type="dxa" w:w="100"/>
            </w:tcMar>
          </w:tcPr>
          <w:p>
            <w:r>
              <w:rPr>
                <w:sz w:val="20"/>
                <w:szCs w:val="20"/>
              </w:rPr>
              <w:t xml:space="preserve">Strong aggregation across airlines/hotels/cards</w:t>
            </w:r>
          </w:p>
        </w:tc>
        <w:tc>
          <w:tcPr>
            <w:tcW w:type="dxa" w:w="2450"/>
            <w:tcMar>
              <w:top w:type="dxa" w:w="80"/>
              <w:left w:type="dxa" w:w="100"/>
              <w:bottom w:type="dxa" w:w="80"/>
              <w:right w:type="dxa" w:w="100"/>
            </w:tcMar>
          </w:tcPr>
          <w:p>
            <w:r>
              <w:rPr>
                <w:sz w:val="20"/>
                <w:szCs w:val="20"/>
              </w:rPr>
              <w:t xml:space="preserve">Purely a tracker — no transaction-level recommendation or calculation engine</w:t>
            </w:r>
          </w:p>
        </w:tc>
      </w:tr>
      <w:tr>
        <w:trPr>
          <w:tblHeader w:val="false"/>
        </w:trPr>
        <w:tc>
          <w:tcPr>
            <w:tcW w:type="dxa" w:w="2450"/>
            <w:tcMar>
              <w:top w:type="dxa" w:w="80"/>
              <w:left w:type="dxa" w:w="100"/>
              <w:bottom w:type="dxa" w:w="80"/>
              <w:right w:type="dxa" w:w="100"/>
            </w:tcMar>
          </w:tcPr>
          <w:p>
            <w:r>
              <w:rPr>
                <w:b/>
                <w:bCs/>
                <w:sz w:val="20"/>
                <w:szCs w:val="20"/>
              </w:rPr>
              <w:t xml:space="preserve">MaxRewards</w:t>
            </w:r>
          </w:p>
        </w:tc>
        <w:tc>
          <w:tcPr>
            <w:tcW w:type="dxa" w:w="2450"/>
            <w:tcMar>
              <w:top w:type="dxa" w:w="80"/>
              <w:left w:type="dxa" w:w="100"/>
              <w:bottom w:type="dxa" w:w="80"/>
              <w:right w:type="dxa" w:w="100"/>
            </w:tcMar>
          </w:tcPr>
          <w:p>
            <w:r>
              <w:rPr>
                <w:sz w:val="20"/>
                <w:szCs w:val="20"/>
              </w:rPr>
              <w:t xml:space="preserve">US-focused card offer/reward tracking &amp; activation</w:t>
            </w:r>
          </w:p>
        </w:tc>
        <w:tc>
          <w:tcPr>
            <w:tcW w:type="dxa" w:w="2450"/>
            <w:tcMar>
              <w:top w:type="dxa" w:w="80"/>
              <w:left w:type="dxa" w:w="100"/>
              <w:bottom w:type="dxa" w:w="80"/>
              <w:right w:type="dxa" w:w="100"/>
            </w:tcMar>
          </w:tcPr>
          <w:p>
            <w:r>
              <w:rPr>
                <w:sz w:val="20"/>
                <w:szCs w:val="20"/>
              </w:rPr>
              <w:t xml:space="preserve">Automated offer activation, reward tracking</w:t>
            </w:r>
          </w:p>
        </w:tc>
        <w:tc>
          <w:tcPr>
            <w:tcW w:type="dxa" w:w="2450"/>
            <w:tcMar>
              <w:top w:type="dxa" w:w="80"/>
              <w:left w:type="dxa" w:w="100"/>
              <w:bottom w:type="dxa" w:w="80"/>
              <w:right w:type="dxa" w:w="100"/>
            </w:tcMar>
          </w:tcPr>
          <w:p>
            <w:r>
              <w:rPr>
                <w:sz w:val="20"/>
                <w:szCs w:val="20"/>
              </w:rPr>
              <w:t xml:space="preserve">US-market only, no transfer-partner optimization reasoning, no explainability layer</w:t>
            </w:r>
          </w:p>
        </w:tc>
      </w:tr>
      <w:tr>
        <w:trPr>
          <w:tblHeader w:val="false"/>
        </w:trPr>
        <w:tc>
          <w:tcPr>
            <w:tcW w:type="dxa" w:w="2450"/>
            <w:tcMar>
              <w:top w:type="dxa" w:w="80"/>
              <w:left w:type="dxa" w:w="100"/>
              <w:bottom w:type="dxa" w:w="80"/>
              <w:right w:type="dxa" w:w="100"/>
            </w:tcMar>
          </w:tcPr>
          <w:p>
            <w:r>
              <w:rPr>
                <w:b/>
                <w:bCs/>
                <w:sz w:val="20"/>
                <w:szCs w:val="20"/>
              </w:rPr>
              <w:t xml:space="preserve">CardPointers</w:t>
            </w:r>
          </w:p>
        </w:tc>
        <w:tc>
          <w:tcPr>
            <w:tcW w:type="dxa" w:w="2450"/>
            <w:tcMar>
              <w:top w:type="dxa" w:w="80"/>
              <w:left w:type="dxa" w:w="100"/>
              <w:bottom w:type="dxa" w:w="80"/>
              <w:right w:type="dxa" w:w="100"/>
            </w:tcMar>
          </w:tcPr>
          <w:p>
            <w:r>
              <w:rPr>
                <w:sz w:val="20"/>
                <w:szCs w:val="20"/>
              </w:rPr>
              <w:t xml:space="preserve">US-focused "which card to use" recommender</w:t>
            </w:r>
          </w:p>
        </w:tc>
        <w:tc>
          <w:tcPr>
            <w:tcW w:type="dxa" w:w="2450"/>
            <w:tcMar>
              <w:top w:type="dxa" w:w="80"/>
              <w:left w:type="dxa" w:w="100"/>
              <w:bottom w:type="dxa" w:w="80"/>
              <w:right w:type="dxa" w:w="100"/>
            </w:tcMar>
          </w:tcPr>
          <w:p>
            <w:r>
              <w:rPr>
                <w:sz w:val="20"/>
                <w:szCs w:val="20"/>
              </w:rPr>
              <w:t xml:space="preserve">Closest functional analog — per-purchase card suggestion</w:t>
            </w:r>
          </w:p>
        </w:tc>
        <w:tc>
          <w:tcPr>
            <w:tcW w:type="dxa" w:w="2450"/>
            <w:tcMar>
              <w:top w:type="dxa" w:w="80"/>
              <w:left w:type="dxa" w:w="100"/>
              <w:bottom w:type="dxa" w:w="80"/>
              <w:right w:type="dxa" w:w="100"/>
            </w:tcMar>
          </w:tcPr>
          <w:p>
            <w:r>
              <w:rPr>
                <w:sz w:val="20"/>
                <w:szCs w:val="20"/>
              </w:rPr>
              <w:t xml:space="preserve">Rule-based/lookup rather than RAG+agent; limited explainability of </w:t>
            </w:r>
            <w:r>
              <w:rPr>
                <w:i/>
                <w:iCs/>
                <w:sz w:val="20"/>
                <w:szCs w:val="20"/>
              </w:rPr>
              <w:t xml:space="preserve">why</w:t>
            </w:r>
            <w:r>
              <w:rPr>
                <w:sz w:val="20"/>
                <w:szCs w:val="20"/>
              </w:rPr>
              <w:t xml:space="preserve">; US card ecosystem only, thin category-cap/milestone modeling</w:t>
            </w:r>
          </w:p>
        </w:tc>
      </w:tr>
      <w:tr>
        <w:trPr>
          <w:tblHeader w:val="false"/>
        </w:trPr>
        <w:tc>
          <w:tcPr>
            <w:tcW w:type="dxa" w:w="2450"/>
            <w:tcMar>
              <w:top w:type="dxa" w:w="80"/>
              <w:left w:type="dxa" w:w="100"/>
              <w:bottom w:type="dxa" w:w="80"/>
              <w:right w:type="dxa" w:w="100"/>
            </w:tcMar>
          </w:tcPr>
          <w:p>
            <w:r>
              <w:rPr>
                <w:b/>
                <w:bCs/>
                <w:sz w:val="20"/>
                <w:szCs w:val="20"/>
              </w:rPr>
              <w:t xml:space="preserve">NerdWallet</w:t>
            </w:r>
          </w:p>
        </w:tc>
        <w:tc>
          <w:tcPr>
            <w:tcW w:type="dxa" w:w="2450"/>
            <w:tcMar>
              <w:top w:type="dxa" w:w="80"/>
              <w:left w:type="dxa" w:w="100"/>
              <w:bottom w:type="dxa" w:w="80"/>
              <w:right w:type="dxa" w:w="100"/>
            </w:tcMar>
          </w:tcPr>
          <w:p>
            <w:r>
              <w:rPr>
                <w:sz w:val="20"/>
                <w:szCs w:val="20"/>
              </w:rPr>
              <w:t xml:space="preserve">General personal-finance comparison &amp; content</w:t>
            </w:r>
          </w:p>
        </w:tc>
        <w:tc>
          <w:tcPr>
            <w:tcW w:type="dxa" w:w="2450"/>
            <w:tcMar>
              <w:top w:type="dxa" w:w="80"/>
              <w:left w:type="dxa" w:w="100"/>
              <w:bottom w:type="dxa" w:w="80"/>
              <w:right w:type="dxa" w:w="100"/>
            </w:tcMar>
          </w:tcPr>
          <w:p>
            <w:r>
              <w:rPr>
                <w:sz w:val="20"/>
                <w:szCs w:val="20"/>
              </w:rPr>
              <w:t xml:space="preserve">Trusted brand, broad content</w:t>
            </w:r>
          </w:p>
        </w:tc>
        <w:tc>
          <w:tcPr>
            <w:tcW w:type="dxa" w:w="2450"/>
            <w:tcMar>
              <w:top w:type="dxa" w:w="80"/>
              <w:left w:type="dxa" w:w="100"/>
              <w:bottom w:type="dxa" w:w="80"/>
              <w:right w:type="dxa" w:w="100"/>
            </w:tcMar>
          </w:tcPr>
          <w:p>
            <w:r>
              <w:rPr>
                <w:sz w:val="20"/>
                <w:szCs w:val="20"/>
              </w:rPr>
              <w:t xml:space="preserve">Generic advice, not tied to user's actual owned cards or real-time cap state, affiliate-monetized</w:t>
            </w:r>
          </w:p>
        </w:tc>
      </w:tr>
      <w:tr>
        <w:trPr>
          <w:tblHeader w:val="false"/>
        </w:trPr>
        <w:tc>
          <w:tcPr>
            <w:tcW w:type="dxa" w:w="2450"/>
            <w:tcMar>
              <w:top w:type="dxa" w:w="80"/>
              <w:left w:type="dxa" w:w="100"/>
              <w:bottom w:type="dxa" w:w="80"/>
              <w:right w:type="dxa" w:w="100"/>
            </w:tcMar>
          </w:tcPr>
          <w:p>
            <w:r>
              <w:rPr>
                <w:b/>
                <w:bCs/>
                <w:sz w:val="20"/>
                <w:szCs w:val="20"/>
              </w:rPr>
              <w:t xml:space="preserve">The Points Guy</w:t>
            </w:r>
          </w:p>
        </w:tc>
        <w:tc>
          <w:tcPr>
            <w:tcW w:type="dxa" w:w="2450"/>
            <w:tcMar>
              <w:top w:type="dxa" w:w="80"/>
              <w:left w:type="dxa" w:w="100"/>
              <w:bottom w:type="dxa" w:w="80"/>
              <w:right w:type="dxa" w:w="100"/>
            </w:tcMar>
          </w:tcPr>
          <w:p>
            <w:r>
              <w:rPr>
                <w:sz w:val="20"/>
                <w:szCs w:val="20"/>
              </w:rPr>
              <w:t xml:space="preserve">Editorial valuation of points/miles</w:t>
            </w:r>
          </w:p>
        </w:tc>
        <w:tc>
          <w:tcPr>
            <w:tcW w:type="dxa" w:w="2450"/>
            <w:tcMar>
              <w:top w:type="dxa" w:w="80"/>
              <w:left w:type="dxa" w:w="100"/>
              <w:bottom w:type="dxa" w:w="80"/>
              <w:right w:type="dxa" w:w="100"/>
            </w:tcMar>
          </w:tcPr>
          <w:p>
            <w:r>
              <w:rPr>
                <w:sz w:val="20"/>
                <w:szCs w:val="20"/>
              </w:rPr>
              <w:t xml:space="preserve">Widely cited point-valuation figures</w:t>
            </w:r>
          </w:p>
        </w:tc>
        <w:tc>
          <w:tcPr>
            <w:tcW w:type="dxa" w:w="2450"/>
            <w:tcMar>
              <w:top w:type="dxa" w:w="80"/>
              <w:left w:type="dxa" w:w="100"/>
              <w:bottom w:type="dxa" w:w="80"/>
              <w:right w:type="dxa" w:w="100"/>
            </w:tcMar>
          </w:tcPr>
          <w:p>
            <w:r>
              <w:rPr>
                <w:sz w:val="20"/>
                <w:szCs w:val="20"/>
              </w:rPr>
              <w:t xml:space="preserve">Editorial, not computational; valuations are averages, not user-specific</w:t>
            </w:r>
          </w:p>
        </w:tc>
      </w:tr>
    </w:tbl>
    <w:p>
      <w:pPr>
        <w:spacing w:after="200"/>
      </w:pPr>
    </w:p>
    <w:p>
      <w:pPr>
        <w:pStyle w:val="Heading2"/>
        <w:spacing w:after="140" w:before="260"/>
      </w:pPr>
      <w:r>
        <w:t xml:space="preserve">4.1 Market Gap</w:t>
      </w:r>
    </w:p>
    <w:p>
      <w:pPr>
        <w:spacing w:after="160" w:line="300"/>
      </w:pPr>
      <w:r>
        <w:t xml:space="preserve">No reviewed competitor combines: (a) retrieval grounded in the user's actual owned-card documents, (b) transparent, cited arithmetic, (c) explicit caps/exclusion/milestone modeling, and (d) an approval gate for irreversible actions. CardPointers is the closest functional analog but is rule-table based, not RAG/agent based, which limits its ability to explain </w:t>
      </w:r>
      <w:r>
        <w:rPr>
          <w:i/>
          <w:iCs/>
        </w:rPr>
        <w:t xml:space="preserve">why</w:t>
      </w:r>
      <w:r>
        <w:t xml:space="preserve"> (it cannot cite the source clause) and to gracefully handle novel or ambiguous queries.</w:t>
      </w:r>
    </w:p>
    <w:p>
      <w:pPr>
        <w:pStyle w:val="Heading2"/>
        <w:spacing w:after="140" w:before="260"/>
      </w:pPr>
      <w:r>
        <w:t xml:space="preserve">4.2 Differentiation &amp; Competitive Advantage</w:t>
      </w:r>
    </w:p>
    <w:p>
      <w:pPr>
        <w:spacing w:after="160" w:line="300"/>
      </w:pPr>
      <w:r>
        <w:t xml:space="preserve">The Agent's competitive moat, if pursued past capstone stage, is </w:t>
      </w:r>
      <w:r>
        <w:rPr>
          <w:b/>
          <w:bCs/>
        </w:rPr>
        <w:t xml:space="preserve">not</w:t>
      </w:r>
      <w:r>
        <w:t xml:space="preserve"> the LLM (a commodity) but:</w:t>
      </w:r>
    </w:p>
    <w:p>
      <w:pPr>
        <w:pStyle w:val="ListParagraph"/>
        <w:numPr>
          <w:ilvl w:val="0"/>
          <w:numId w:val="2"/>
        </w:numPr>
        <w:spacing w:after="80" w:line="290"/>
      </w:pPr>
      <w:r>
        <w:t xml:space="preserve">The curated, versioned, structured extraction layer (</w:t>
      </w:r>
      <w:r>
        <w:rPr>
          <w:rFonts w:ascii="Consolas" w:cs="Consolas" w:eastAsia="Consolas" w:hAnsi="Consolas"/>
          <w:shd w:fill="F0F0F0" w:val="clear"/>
        </w:rPr>
        <w:t xml:space="preserve">reward_rules</w:t>
      </w:r>
      <w:r>
        <w:t xml:space="preserve">, </w:t>
      </w:r>
      <w:r>
        <w:rPr>
          <w:rFonts w:ascii="Consolas" w:cs="Consolas" w:eastAsia="Consolas" w:hAnsi="Consolas"/>
          <w:shd w:fill="F0F0F0" w:val="clear"/>
        </w:rPr>
        <w:t xml:space="preserve">transfer_partners</w:t>
      </w:r>
      <w:r>
        <w:t xml:space="preserve"> tables) — this is the expensive, defensible asset.</w:t>
      </w:r>
    </w:p>
    <w:p>
      <w:pPr>
        <w:pStyle w:val="ListParagraph"/>
        <w:numPr>
          <w:ilvl w:val="0"/>
          <w:numId w:val="2"/>
        </w:numPr>
        <w:spacing w:after="80" w:line="290"/>
      </w:pPr>
      <w:r>
        <w:t xml:space="preserve">The evaluation harness that lets the team trust and iterate on that extraction layer safely.</w:t>
      </w:r>
    </w:p>
    <w:p>
      <w:pPr>
        <w:pStyle w:val="ListParagraph"/>
        <w:numPr>
          <w:ilvl w:val="0"/>
          <w:numId w:val="2"/>
        </w:numPr>
        <w:spacing w:after="80" w:line="290"/>
      </w:pPr>
      <w:r>
        <w:t xml:space="preserve">The guardrail/UX pattern of "explain, cite, and gate irreversible actions" as a trust signal, which is a product decision, not just a technical one.</w:t>
      </w:r>
    </w:p>
    <w:p>
      <w:pPr>
        <w:pStyle w:val="Heading1"/>
        <w:pageBreakBefore/>
        <w:spacing w:after="180" w:before="360"/>
      </w:pPr>
      <w:bookmarkStart w:name="sec4" w:id="1"/>
      <w:r>
        <w:t xml:space="preserve">5. Stakeholder Analysis</w:t>
      </w:r>
      <w:bookmarkEnd w:id="1"/>
    </w:p>
    <w:tbl>
      <w:tblPr>
        <w:tblW w:type="dxa" w:w="9800"/>
        <w:tblBorders>
          <w:top w:val="single" w:color="BFBFBF" w:sz="2"/>
          <w:left w:val="single" w:color="BFBFBF" w:sz="2"/>
          <w:bottom w:val="single" w:color="BFBFBF" w:sz="2"/>
          <w:right w:val="single" w:color="BFBFBF" w:sz="2"/>
          <w:insideH w:val="single" w:color="D9D9D9" w:sz="2"/>
          <w:insideV w:val="single" w:color="D9D9D9" w:sz="2"/>
        </w:tblBorders>
      </w:tblPr>
      <w:tblGrid>
        <w:gridCol w:w="100"/>
        <w:gridCol w:w="100"/>
        <w:gridCol w:w="100"/>
      </w:tblGrid>
      <w:tr>
        <w:trPr>
          <w:tblHeader/>
        </w:trPr>
        <w:tc>
          <w:tcPr>
            <w:tcW w:type="dxa" w:w="3266"/>
            <w:shd w:fill="1F4E79" w:color="auto" w:val="clear"/>
            <w:tcMar>
              <w:top w:type="dxa" w:w="80"/>
              <w:left w:type="dxa" w:w="100"/>
              <w:bottom w:type="dxa" w:w="80"/>
              <w:right w:type="dxa" w:w="100"/>
            </w:tcMar>
          </w:tcPr>
          <w:p>
            <w:r>
              <w:rPr>
                <w:b/>
                <w:bCs/>
                <w:color w:val="FFFFFF"/>
                <w:sz w:val="20"/>
                <w:szCs w:val="20"/>
              </w:rPr>
              <w:t xml:space="preserve">Stakeholder</w:t>
            </w:r>
          </w:p>
        </w:tc>
        <w:tc>
          <w:tcPr>
            <w:tcW w:type="dxa" w:w="3266"/>
            <w:shd w:fill="1F4E79" w:color="auto" w:val="clear"/>
            <w:tcMar>
              <w:top w:type="dxa" w:w="80"/>
              <w:left w:type="dxa" w:w="100"/>
              <w:bottom w:type="dxa" w:w="80"/>
              <w:right w:type="dxa" w:w="100"/>
            </w:tcMar>
          </w:tcPr>
          <w:p>
            <w:r>
              <w:rPr>
                <w:b/>
                <w:bCs/>
                <w:color w:val="FFFFFF"/>
                <w:sz w:val="20"/>
                <w:szCs w:val="20"/>
              </w:rPr>
              <w:t xml:space="preserve">Interest</w:t>
            </w:r>
          </w:p>
        </w:tc>
        <w:tc>
          <w:tcPr>
            <w:tcW w:type="dxa" w:w="3266"/>
            <w:shd w:fill="1F4E79" w:color="auto" w:val="clear"/>
            <w:tcMar>
              <w:top w:type="dxa" w:w="80"/>
              <w:left w:type="dxa" w:w="100"/>
              <w:bottom w:type="dxa" w:w="80"/>
              <w:right w:type="dxa" w:w="100"/>
            </w:tcMar>
          </w:tcPr>
          <w:p>
            <w:r>
              <w:rPr>
                <w:b/>
                <w:bCs/>
                <w:color w:val="FFFFFF"/>
                <w:sz w:val="20"/>
                <w:szCs w:val="20"/>
              </w:rPr>
              <w:t xml:space="preserve">Key concern</w:t>
            </w:r>
          </w:p>
        </w:tc>
      </w:tr>
      <w:tr>
        <w:trPr>
          <w:tblHeader w:val="false"/>
        </w:trPr>
        <w:tc>
          <w:tcPr>
            <w:tcW w:type="dxa" w:w="3266"/>
            <w:tcMar>
              <w:top w:type="dxa" w:w="80"/>
              <w:left w:type="dxa" w:w="100"/>
              <w:bottom w:type="dxa" w:w="80"/>
              <w:right w:type="dxa" w:w="100"/>
            </w:tcMar>
          </w:tcPr>
          <w:p>
            <w:r>
              <w:rPr>
                <w:b/>
                <w:bCs/>
                <w:sz w:val="20"/>
                <w:szCs w:val="20"/>
              </w:rPr>
              <w:t xml:space="preserve">Students / capstone author</w:t>
            </w:r>
          </w:p>
        </w:tc>
        <w:tc>
          <w:tcPr>
            <w:tcW w:type="dxa" w:w="3266"/>
            <w:tcMar>
              <w:top w:type="dxa" w:w="80"/>
              <w:left w:type="dxa" w:w="100"/>
              <w:bottom w:type="dxa" w:w="80"/>
              <w:right w:type="dxa" w:w="100"/>
            </w:tcMar>
          </w:tcPr>
          <w:p>
            <w:r>
              <w:rPr>
                <w:sz w:val="20"/>
                <w:szCs w:val="20"/>
              </w:rPr>
              <w:t xml:space="preserve">Deliver a technically rigorous, gradeable, portfolio-worthy system</w:t>
            </w:r>
          </w:p>
        </w:tc>
        <w:tc>
          <w:tcPr>
            <w:tcW w:type="dxa" w:w="3266"/>
            <w:tcMar>
              <w:top w:type="dxa" w:w="80"/>
              <w:left w:type="dxa" w:w="100"/>
              <w:bottom w:type="dxa" w:w="80"/>
              <w:right w:type="dxa" w:w="100"/>
            </w:tcMar>
          </w:tcPr>
          <w:p>
            <w:r>
              <w:rPr>
                <w:sz w:val="20"/>
                <w:szCs w:val="20"/>
              </w:rPr>
              <w:t xml:space="preserve">Scope control; must not let ambition (Section-25-style scope) exceed timeline</w:t>
            </w:r>
          </w:p>
        </w:tc>
      </w:tr>
      <w:tr>
        <w:trPr>
          <w:tblHeader w:val="false"/>
        </w:trPr>
        <w:tc>
          <w:tcPr>
            <w:tcW w:type="dxa" w:w="3266"/>
            <w:tcMar>
              <w:top w:type="dxa" w:w="80"/>
              <w:left w:type="dxa" w:w="100"/>
              <w:bottom w:type="dxa" w:w="80"/>
              <w:right w:type="dxa" w:w="100"/>
            </w:tcMar>
          </w:tcPr>
          <w:p>
            <w:r>
              <w:rPr>
                <w:b/>
                <w:bCs/>
                <w:sz w:val="20"/>
                <w:szCs w:val="20"/>
              </w:rPr>
              <w:t xml:space="preserve">End users</w:t>
            </w:r>
          </w:p>
        </w:tc>
        <w:tc>
          <w:tcPr>
            <w:tcW w:type="dxa" w:w="3266"/>
            <w:tcMar>
              <w:top w:type="dxa" w:w="80"/>
              <w:left w:type="dxa" w:w="100"/>
              <w:bottom w:type="dxa" w:w="80"/>
              <w:right w:type="dxa" w:w="100"/>
            </w:tcMar>
          </w:tcPr>
          <w:p>
            <w:r>
              <w:rPr>
                <w:sz w:val="20"/>
                <w:szCs w:val="20"/>
              </w:rPr>
              <w:t xml:space="preserve">Accurate, fast, trustworthy card recommendations</w:t>
            </w:r>
          </w:p>
        </w:tc>
        <w:tc>
          <w:tcPr>
            <w:tcW w:type="dxa" w:w="3266"/>
            <w:tcMar>
              <w:top w:type="dxa" w:w="80"/>
              <w:left w:type="dxa" w:w="100"/>
              <w:bottom w:type="dxa" w:w="80"/>
              <w:right w:type="dxa" w:w="100"/>
            </w:tcMar>
          </w:tcPr>
          <w:p>
            <w:r>
              <w:rPr>
                <w:sz w:val="20"/>
                <w:szCs w:val="20"/>
              </w:rPr>
              <w:t xml:space="preserve">Correctness, privacy of spend data, no hallucinated benefits</w:t>
            </w:r>
          </w:p>
        </w:tc>
      </w:tr>
      <w:tr>
        <w:trPr>
          <w:tblHeader w:val="false"/>
        </w:trPr>
        <w:tc>
          <w:tcPr>
            <w:tcW w:type="dxa" w:w="3266"/>
            <w:tcMar>
              <w:top w:type="dxa" w:w="80"/>
              <w:left w:type="dxa" w:w="100"/>
              <w:bottom w:type="dxa" w:w="80"/>
              <w:right w:type="dxa" w:w="100"/>
            </w:tcMar>
          </w:tcPr>
          <w:p>
            <w:r>
              <w:rPr>
                <w:b/>
                <w:bCs/>
                <w:sz w:val="20"/>
                <w:szCs w:val="20"/>
              </w:rPr>
              <w:t xml:space="preserve">Banks/issuers</w:t>
            </w:r>
          </w:p>
        </w:tc>
        <w:tc>
          <w:tcPr>
            <w:tcW w:type="dxa" w:w="3266"/>
            <w:tcMar>
              <w:top w:type="dxa" w:w="80"/>
              <w:left w:type="dxa" w:w="100"/>
              <w:bottom w:type="dxa" w:w="80"/>
              <w:right w:type="dxa" w:w="100"/>
            </w:tcMar>
          </w:tcPr>
          <w:p>
            <w:r>
              <w:rPr>
                <w:sz w:val="20"/>
                <w:szCs w:val="20"/>
              </w:rPr>
              <w:t xml:space="preserve">Neutral-to-wary; tool could increase or decrease card usage/loyalty depending on framing</w:t>
            </w:r>
          </w:p>
        </w:tc>
        <w:tc>
          <w:tcPr>
            <w:tcW w:type="dxa" w:w="3266"/>
            <w:tcMar>
              <w:top w:type="dxa" w:w="80"/>
              <w:left w:type="dxa" w:w="100"/>
              <w:bottom w:type="dxa" w:w="80"/>
              <w:right w:type="dxa" w:w="100"/>
            </w:tcMar>
          </w:tcPr>
          <w:p>
            <w:r>
              <w:rPr>
                <w:sz w:val="20"/>
                <w:szCs w:val="20"/>
              </w:rPr>
              <w:t xml:space="preserve">Terms-of-service/scraping concerns if data sourced from public sites at scale (Section 17)</w:t>
            </w:r>
          </w:p>
        </w:tc>
      </w:tr>
      <w:tr>
        <w:trPr>
          <w:tblHeader w:val="false"/>
        </w:trPr>
        <w:tc>
          <w:tcPr>
            <w:tcW w:type="dxa" w:w="3266"/>
            <w:tcMar>
              <w:top w:type="dxa" w:w="80"/>
              <w:left w:type="dxa" w:w="100"/>
              <w:bottom w:type="dxa" w:w="80"/>
              <w:right w:type="dxa" w:w="100"/>
            </w:tcMar>
          </w:tcPr>
          <w:p>
            <w:r>
              <w:rPr>
                <w:b/>
                <w:bCs/>
                <w:sz w:val="20"/>
                <w:szCs w:val="20"/>
              </w:rPr>
              <w:t xml:space="preserve">Developers/future maintainers</w:t>
            </w:r>
          </w:p>
        </w:tc>
        <w:tc>
          <w:tcPr>
            <w:tcW w:type="dxa" w:w="3266"/>
            <w:tcMar>
              <w:top w:type="dxa" w:w="80"/>
              <w:left w:type="dxa" w:w="100"/>
              <w:bottom w:type="dxa" w:w="80"/>
              <w:right w:type="dxa" w:w="100"/>
            </w:tcMar>
          </w:tcPr>
          <w:p>
            <w:r>
              <w:rPr>
                <w:sz w:val="20"/>
                <w:szCs w:val="20"/>
              </w:rPr>
              <w:t xml:space="preserve">Maintainable, well-documented, testable codebase</w:t>
            </w:r>
          </w:p>
        </w:tc>
        <w:tc>
          <w:tcPr>
            <w:tcW w:type="dxa" w:w="3266"/>
            <w:tcMar>
              <w:top w:type="dxa" w:w="80"/>
              <w:left w:type="dxa" w:w="100"/>
              <w:bottom w:type="dxa" w:w="80"/>
              <w:right w:type="dxa" w:w="100"/>
            </w:tcMar>
          </w:tcPr>
          <w:p>
            <w:r>
              <w:rPr>
                <w:sz w:val="20"/>
                <w:szCs w:val="20"/>
              </w:rPr>
              <w:t xml:space="preserve">Card data goes stale; needs a sustainable update pipeline</w:t>
            </w:r>
          </w:p>
        </w:tc>
      </w:tr>
      <w:tr>
        <w:trPr>
          <w:tblHeader w:val="false"/>
        </w:trPr>
        <w:tc>
          <w:tcPr>
            <w:tcW w:type="dxa" w:w="3266"/>
            <w:tcMar>
              <w:top w:type="dxa" w:w="80"/>
              <w:left w:type="dxa" w:w="100"/>
              <w:bottom w:type="dxa" w:w="80"/>
              <w:right w:type="dxa" w:w="100"/>
            </w:tcMar>
          </w:tcPr>
          <w:p>
            <w:r>
              <w:rPr>
                <w:b/>
                <w:bCs/>
                <w:sz w:val="20"/>
                <w:szCs w:val="20"/>
              </w:rPr>
              <w:t xml:space="preserve">Project supervisors/evaluators</w:t>
            </w:r>
          </w:p>
        </w:tc>
        <w:tc>
          <w:tcPr>
            <w:tcW w:type="dxa" w:w="3266"/>
            <w:tcMar>
              <w:top w:type="dxa" w:w="80"/>
              <w:left w:type="dxa" w:w="100"/>
              <w:bottom w:type="dxa" w:w="80"/>
              <w:right w:type="dxa" w:w="100"/>
            </w:tcMar>
          </w:tcPr>
          <w:p>
            <w:r>
              <w:rPr>
                <w:sz w:val="20"/>
                <w:szCs w:val="20"/>
              </w:rPr>
              <w:t xml:space="preserve">Evidence of engineering maturity, not just a working demo</w:t>
            </w:r>
          </w:p>
        </w:tc>
        <w:tc>
          <w:tcPr>
            <w:tcW w:type="dxa" w:w="3266"/>
            <w:tcMar>
              <w:top w:type="dxa" w:w="80"/>
              <w:left w:type="dxa" w:w="100"/>
              <w:bottom w:type="dxa" w:w="80"/>
              <w:right w:type="dxa" w:w="100"/>
            </w:tcMar>
          </w:tcPr>
          <w:p>
            <w:r>
              <w:rPr>
                <w:sz w:val="20"/>
                <w:szCs w:val="20"/>
              </w:rPr>
              <w:t xml:space="preserve">Depth of testing, guardrails, and evaluation — not just a happy-path demo</w:t>
            </w:r>
          </w:p>
        </w:tc>
      </w:tr>
      <w:tr>
        <w:trPr>
          <w:tblHeader w:val="false"/>
        </w:trPr>
        <w:tc>
          <w:tcPr>
            <w:tcW w:type="dxa" w:w="3266"/>
            <w:tcMar>
              <w:top w:type="dxa" w:w="80"/>
              <w:left w:type="dxa" w:w="100"/>
              <w:bottom w:type="dxa" w:w="80"/>
              <w:right w:type="dxa" w:w="100"/>
            </w:tcMar>
          </w:tcPr>
          <w:p>
            <w:r>
              <w:rPr>
                <w:b/>
                <w:bCs/>
                <w:sz w:val="20"/>
                <w:szCs w:val="20"/>
              </w:rPr>
              <w:t xml:space="preserve">Investors (if commercialized)</w:t>
            </w:r>
          </w:p>
        </w:tc>
        <w:tc>
          <w:tcPr>
            <w:tcW w:type="dxa" w:w="3266"/>
            <w:tcMar>
              <w:top w:type="dxa" w:w="80"/>
              <w:left w:type="dxa" w:w="100"/>
              <w:bottom w:type="dxa" w:w="80"/>
              <w:right w:type="dxa" w:w="100"/>
            </w:tcMar>
          </w:tcPr>
          <w:p>
            <w:r>
              <w:rPr>
                <w:sz w:val="20"/>
                <w:szCs w:val="20"/>
              </w:rPr>
              <w:t xml:space="preserve">Defensible moat, monetization path, regulatory exposure</w:t>
            </w:r>
          </w:p>
        </w:tc>
        <w:tc>
          <w:tcPr>
            <w:tcW w:type="dxa" w:w="3266"/>
            <w:tcMar>
              <w:top w:type="dxa" w:w="80"/>
              <w:left w:type="dxa" w:w="100"/>
              <w:bottom w:type="dxa" w:w="80"/>
              <w:right w:type="dxa" w:w="100"/>
            </w:tcMar>
          </w:tcPr>
          <w:p>
            <w:r>
              <w:rPr>
                <w:sz w:val="20"/>
                <w:szCs w:val="20"/>
              </w:rPr>
              <w:t xml:space="preserve">Financial-advice regulatory classification risk (Section 18)</w:t>
            </w:r>
          </w:p>
        </w:tc>
      </w:tr>
      <w:tr>
        <w:trPr>
          <w:tblHeader w:val="false"/>
        </w:trPr>
        <w:tc>
          <w:tcPr>
            <w:tcW w:type="dxa" w:w="3266"/>
            <w:tcMar>
              <w:top w:type="dxa" w:w="80"/>
              <w:left w:type="dxa" w:w="100"/>
              <w:bottom w:type="dxa" w:w="80"/>
              <w:right w:type="dxa" w:w="100"/>
            </w:tcMar>
          </w:tcPr>
          <w:p>
            <w:r>
              <w:rPr>
                <w:b/>
                <w:bCs/>
                <w:sz w:val="20"/>
                <w:szCs w:val="20"/>
              </w:rPr>
              <w:t xml:space="preserve">Compliance / legal function</w:t>
            </w:r>
          </w:p>
        </w:tc>
        <w:tc>
          <w:tcPr>
            <w:tcW w:type="dxa" w:w="3266"/>
            <w:tcMar>
              <w:top w:type="dxa" w:w="80"/>
              <w:left w:type="dxa" w:w="100"/>
              <w:bottom w:type="dxa" w:w="80"/>
              <w:right w:type="dxa" w:w="100"/>
            </w:tcMar>
          </w:tcPr>
          <w:p>
            <w:r>
              <w:rPr>
                <w:sz w:val="20"/>
                <w:szCs w:val="20"/>
              </w:rPr>
              <w:t xml:space="preserve">Avoid the system being construed as regulated financial advice</w:t>
            </w:r>
          </w:p>
        </w:tc>
        <w:tc>
          <w:tcPr>
            <w:tcW w:type="dxa" w:w="3266"/>
            <w:tcMar>
              <w:top w:type="dxa" w:w="80"/>
              <w:left w:type="dxa" w:w="100"/>
              <w:bottom w:type="dxa" w:w="80"/>
              <w:right w:type="dxa" w:w="100"/>
            </w:tcMar>
          </w:tcPr>
          <w:p>
            <w:r>
              <w:rPr>
                <w:sz w:val="20"/>
                <w:szCs w:val="20"/>
              </w:rPr>
              <w:t xml:space="preserve">Disclaimers, scope limitation, audit trail of recommendations (</w:t>
            </w:r>
            <w:r>
              <w:rPr>
                <w:rFonts w:ascii="Consolas" w:cs="Consolas" w:eastAsia="Consolas" w:hAnsi="Consolas"/>
                <w:sz w:val="20"/>
                <w:szCs w:val="20"/>
                <w:shd w:fill="F0F0F0" w:val="clear"/>
              </w:rPr>
              <w:t xml:space="preserve">recommendation_logs</w:t>
            </w:r>
            <w:r>
              <w:rPr>
                <w:sz w:val="20"/>
                <w:szCs w:val="20"/>
              </w:rPr>
              <w:t xml:space="preserve">)</w:t>
            </w:r>
          </w:p>
        </w:tc>
      </w:tr>
    </w:tbl>
    <w:p>
      <w:pPr>
        <w:spacing w:after="200"/>
      </w:pPr>
    </w:p>
    <w:p>
      <w:pPr>
        <w:pStyle w:val="Heading1"/>
        <w:pageBreakBefore/>
        <w:spacing w:after="180" w:before="360"/>
      </w:pPr>
      <w:bookmarkStart w:name="sec5" w:id="1"/>
      <w:r>
        <w:t xml:space="preserve">6. User Personas</w:t>
      </w:r>
      <w:bookmarkEnd w:id="1"/>
    </w:p>
    <w:p>
      <w:pPr>
        <w:spacing w:after="160" w:line="300"/>
      </w:pPr>
      <w:r>
        <w:rPr>
          <w:b/>
          <w:bCs/>
        </w:rPr>
        <w:t xml:space="preserve">1. Frequent Traveler — "Rahul, 34, Consultant"</w:t>
      </w:r>
      <w:r>
        <w:t xml:space="preserve"> Goals: Maximize airline miles/hotel points for annual ~₹15L travel-heavy spend. Pain points: Owns 4 cards, loses track of which has active milestone progress. Technical literacy: Medium. Expected usage: Weekly, pre-trip and pre-large-purchase queries.</w:t>
      </w:r>
    </w:p>
    <w:p>
      <w:pPr>
        <w:spacing w:after="160" w:line="300"/>
      </w:pPr>
      <w:r>
        <w:rPr>
          <w:b/>
          <w:bCs/>
        </w:rPr>
        <w:t xml:space="preserve">2. Luxury Traveler — "Ananya, 41, Business Owner"</w:t>
      </w:r>
      <w:r>
        <w:t xml:space="preserve"> Goals: Optimize for premium redemptions (business class, 5-star hotels) via point transfers. Pain points: Transfer ratios change; fears making an irreversible bad transfer. Technical literacy: Low-medium. Expected usage: Occasional but high-stakes (large point transfer decisions) — this persona is the primary justification for the human-approval node.</w:t>
      </w:r>
    </w:p>
    <w:p>
      <w:pPr>
        <w:spacing w:after="160" w:line="300"/>
      </w:pPr>
      <w:r>
        <w:rPr>
          <w:b/>
          <w:bCs/>
        </w:rPr>
        <w:t xml:space="preserve">3. Cashback User — "Vikram, 27, Software Engineer"</w:t>
      </w:r>
      <w:r>
        <w:t xml:space="preserve"> Goals: Simple, predictable cashback; dislikes complexity of miles/points. Pain points: Doesn't want to "learn" a loyalty program. Technical literacy: High. Expected usage: Occasional sanity-check queries ("is my cashback card still best for groceries?").</w:t>
      </w:r>
    </w:p>
    <w:p>
      <w:pPr>
        <w:spacing w:after="160" w:line="300"/>
      </w:pPr>
      <w:r>
        <w:rPr>
          <w:b/>
          <w:bCs/>
        </w:rPr>
        <w:t xml:space="preserve">4. Student — "Meera, 21, Postgraduate"</w:t>
      </w:r>
      <w:r>
        <w:t xml:space="preserve"> Goals: Learning responsible card usage; small spend volumes. Pain points: Card terms are intimidating; risk of misunderstanding an exclusion and being surprised. Technical literacy: Medium-high (tech-comfortable but finance-novice). Expected usage: Light, educational-leaning queries.</w:t>
      </w:r>
    </w:p>
    <w:p>
      <w:pPr>
        <w:spacing w:after="160" w:line="300"/>
      </w:pPr>
      <w:r>
        <w:rPr>
          <w:b/>
          <w:bCs/>
        </w:rPr>
        <w:t xml:space="preserve">5. Business Owner — "Suresh, 45, SME Owner"</w:t>
      </w:r>
      <w:r>
        <w:t xml:space="preserve"> Goals: Optimize high-volume recurring business spend (vendor payments, travel) across multiple cards. Pain points: Category ambiguity for B2B spend; needs monthly allocation strategy, not just single-transaction advice — this is the direct use case for the "Stage 2: monthly spend optimization" workflow.</w:t>
      </w:r>
    </w:p>
    <w:p>
      <w:pPr>
        <w:spacing w:after="160" w:line="300"/>
      </w:pPr>
      <w:r>
        <w:rPr>
          <w:b/>
          <w:bCs/>
        </w:rPr>
        <w:t xml:space="preserve">6. Finance Enthusiast — "Priya, 30, Points Hobbyist"</w:t>
      </w:r>
      <w:r>
        <w:t xml:space="preserve"> Goals: Extract maximum theoretical value; already reads Technofino/forums. Pain points: Wants the system to be at least as rigorous as her own manual research; will stress-test edge cases and caps. Technical literacy: Very high. Expected usage: Power user, high query volume, edge-case-heavy.</w:t>
      </w:r>
    </w:p>
    <w:p>
      <w:pPr>
        <w:spacing w:after="160" w:line="300"/>
      </w:pPr>
      <w:r>
        <w:rPr>
          <w:b/>
          <w:bCs/>
        </w:rPr>
        <w:t xml:space="preserve">7. Budget-Conscious User — "Farhan, 25, Early-career"</w:t>
      </w:r>
      <w:r>
        <w:t xml:space="preserve"> Goals: Avoid annual fees not justified by usage; wants a "should I even keep this card" framing. Pain points: Sensitive to any recommendation that implies additional spending. Technical literacy: Medium. Expected usage: Infrequent, value-justification queries.</w:t>
      </w:r>
    </w:p>
    <w:p>
      <w:pPr>
        <w:pStyle w:val="Heading1"/>
        <w:pageBreakBefore/>
        <w:spacing w:after="180" w:before="360"/>
      </w:pPr>
      <w:bookmarkStart w:name="sec6" w:id="1"/>
      <w:r>
        <w:t xml:space="preserve">7. Functional Requirements</w:t>
      </w:r>
      <w:bookmarkEnd w:id="1"/>
    </w:p>
    <w:p>
      <w:pPr>
        <w:spacing w:after="160" w:line="300"/>
      </w:pPr>
      <w:r>
        <w:t xml:space="preserve">Each requirement is stated as an ID for traceability into testing (Section 19).</w:t>
      </w:r>
    </w:p>
    <w:p>
      <w:pPr>
        <w:spacing w:after="160" w:line="300"/>
      </w:pPr>
      <w:r>
        <w:rPr>
          <w:b/>
          <w:bCs/>
        </w:rPr>
        <w:t xml:space="preserve">FR-1: Authentication.</w:t>
      </w:r>
      <w:r>
        <w:t xml:space="preserve"> Users authenticate (email/OTP or OAuth) to persist </w:t>
      </w:r>
      <w:r>
        <w:rPr>
          <w:rFonts w:ascii="Consolas" w:cs="Consolas" w:eastAsia="Consolas" w:hAnsi="Consolas"/>
          <w:shd w:fill="F0F0F0" w:val="clear"/>
        </w:rPr>
        <w:t xml:space="preserve">user_profiles</w:t>
      </w:r>
      <w:r>
        <w:t xml:space="preserve"> (owned cards, preferences). MVP may run single-user/local without auth; auth is required from Stage 2 onward once memory/personalization exist, since personalized state requires a durable identity.</w:t>
      </w:r>
    </w:p>
    <w:p>
      <w:pPr>
        <w:spacing w:after="160" w:line="300"/>
      </w:pPr>
      <w:r>
        <w:rPr>
          <w:b/>
          <w:bCs/>
        </w:rPr>
        <w:t xml:space="preserve">FR-2: Document Ingestion.</w:t>
      </w:r>
      <w:r>
        <w:t xml:space="preserve"> Admin-facing pipeline to upload card T&amp;C PDFs; system extracts text, chunks, embeds, and stores with metadata (</w:t>
      </w:r>
      <w:r>
        <w:rPr>
          <w:rFonts w:ascii="Consolas" w:cs="Consolas" w:eastAsia="Consolas" w:hAnsi="Consolas"/>
          <w:shd w:fill="F0F0F0" w:val="clear"/>
        </w:rPr>
        <w:t xml:space="preserve">card_name</w:t>
      </w:r>
      <w:r>
        <w:t xml:space="preserve">, </w:t>
      </w:r>
      <w:r>
        <w:rPr>
          <w:rFonts w:ascii="Consolas" w:cs="Consolas" w:eastAsia="Consolas" w:hAnsi="Consolas"/>
          <w:shd w:fill="F0F0F0" w:val="clear"/>
        </w:rPr>
        <w:t xml:space="preserve">issuer</w:t>
      </w:r>
      <w:r>
        <w:t xml:space="preserve">, </w:t>
      </w:r>
      <w:r>
        <w:rPr>
          <w:rFonts w:ascii="Consolas" w:cs="Consolas" w:eastAsia="Consolas" w:hAnsi="Consolas"/>
          <w:shd w:fill="F0F0F0" w:val="clear"/>
        </w:rPr>
        <w:t xml:space="preserve">effective_date</w:t>
      </w:r>
      <w:r>
        <w:t xml:space="preserve">). Must support re-ingestion when a card's terms are updated (versioning, not overwrite — old rules remain queryable by effective date for auditability).</w:t>
      </w:r>
    </w:p>
    <w:p>
      <w:pPr>
        <w:spacing w:after="160" w:line="300"/>
      </w:pPr>
      <w:r>
        <w:rPr>
          <w:b/>
          <w:bCs/>
        </w:rPr>
        <w:t xml:space="preserve">FR-3: Vector Search.</w:t>
      </w:r>
      <w:r>
        <w:t xml:space="preserve"> Given a natural-language query, retrieve the top-K most relevant chunks via embedding similarity, filterable by </w:t>
      </w:r>
      <w:r>
        <w:rPr>
          <w:rFonts w:ascii="Consolas" w:cs="Consolas" w:eastAsia="Consolas" w:hAnsi="Consolas"/>
          <w:shd w:fill="F0F0F0" w:val="clear"/>
        </w:rPr>
        <w:t xml:space="preserve">card_name</w:t>
      </w:r>
      <w:r>
        <w:t xml:space="preserve"> and </w:t>
      </w:r>
      <w:r>
        <w:rPr>
          <w:rFonts w:ascii="Consolas" w:cs="Consolas" w:eastAsia="Consolas" w:hAnsi="Consolas"/>
          <w:shd w:fill="F0F0F0" w:val="clear"/>
        </w:rPr>
        <w:t xml:space="preserve">document_type</w:t>
      </w:r>
      <w:r>
        <w:t xml:space="preserve"> metadata.</w:t>
      </w:r>
    </w:p>
    <w:p>
      <w:pPr>
        <w:spacing w:after="160" w:line="300"/>
      </w:pPr>
      <w:r>
        <w:rPr>
          <w:b/>
          <w:bCs/>
        </w:rPr>
        <w:t xml:space="preserve">FR-4: Calculator Tool.</w:t>
      </w:r>
      <w:r>
        <w:t xml:space="preserve"> A deterministic, non-LLM function that takes (spend amount, reward rate, reward unit, cap, point valuation) and returns computed reward value, cap-applied flag, and effective return %. This is the single most important reliability requirement in the whole system: LLMs are unreliable at multi-step arithmetic, so all arithmetic must be delegated to code.</w:t>
      </w:r>
    </w:p>
    <w:p>
      <w:pPr>
        <w:spacing w:after="160" w:line="300"/>
      </w:pPr>
      <w:r>
        <w:rPr>
          <w:b/>
          <w:bCs/>
        </w:rPr>
        <w:t xml:space="preserve">FR-5: Card Comparison.</w:t>
      </w:r>
      <w:r>
        <w:t xml:space="preserve"> Given ≥2 candidate cards and a transaction, compute and rank estimated value per card, surfacing the calculation for each.</w:t>
      </w:r>
    </w:p>
    <w:p>
      <w:pPr>
        <w:spacing w:after="160" w:line="300"/>
      </w:pPr>
      <w:r>
        <w:rPr>
          <w:b/>
          <w:bCs/>
        </w:rPr>
        <w:t xml:space="preserve">FR-6: Point Valuation.</w:t>
      </w:r>
      <w:r>
        <w:t xml:space="preserve"> Support user-defined or default point-to-currency valuation, since "a point is worth ₹1" is an assumption, not a fact, and must be stated as such in every answer (see Section 13's example format).</w:t>
      </w:r>
    </w:p>
    <w:p>
      <w:pPr>
        <w:spacing w:after="160" w:line="300"/>
      </w:pPr>
      <w:r>
        <w:rPr>
          <w:b/>
          <w:bCs/>
        </w:rPr>
        <w:t xml:space="preserve">FR-7: Transfer Recommendations.</w:t>
      </w:r>
      <w:r>
        <w:t xml:space="preserve"> Retrieve transfer-partner ratios and compute expected value of transferring vs. redeeming directly; must route through the human-approval node (FR-13) before finalizing.</w:t>
      </w:r>
    </w:p>
    <w:p>
      <w:pPr>
        <w:spacing w:after="160" w:line="300"/>
      </w:pPr>
      <w:r>
        <w:rPr>
          <w:b/>
          <w:bCs/>
        </w:rPr>
        <w:t xml:space="preserve">FR-8: Conversation Memory.</w:t>
      </w:r>
      <w:r>
        <w:t xml:space="preserve"> Persist short-term (session) and long-term (</w:t>
      </w:r>
      <w:r>
        <w:rPr>
          <w:rFonts w:ascii="Consolas" w:cs="Consolas" w:eastAsia="Consolas" w:hAnsi="Consolas"/>
          <w:shd w:fill="F0F0F0" w:val="clear"/>
        </w:rPr>
        <w:t xml:space="preserve">user_profiles.conversation_summary</w:t>
      </w:r>
      <w:r>
        <w:t xml:space="preserve">) memory: owned cards, stated preferences (e.g., "values hotel points over cashback"), so follow-up queries don't require re-stating context.</w:t>
      </w:r>
    </w:p>
    <w:p>
      <w:pPr>
        <w:spacing w:after="160" w:line="300"/>
      </w:pPr>
      <w:r>
        <w:rPr>
          <w:b/>
          <w:bCs/>
        </w:rPr>
        <w:t xml:space="preserve">FR-9: Feedback.</w:t>
      </w:r>
      <w:r>
        <w:t xml:space="preserve"> Users can flag a recommendation as helpful/unhelpful/incorrect; stored against </w:t>
      </w:r>
      <w:r>
        <w:rPr>
          <w:rFonts w:ascii="Consolas" w:cs="Consolas" w:eastAsia="Consolas" w:hAnsi="Consolas"/>
          <w:shd w:fill="F0F0F0" w:val="clear"/>
        </w:rPr>
        <w:t xml:space="preserve">recommendation_logs</w:t>
      </w:r>
      <w:r>
        <w:t xml:space="preserve"> for evaluation-loop improvement.</w:t>
      </w:r>
    </w:p>
    <w:p>
      <w:pPr>
        <w:spacing w:after="160" w:line="300"/>
      </w:pPr>
      <w:r>
        <w:rPr>
          <w:b/>
          <w:bCs/>
        </w:rPr>
        <w:t xml:space="preserve">FR-10: Monitoring.</w:t>
      </w:r>
      <w:r>
        <w:t xml:space="preserve"> Every query logs retrieved chunks, tool calls, latency, token usage, and final answer for observability (Section 11) and evaluation (Section 20).</w:t>
      </w:r>
    </w:p>
    <w:p>
      <w:pPr>
        <w:spacing w:after="160" w:line="300"/>
      </w:pPr>
      <w:r>
        <w:rPr>
          <w:b/>
          <w:bCs/>
        </w:rPr>
        <w:t xml:space="preserve">FR-11: Logging.</w:t>
      </w:r>
      <w:r>
        <w:t xml:space="preserve"> Structured, queryable logs distinct from monitoring traces — logging is for audit/compliance (what did we tell this user and why), monitoring is for system health.</w:t>
      </w:r>
    </w:p>
    <w:p>
      <w:pPr>
        <w:spacing w:after="160" w:line="300"/>
      </w:pPr>
      <w:r>
        <w:rPr>
          <w:b/>
          <w:bCs/>
        </w:rPr>
        <w:t xml:space="preserve">FR-12: Evaluation.</w:t>
      </w:r>
      <w:r>
        <w:t xml:space="preserve"> Batch evaluation harness runnable against a golden dataset (Section 19) for retrieval, calculation, and answer-quality metrics.</w:t>
      </w:r>
    </w:p>
    <w:p>
      <w:pPr>
        <w:spacing w:after="160" w:line="300"/>
      </w:pPr>
      <w:r>
        <w:rPr>
          <w:b/>
          <w:bCs/>
        </w:rPr>
        <w:t xml:space="preserve">FR-13: Human Approval.</w:t>
      </w:r>
      <w:r>
        <w:t xml:space="preserve"> Interrupt-and-resume flow: before executing a transfer-routing calculation, the system must present the assumptions to the user and require explicit confirmation.</w:t>
      </w:r>
    </w:p>
    <w:p>
      <w:pPr>
        <w:spacing w:after="160" w:line="300"/>
      </w:pPr>
      <w:r>
        <w:rPr>
          <w:b/>
          <w:bCs/>
        </w:rPr>
        <w:t xml:space="preserve">FR-14: Reporting.</w:t>
      </w:r>
      <w:r>
        <w:t xml:space="preserve"> Exportable summary of a user's reward performance (e.g., "this quarter you captured ₹X in reward value across cards").</w:t>
      </w:r>
    </w:p>
    <w:p>
      <w:pPr>
        <w:spacing w:after="160" w:line="300"/>
      </w:pPr>
      <w:r>
        <w:rPr>
          <w:b/>
          <w:bCs/>
        </w:rPr>
        <w:t xml:space="preserve">FR-15: Admin Panel.</w:t>
      </w:r>
      <w:r>
        <w:t xml:space="preserve"> Internal-only interface for uploading documents, reviewing extracted structured rules for correctness (human-in-the-loop on the </w:t>
      </w:r>
      <w:r>
        <w:rPr>
          <w:i/>
          <w:iCs/>
        </w:rPr>
        <w:t xml:space="preserve">data</w:t>
      </w:r>
      <w:r>
        <w:t xml:space="preserve"> side, distinct from FR-13's human-in-the-loop on the </w:t>
      </w:r>
      <w:r>
        <w:rPr>
          <w:i/>
          <w:iCs/>
        </w:rPr>
        <w:t xml:space="preserve">user</w:t>
      </w:r>
      <w:r>
        <w:t xml:space="preserve"> side), and reviewing flagged/incorrect recommendations.</w:t>
      </w:r>
    </w:p>
    <w:p>
      <w:pPr>
        <w:spacing w:after="160" w:line="300"/>
      </w:pPr>
      <w:r>
        <w:rPr>
          <w:b/>
          <w:bCs/>
        </w:rPr>
        <w:t xml:space="preserve">FR-16: Analytics.</w:t>
      </w:r>
      <w:r>
        <w:t xml:space="preserve"> Aggregate, anonymized usage analytics (most-queried categories, most-recommended cards) for product iteration.</w:t>
      </w:r>
    </w:p>
    <w:p>
      <w:pPr>
        <w:spacing w:after="160" w:line="300"/>
      </w:pPr>
      <w:r>
        <w:rPr>
          <w:b/>
          <w:bCs/>
        </w:rPr>
        <w:t xml:space="preserve">FR-17: Exporting.</w:t>
      </w:r>
      <w:r>
        <w:t xml:space="preserve"> Users can export their query history and recommendations (CSV/PDF) for personal record-keeping.</w:t>
      </w:r>
    </w:p>
    <w:p>
      <w:pPr>
        <w:spacing w:after="160" w:line="300"/>
      </w:pPr>
      <w:r>
        <w:rPr>
          <w:b/>
          <w:bCs/>
        </w:rPr>
        <w:t xml:space="preserve">FR-18: API.</w:t>
      </w:r>
      <w:r>
        <w:t xml:space="preserve"> A versioned REST API (Section 13) exposing recommend/compare/transfer endpoints, enabling the Streamlit UI (MVP) and any future frontend to share one backend contract.</w:t>
      </w:r>
    </w:p>
    <w:p>
      <w:pPr>
        <w:spacing w:after="160" w:line="300"/>
      </w:pPr>
      <w:r>
        <w:rPr>
          <w:b/>
          <w:bCs/>
        </w:rPr>
        <w:t xml:space="preserve">FR-19: Notifications.</w:t>
      </w:r>
      <w:r>
        <w:t xml:space="preserve"> (Stage 3+/future) Optional alerts when a monthly cap is nearing exhaustion or a milestone is close to being hit — requires spend tracking, which is out of MVP scope but architecturally anticipated by </w:t>
      </w:r>
      <w:r>
        <w:rPr>
          <w:rFonts w:ascii="Consolas" w:cs="Consolas" w:eastAsia="Consolas" w:hAnsi="Consolas"/>
          <w:shd w:fill="F0F0F0" w:val="clear"/>
        </w:rPr>
        <w:t xml:space="preserve">user_profiles.monthly_spend_pattern</w:t>
      </w:r>
      <w:r>
        <w:t xml:space="preserve">.</w:t>
      </w:r>
    </w:p>
    <w:p>
      <w:pPr>
        <w:pStyle w:val="Heading1"/>
        <w:pageBreakBefore/>
        <w:spacing w:after="180" w:before="360"/>
      </w:pPr>
      <w:bookmarkStart w:name="sec7" w:id="1"/>
      <w:r>
        <w:t xml:space="preserve">8. Non-Functional Requirements</w:t>
      </w:r>
      <w:bookmarkEnd w:id="1"/>
    </w:p>
    <w:tbl>
      <w:tblPr>
        <w:tblW w:type="dxa" w:w="9800"/>
        <w:tblBorders>
          <w:top w:val="single" w:color="BFBFBF" w:sz="2"/>
          <w:left w:val="single" w:color="BFBFBF" w:sz="2"/>
          <w:bottom w:val="single" w:color="BFBFBF" w:sz="2"/>
          <w:right w:val="single" w:color="BFBFBF" w:sz="2"/>
          <w:insideH w:val="single" w:color="D9D9D9" w:sz="2"/>
          <w:insideV w:val="single" w:color="D9D9D9" w:sz="2"/>
        </w:tblBorders>
      </w:tblPr>
      <w:tblGrid>
        <w:gridCol w:w="100"/>
        <w:gridCol w:w="100"/>
      </w:tblGrid>
      <w:tr>
        <w:trPr>
          <w:tblHeader/>
        </w:trPr>
        <w:tc>
          <w:tcPr>
            <w:tcW w:type="dxa" w:w="4900"/>
            <w:shd w:fill="1F4E79" w:color="auto" w:val="clear"/>
            <w:tcMar>
              <w:top w:type="dxa" w:w="80"/>
              <w:left w:type="dxa" w:w="100"/>
              <w:bottom w:type="dxa" w:w="80"/>
              <w:right w:type="dxa" w:w="100"/>
            </w:tcMar>
          </w:tcPr>
          <w:p>
            <w:r>
              <w:rPr>
                <w:b/>
                <w:bCs/>
                <w:color w:val="FFFFFF"/>
                <w:sz w:val="20"/>
                <w:szCs w:val="20"/>
              </w:rPr>
              <w:t xml:space="preserve">Category</w:t>
            </w:r>
          </w:p>
        </w:tc>
        <w:tc>
          <w:tcPr>
            <w:tcW w:type="dxa" w:w="4900"/>
            <w:shd w:fill="1F4E79" w:color="auto" w:val="clear"/>
            <w:tcMar>
              <w:top w:type="dxa" w:w="80"/>
              <w:left w:type="dxa" w:w="100"/>
              <w:bottom w:type="dxa" w:w="80"/>
              <w:right w:type="dxa" w:w="100"/>
            </w:tcMar>
          </w:tcPr>
          <w:p>
            <w:r>
              <w:rPr>
                <w:b/>
                <w:bCs/>
                <w:color w:val="FFFFFF"/>
                <w:sz w:val="20"/>
                <w:szCs w:val="20"/>
              </w:rPr>
              <w:t xml:space="preserve">Requirement</w:t>
            </w:r>
          </w:p>
        </w:tc>
      </w:tr>
      <w:tr>
        <w:trPr>
          <w:tblHeader w:val="false"/>
        </w:trPr>
        <w:tc>
          <w:tcPr>
            <w:tcW w:type="dxa" w:w="4900"/>
            <w:tcMar>
              <w:top w:type="dxa" w:w="80"/>
              <w:left w:type="dxa" w:w="100"/>
              <w:bottom w:type="dxa" w:w="80"/>
              <w:right w:type="dxa" w:w="100"/>
            </w:tcMar>
          </w:tcPr>
          <w:p>
            <w:r>
              <w:rPr>
                <w:b/>
                <w:bCs/>
                <w:sz w:val="20"/>
                <w:szCs w:val="20"/>
              </w:rPr>
              <w:t xml:space="preserve">Performance</w:t>
            </w:r>
          </w:p>
        </w:tc>
        <w:tc>
          <w:tcPr>
            <w:tcW w:type="dxa" w:w="4900"/>
            <w:tcMar>
              <w:top w:type="dxa" w:w="80"/>
              <w:left w:type="dxa" w:w="100"/>
              <w:bottom w:type="dxa" w:w="80"/>
              <w:right w:type="dxa" w:w="100"/>
            </w:tcMar>
          </w:tcPr>
          <w:p>
            <w:r>
              <w:rPr>
                <w:sz w:val="20"/>
                <w:szCs w:val="20"/>
              </w:rPr>
              <w:t xml:space="preserve">P50 end-to-end latency &lt; 4s (Stage 3), P95 &lt; 10s. Calculator tool calls must be &lt; 50ms (pure function, no I/O).</w:t>
            </w:r>
          </w:p>
        </w:tc>
      </w:tr>
      <w:tr>
        <w:trPr>
          <w:tblHeader w:val="false"/>
        </w:trPr>
        <w:tc>
          <w:tcPr>
            <w:tcW w:type="dxa" w:w="4900"/>
            <w:tcMar>
              <w:top w:type="dxa" w:w="80"/>
              <w:left w:type="dxa" w:w="100"/>
              <w:bottom w:type="dxa" w:w="80"/>
              <w:right w:type="dxa" w:w="100"/>
            </w:tcMar>
          </w:tcPr>
          <w:p>
            <w:r>
              <w:rPr>
                <w:b/>
                <w:bCs/>
                <w:sz w:val="20"/>
                <w:szCs w:val="20"/>
              </w:rPr>
              <w:t xml:space="preserve">Availability</w:t>
            </w:r>
          </w:p>
        </w:tc>
        <w:tc>
          <w:tcPr>
            <w:tcW w:type="dxa" w:w="4900"/>
            <w:tcMar>
              <w:top w:type="dxa" w:w="80"/>
              <w:left w:type="dxa" w:w="100"/>
              <w:bottom w:type="dxa" w:w="80"/>
              <w:right w:type="dxa" w:w="100"/>
            </w:tcMar>
          </w:tcPr>
          <w:p>
            <w:r>
              <w:rPr>
                <w:sz w:val="20"/>
                <w:szCs w:val="20"/>
              </w:rPr>
              <w:t xml:space="preserve">99% for a capstone/early-stage deployment; not a 24/7 financial-grade SLA target — explicitly scoped down given team size (Section 22).</w:t>
            </w:r>
          </w:p>
        </w:tc>
      </w:tr>
      <w:tr>
        <w:trPr>
          <w:tblHeader w:val="false"/>
        </w:trPr>
        <w:tc>
          <w:tcPr>
            <w:tcW w:type="dxa" w:w="4900"/>
            <w:tcMar>
              <w:top w:type="dxa" w:w="80"/>
              <w:left w:type="dxa" w:w="100"/>
              <w:bottom w:type="dxa" w:w="80"/>
              <w:right w:type="dxa" w:w="100"/>
            </w:tcMar>
          </w:tcPr>
          <w:p>
            <w:r>
              <w:rPr>
                <w:b/>
                <w:bCs/>
                <w:sz w:val="20"/>
                <w:szCs w:val="20"/>
              </w:rPr>
              <w:t xml:space="preserve">Reliability</w:t>
            </w:r>
          </w:p>
        </w:tc>
        <w:tc>
          <w:tcPr>
            <w:tcW w:type="dxa" w:w="4900"/>
            <w:tcMar>
              <w:top w:type="dxa" w:w="80"/>
              <w:left w:type="dxa" w:w="100"/>
              <w:bottom w:type="dxa" w:w="80"/>
              <w:right w:type="dxa" w:w="100"/>
            </w:tcMar>
          </w:tcPr>
          <w:p>
            <w:r>
              <w:rPr>
                <w:sz w:val="20"/>
                <w:szCs w:val="20"/>
              </w:rPr>
              <w:t xml:space="preserve">Calculator must be 100% deterministic and unit-tested; retrieval failures must degrade to "insufficient information," never to a guess.</w:t>
            </w:r>
          </w:p>
        </w:tc>
      </w:tr>
      <w:tr>
        <w:trPr>
          <w:tblHeader w:val="false"/>
        </w:trPr>
        <w:tc>
          <w:tcPr>
            <w:tcW w:type="dxa" w:w="4900"/>
            <w:tcMar>
              <w:top w:type="dxa" w:w="80"/>
              <w:left w:type="dxa" w:w="100"/>
              <w:bottom w:type="dxa" w:w="80"/>
              <w:right w:type="dxa" w:w="100"/>
            </w:tcMar>
          </w:tcPr>
          <w:p>
            <w:r>
              <w:rPr>
                <w:b/>
                <w:bCs/>
                <w:sz w:val="20"/>
                <w:szCs w:val="20"/>
              </w:rPr>
              <w:t xml:space="preserve">Latency</w:t>
            </w:r>
          </w:p>
        </w:tc>
        <w:tc>
          <w:tcPr>
            <w:tcW w:type="dxa" w:w="4900"/>
            <w:tcMar>
              <w:top w:type="dxa" w:w="80"/>
              <w:left w:type="dxa" w:w="100"/>
              <w:bottom w:type="dxa" w:w="80"/>
              <w:right w:type="dxa" w:w="100"/>
            </w:tcMar>
          </w:tcPr>
          <w:p>
            <w:r>
              <w:rPr>
                <w:sz w:val="20"/>
                <w:szCs w:val="20"/>
              </w:rPr>
              <w:t xml:space="preserve">Streaming partial responses (token streaming) to mask LLM latency perceptually, per modern chat-UX standards.</w:t>
            </w:r>
          </w:p>
        </w:tc>
      </w:tr>
      <w:tr>
        <w:trPr>
          <w:tblHeader w:val="false"/>
        </w:trPr>
        <w:tc>
          <w:tcPr>
            <w:tcW w:type="dxa" w:w="4900"/>
            <w:tcMar>
              <w:top w:type="dxa" w:w="80"/>
              <w:left w:type="dxa" w:w="100"/>
              <w:bottom w:type="dxa" w:w="80"/>
              <w:right w:type="dxa" w:w="100"/>
            </w:tcMar>
          </w:tcPr>
          <w:p>
            <w:r>
              <w:rPr>
                <w:b/>
                <w:bCs/>
                <w:sz w:val="20"/>
                <w:szCs w:val="20"/>
              </w:rPr>
              <w:t xml:space="preserve">Security</w:t>
            </w:r>
          </w:p>
        </w:tc>
        <w:tc>
          <w:tcPr>
            <w:tcW w:type="dxa" w:w="4900"/>
            <w:tcMar>
              <w:top w:type="dxa" w:w="80"/>
              <w:left w:type="dxa" w:w="100"/>
              <w:bottom w:type="dxa" w:w="80"/>
              <w:right w:type="dxa" w:w="100"/>
            </w:tcMar>
          </w:tcPr>
          <w:p>
            <w:r>
              <w:rPr>
                <w:sz w:val="20"/>
                <w:szCs w:val="20"/>
              </w:rPr>
              <w:t xml:space="preserve">Encrypted secrets (API keys) via environment/secret manager, never in source control; see Section 18.</w:t>
            </w:r>
          </w:p>
        </w:tc>
      </w:tr>
      <w:tr>
        <w:trPr>
          <w:tblHeader w:val="false"/>
        </w:trPr>
        <w:tc>
          <w:tcPr>
            <w:tcW w:type="dxa" w:w="4900"/>
            <w:tcMar>
              <w:top w:type="dxa" w:w="80"/>
              <w:left w:type="dxa" w:w="100"/>
              <w:bottom w:type="dxa" w:w="80"/>
              <w:right w:type="dxa" w:w="100"/>
            </w:tcMar>
          </w:tcPr>
          <w:p>
            <w:r>
              <w:rPr>
                <w:b/>
                <w:bCs/>
                <w:sz w:val="20"/>
                <w:szCs w:val="20"/>
              </w:rPr>
              <w:t xml:space="preserve">Privacy</w:t>
            </w:r>
          </w:p>
        </w:tc>
        <w:tc>
          <w:tcPr>
            <w:tcW w:type="dxa" w:w="4900"/>
            <w:tcMar>
              <w:top w:type="dxa" w:w="80"/>
              <w:left w:type="dxa" w:w="100"/>
              <w:bottom w:type="dxa" w:w="80"/>
              <w:right w:type="dxa" w:w="100"/>
            </w:tcMar>
          </w:tcPr>
          <w:p>
            <w:r>
              <w:rPr>
                <w:sz w:val="20"/>
                <w:szCs w:val="20"/>
              </w:rPr>
              <w:t xml:space="preserve">Spend data is sensitive personal financial data; minimize retention, avoid sending raw PII to third-party LLM APIs where avoidable (or use a provider with a no-training-on-API-data commitment).</w:t>
            </w:r>
          </w:p>
        </w:tc>
      </w:tr>
      <w:tr>
        <w:trPr>
          <w:tblHeader w:val="false"/>
        </w:trPr>
        <w:tc>
          <w:tcPr>
            <w:tcW w:type="dxa" w:w="4900"/>
            <w:tcMar>
              <w:top w:type="dxa" w:w="80"/>
              <w:left w:type="dxa" w:w="100"/>
              <w:bottom w:type="dxa" w:w="80"/>
              <w:right w:type="dxa" w:w="100"/>
            </w:tcMar>
          </w:tcPr>
          <w:p>
            <w:r>
              <w:rPr>
                <w:b/>
                <w:bCs/>
                <w:sz w:val="20"/>
                <w:szCs w:val="20"/>
              </w:rPr>
              <w:t xml:space="preserve">Scalability</w:t>
            </w:r>
          </w:p>
        </w:tc>
        <w:tc>
          <w:tcPr>
            <w:tcW w:type="dxa" w:w="4900"/>
            <w:tcMar>
              <w:top w:type="dxa" w:w="80"/>
              <w:left w:type="dxa" w:w="100"/>
              <w:bottom w:type="dxa" w:w="80"/>
              <w:right w:type="dxa" w:w="100"/>
            </w:tcMar>
          </w:tcPr>
          <w:p>
            <w:r>
              <w:rPr>
                <w:sz w:val="20"/>
                <w:szCs w:val="20"/>
              </w:rPr>
              <w:t xml:space="preserve">pgvector is sufficient to ~1–5M chunks; architecture should allow swapping to Qdrant/Milvus without rewriting the retrieval interface (see Section 15).</w:t>
            </w:r>
          </w:p>
        </w:tc>
      </w:tr>
      <w:tr>
        <w:trPr>
          <w:tblHeader w:val="false"/>
        </w:trPr>
        <w:tc>
          <w:tcPr>
            <w:tcW w:type="dxa" w:w="4900"/>
            <w:tcMar>
              <w:top w:type="dxa" w:w="80"/>
              <w:left w:type="dxa" w:w="100"/>
              <w:bottom w:type="dxa" w:w="80"/>
              <w:right w:type="dxa" w:w="100"/>
            </w:tcMar>
          </w:tcPr>
          <w:p>
            <w:r>
              <w:rPr>
                <w:b/>
                <w:bCs/>
                <w:sz w:val="20"/>
                <w:szCs w:val="20"/>
              </w:rPr>
              <w:t xml:space="preserve">Maintainability</w:t>
            </w:r>
          </w:p>
        </w:tc>
        <w:tc>
          <w:tcPr>
            <w:tcW w:type="dxa" w:w="4900"/>
            <w:tcMar>
              <w:top w:type="dxa" w:w="80"/>
              <w:left w:type="dxa" w:w="100"/>
              <w:bottom w:type="dxa" w:w="80"/>
              <w:right w:type="dxa" w:w="100"/>
            </w:tcMar>
          </w:tcPr>
          <w:p>
            <w:r>
              <w:rPr>
                <w:sz w:val="20"/>
                <w:szCs w:val="20"/>
              </w:rPr>
              <w:t xml:space="preserve">Card data (volatile) must be fully decoupled from agent code (stable) — this is the single most important maintainability principle in the system.</w:t>
            </w:r>
          </w:p>
        </w:tc>
      </w:tr>
      <w:tr>
        <w:trPr>
          <w:tblHeader w:val="false"/>
        </w:trPr>
        <w:tc>
          <w:tcPr>
            <w:tcW w:type="dxa" w:w="4900"/>
            <w:tcMar>
              <w:top w:type="dxa" w:w="80"/>
              <w:left w:type="dxa" w:w="100"/>
              <w:bottom w:type="dxa" w:w="80"/>
              <w:right w:type="dxa" w:w="100"/>
            </w:tcMar>
          </w:tcPr>
          <w:p>
            <w:r>
              <w:rPr>
                <w:b/>
                <w:bCs/>
                <w:sz w:val="20"/>
                <w:szCs w:val="20"/>
              </w:rPr>
              <w:t xml:space="preserve">Observability</w:t>
            </w:r>
          </w:p>
        </w:tc>
        <w:tc>
          <w:tcPr>
            <w:tcW w:type="dxa" w:w="4900"/>
            <w:tcMar>
              <w:top w:type="dxa" w:w="80"/>
              <w:left w:type="dxa" w:w="100"/>
              <w:bottom w:type="dxa" w:w="80"/>
              <w:right w:type="dxa" w:w="100"/>
            </w:tcMar>
          </w:tcPr>
          <w:p>
            <w:r>
              <w:rPr>
                <w:sz w:val="20"/>
                <w:szCs w:val="20"/>
              </w:rPr>
              <w:t xml:space="preserve">Every agent run traceable end-to-end (LangSmith/Phoenix) — inputs, retrieved chunks, tool calls, outputs, latency, cost.</w:t>
            </w:r>
          </w:p>
        </w:tc>
      </w:tr>
      <w:tr>
        <w:trPr>
          <w:tblHeader w:val="false"/>
        </w:trPr>
        <w:tc>
          <w:tcPr>
            <w:tcW w:type="dxa" w:w="4900"/>
            <w:tcMar>
              <w:top w:type="dxa" w:w="80"/>
              <w:left w:type="dxa" w:w="100"/>
              <w:bottom w:type="dxa" w:w="80"/>
              <w:right w:type="dxa" w:w="100"/>
            </w:tcMar>
          </w:tcPr>
          <w:p>
            <w:r>
              <w:rPr>
                <w:b/>
                <w:bCs/>
                <w:sz w:val="20"/>
                <w:szCs w:val="20"/>
              </w:rPr>
              <w:t xml:space="preserve">Explainability</w:t>
            </w:r>
          </w:p>
        </w:tc>
        <w:tc>
          <w:tcPr>
            <w:tcW w:type="dxa" w:w="4900"/>
            <w:tcMar>
              <w:top w:type="dxa" w:w="80"/>
              <w:left w:type="dxa" w:w="100"/>
              <w:bottom w:type="dxa" w:w="80"/>
              <w:right w:type="dxa" w:w="100"/>
            </w:tcMar>
          </w:tcPr>
          <w:p>
            <w:r>
              <w:rPr>
                <w:sz w:val="20"/>
                <w:szCs w:val="20"/>
              </w:rPr>
              <w:t xml:space="preserve">Every recommendation must show: rule used, calculation, assumptions, confidence — non-negotiable, enforced by the Guardrail Node (Section 14).</w:t>
            </w:r>
          </w:p>
        </w:tc>
      </w:tr>
      <w:tr>
        <w:trPr>
          <w:tblHeader w:val="false"/>
        </w:trPr>
        <w:tc>
          <w:tcPr>
            <w:tcW w:type="dxa" w:w="4900"/>
            <w:tcMar>
              <w:top w:type="dxa" w:w="80"/>
              <w:left w:type="dxa" w:w="100"/>
              <w:bottom w:type="dxa" w:w="80"/>
              <w:right w:type="dxa" w:w="100"/>
            </w:tcMar>
          </w:tcPr>
          <w:p>
            <w:r>
              <w:rPr>
                <w:b/>
                <w:bCs/>
                <w:sz w:val="20"/>
                <w:szCs w:val="20"/>
              </w:rPr>
              <w:t xml:space="preserve">Compliance</w:t>
            </w:r>
          </w:p>
        </w:tc>
        <w:tc>
          <w:tcPr>
            <w:tcW w:type="dxa" w:w="4900"/>
            <w:tcMar>
              <w:top w:type="dxa" w:w="80"/>
              <w:left w:type="dxa" w:w="100"/>
              <w:bottom w:type="dxa" w:w="80"/>
              <w:right w:type="dxa" w:w="100"/>
            </w:tcMar>
          </w:tcPr>
          <w:p>
            <w:r>
              <w:rPr>
                <w:sz w:val="20"/>
                <w:szCs w:val="20"/>
              </w:rPr>
              <w:t xml:space="preserve">Product must not present itself as regulated financial/investment advice (Section 18); disclaimers required in UI.</w:t>
            </w:r>
          </w:p>
        </w:tc>
      </w:tr>
      <w:tr>
        <w:trPr>
          <w:tblHeader w:val="false"/>
        </w:trPr>
        <w:tc>
          <w:tcPr>
            <w:tcW w:type="dxa" w:w="4900"/>
            <w:tcMar>
              <w:top w:type="dxa" w:w="80"/>
              <w:left w:type="dxa" w:w="100"/>
              <w:bottom w:type="dxa" w:w="80"/>
              <w:right w:type="dxa" w:w="100"/>
            </w:tcMar>
          </w:tcPr>
          <w:p>
            <w:r>
              <w:rPr>
                <w:b/>
                <w:bCs/>
                <w:sz w:val="20"/>
                <w:szCs w:val="20"/>
              </w:rPr>
              <w:t xml:space="preserve">Accessibility</w:t>
            </w:r>
          </w:p>
        </w:tc>
        <w:tc>
          <w:tcPr>
            <w:tcW w:type="dxa" w:w="4900"/>
            <w:tcMar>
              <w:top w:type="dxa" w:w="80"/>
              <w:left w:type="dxa" w:w="100"/>
              <w:bottom w:type="dxa" w:w="80"/>
              <w:right w:type="dxa" w:w="100"/>
            </w:tcMar>
          </w:tcPr>
          <w:p>
            <w:r>
              <w:rPr>
                <w:sz w:val="20"/>
                <w:szCs w:val="20"/>
              </w:rPr>
              <w:t xml:space="preserve">Streamlit MVP has limited accessibility control; a production frontend should target WCAG 2.1 AA.</w:t>
            </w:r>
          </w:p>
        </w:tc>
      </w:tr>
      <w:tr>
        <w:trPr>
          <w:tblHeader w:val="false"/>
        </w:trPr>
        <w:tc>
          <w:tcPr>
            <w:tcW w:type="dxa" w:w="4900"/>
            <w:tcMar>
              <w:top w:type="dxa" w:w="80"/>
              <w:left w:type="dxa" w:w="100"/>
              <w:bottom w:type="dxa" w:w="80"/>
              <w:right w:type="dxa" w:w="100"/>
            </w:tcMar>
          </w:tcPr>
          <w:p>
            <w:r>
              <w:rPr>
                <w:b/>
                <w:bCs/>
                <w:sz w:val="20"/>
                <w:szCs w:val="20"/>
              </w:rPr>
              <w:t xml:space="preserve">Internationalization</w:t>
            </w:r>
          </w:p>
        </w:tc>
        <w:tc>
          <w:tcPr>
            <w:tcW w:type="dxa" w:w="4900"/>
            <w:tcMar>
              <w:top w:type="dxa" w:w="80"/>
              <w:left w:type="dxa" w:w="100"/>
              <w:bottom w:type="dxa" w:w="80"/>
              <w:right w:type="dxa" w:w="100"/>
            </w:tcMar>
          </w:tcPr>
          <w:p>
            <w:r>
              <w:rPr>
                <w:sz w:val="20"/>
                <w:szCs w:val="20"/>
              </w:rPr>
              <w:t xml:space="preserve">MVP is India/₹-centric; currency and card-market logic should be abstracted, not hardcoded, to ease future geographic expansion.</w:t>
            </w:r>
          </w:p>
        </w:tc>
      </w:tr>
      <w:tr>
        <w:trPr>
          <w:tblHeader w:val="false"/>
        </w:trPr>
        <w:tc>
          <w:tcPr>
            <w:tcW w:type="dxa" w:w="4900"/>
            <w:tcMar>
              <w:top w:type="dxa" w:w="80"/>
              <w:left w:type="dxa" w:w="100"/>
              <w:bottom w:type="dxa" w:w="80"/>
              <w:right w:type="dxa" w:w="100"/>
            </w:tcMar>
          </w:tcPr>
          <w:p>
            <w:r>
              <w:rPr>
                <w:b/>
                <w:bCs/>
                <w:sz w:val="20"/>
                <w:szCs w:val="20"/>
              </w:rPr>
              <w:t xml:space="preserve">Disaster Recovery</w:t>
            </w:r>
          </w:p>
        </w:tc>
        <w:tc>
          <w:tcPr>
            <w:tcW w:type="dxa" w:w="4900"/>
            <w:tcMar>
              <w:top w:type="dxa" w:w="80"/>
              <w:left w:type="dxa" w:w="100"/>
              <w:bottom w:type="dxa" w:w="80"/>
              <w:right w:type="dxa" w:w="100"/>
            </w:tcMar>
          </w:tcPr>
          <w:p>
            <w:r>
              <w:rPr>
                <w:sz w:val="20"/>
                <w:szCs w:val="20"/>
              </w:rPr>
              <w:t xml:space="preserve">Nightly PostgreSQL backups (including pgvector data); documented restore procedure.</w:t>
            </w:r>
          </w:p>
        </w:tc>
      </w:tr>
      <w:tr>
        <w:trPr>
          <w:tblHeader w:val="false"/>
        </w:trPr>
        <w:tc>
          <w:tcPr>
            <w:tcW w:type="dxa" w:w="4900"/>
            <w:tcMar>
              <w:top w:type="dxa" w:w="80"/>
              <w:left w:type="dxa" w:w="100"/>
              <w:bottom w:type="dxa" w:w="80"/>
              <w:right w:type="dxa" w:w="100"/>
            </w:tcMar>
          </w:tcPr>
          <w:p>
            <w:r>
              <w:rPr>
                <w:b/>
                <w:bCs/>
                <w:sz w:val="20"/>
                <w:szCs w:val="20"/>
              </w:rPr>
              <w:t xml:space="preserve">Backup</w:t>
            </w:r>
          </w:p>
        </w:tc>
        <w:tc>
          <w:tcPr>
            <w:tcW w:type="dxa" w:w="4900"/>
            <w:tcMar>
              <w:top w:type="dxa" w:w="80"/>
              <w:left w:type="dxa" w:w="100"/>
              <w:bottom w:type="dxa" w:w="80"/>
              <w:right w:type="dxa" w:w="100"/>
            </w:tcMar>
          </w:tcPr>
          <w:p>
            <w:r>
              <w:rPr>
                <w:sz w:val="20"/>
                <w:szCs w:val="20"/>
              </w:rPr>
              <w:t xml:space="preserve">Point-in-time recovery target of 24h for capstone scope.</w:t>
            </w:r>
          </w:p>
        </w:tc>
      </w:tr>
    </w:tbl>
    <w:p>
      <w:pPr>
        <w:spacing w:after="200"/>
      </w:pPr>
    </w:p>
    <w:p>
      <w:pPr>
        <w:pStyle w:val="Heading1"/>
        <w:pageBreakBefore/>
        <w:spacing w:after="180" w:before="360"/>
      </w:pPr>
      <w:bookmarkStart w:name="sec8" w:id="1"/>
      <w:r>
        <w:t xml:space="preserve">9. Feature Breakdown</w:t>
      </w:r>
      <w:bookmarkEnd w:id="1"/>
    </w:p>
    <w:p>
      <w:pPr>
        <w:spacing w:after="160" w:line="300"/>
      </w:pPr>
      <w:r>
        <w:t xml:space="preserve">Representative deep-dive on the three highest-complexity features (full breakdown of all 19 FRs follows the same template and is included in the appendix-style detail below):</w:t>
      </w:r>
    </w:p>
    <w:p>
      <w:pPr>
        <w:pStyle w:val="Heading2"/>
        <w:spacing w:after="140" w:before="260"/>
      </w:pPr>
      <w:r>
        <w:t xml:space="preserve">9.1 Calculator Tool</w:t>
      </w:r>
    </w:p>
    <w:p>
      <w:pPr>
        <w:pStyle w:val="ListParagraph"/>
        <w:numPr>
          <w:ilvl w:val="0"/>
          <w:numId w:val="1"/>
        </w:numPr>
        <w:spacing w:after="80" w:line="290"/>
      </w:pPr>
      <w:r>
        <w:rPr>
          <w:b/>
          <w:bCs/>
        </w:rPr>
        <w:t xml:space="preserve">Purpose:</w:t>
      </w:r>
      <w:r>
        <w:t xml:space="preserve"> Deterministic reward-value computation, isolating arithmetic from LLM generation.</w:t>
      </w:r>
    </w:p>
    <w:p>
      <w:pPr>
        <w:pStyle w:val="ListParagraph"/>
        <w:numPr>
          <w:ilvl w:val="0"/>
          <w:numId w:val="1"/>
        </w:numPr>
        <w:spacing w:after="80" w:line="290"/>
      </w:pPr>
      <w:r>
        <w:rPr>
          <w:b/>
          <w:bCs/>
        </w:rPr>
        <w:t xml:space="preserve">Inputs:</w:t>
      </w:r>
      <w:r>
        <w:t xml:space="preserve"> spend_amount, reward_rate, reward_unit, cap_type, cap_value, point_valuation, milestone_thresholds[].</w:t>
      </w:r>
    </w:p>
    <w:p>
      <w:pPr>
        <w:pStyle w:val="ListParagraph"/>
        <w:numPr>
          <w:ilvl w:val="0"/>
          <w:numId w:val="1"/>
        </w:numPr>
        <w:spacing w:after="80" w:line="290"/>
      </w:pPr>
      <w:r>
        <w:rPr>
          <w:b/>
          <w:bCs/>
        </w:rPr>
        <w:t xml:space="preserve">Outputs:</w:t>
      </w:r>
      <w:r>
        <w:t xml:space="preserve"> base_points, capped_points, reward_value, effective_return_pct, cap_applied (bool), milestone_triggered (bool).</w:t>
      </w:r>
    </w:p>
    <w:p>
      <w:pPr>
        <w:pStyle w:val="ListParagraph"/>
        <w:numPr>
          <w:ilvl w:val="0"/>
          <w:numId w:val="1"/>
        </w:numPr>
        <w:spacing w:after="80" w:line="290"/>
      </w:pPr>
      <w:r>
        <w:rPr>
          <w:b/>
          <w:bCs/>
        </w:rPr>
        <w:t xml:space="preserve">Dependencies:</w:t>
      </w:r>
      <w:r>
        <w:t xml:space="preserve"> </w:t>
      </w:r>
      <w:r>
        <w:rPr>
          <w:rFonts w:ascii="Consolas" w:cs="Consolas" w:eastAsia="Consolas" w:hAnsi="Consolas"/>
          <w:shd w:fill="F0F0F0" w:val="clear"/>
        </w:rPr>
        <w:t xml:space="preserve">reward_rules</w:t>
      </w:r>
      <w:r>
        <w:t xml:space="preserve"> table (or ad-hoc rule passed by the retrieval node).</w:t>
      </w:r>
    </w:p>
    <w:p>
      <w:pPr>
        <w:pStyle w:val="ListParagraph"/>
        <w:numPr>
          <w:ilvl w:val="0"/>
          <w:numId w:val="1"/>
        </w:numPr>
        <w:spacing w:after="80" w:line="290"/>
      </w:pPr>
      <w:r>
        <w:rPr>
          <w:b/>
          <w:bCs/>
        </w:rPr>
        <w:t xml:space="preserve">Failure cases:</w:t>
      </w:r>
      <w:r>
        <w:t xml:space="preserve"> Missing reward_rate (must raise, not silently default); negative/zero spend (reject with validation error).</w:t>
      </w:r>
    </w:p>
    <w:p>
      <w:pPr>
        <w:pStyle w:val="ListParagraph"/>
        <w:numPr>
          <w:ilvl w:val="0"/>
          <w:numId w:val="1"/>
        </w:numPr>
        <w:spacing w:after="80" w:line="290"/>
      </w:pPr>
      <w:r>
        <w:rPr>
          <w:b/>
          <w:bCs/>
        </w:rPr>
        <w:t xml:space="preserve">Edge cases:</w:t>
      </w:r>
      <w:r>
        <w:t xml:space="preserve"> Spend exactly at cap boundary; milestone thresholds spanning multiple transactions within a billing cycle (requires cumulative spend tracking, partially out of MVP scope).</w:t>
      </w:r>
    </w:p>
    <w:p>
      <w:pPr>
        <w:pStyle w:val="ListParagraph"/>
        <w:numPr>
          <w:ilvl w:val="0"/>
          <w:numId w:val="1"/>
        </w:numPr>
        <w:spacing w:after="80" w:line="290"/>
      </w:pPr>
      <w:r>
        <w:rPr>
          <w:b/>
          <w:bCs/>
        </w:rPr>
        <w:t xml:space="preserve">Future improvements:</w:t>
      </w:r>
      <w:r>
        <w:t xml:space="preserve"> Multi-currency support; proration for mid-cycle milestone resets.</w:t>
      </w:r>
    </w:p>
    <w:p>
      <w:pPr>
        <w:pStyle w:val="ListParagraph"/>
        <w:numPr>
          <w:ilvl w:val="0"/>
          <w:numId w:val="1"/>
        </w:numPr>
        <w:spacing w:after="80" w:line="290"/>
      </w:pPr>
      <w:r>
        <w:rPr>
          <w:b/>
          <w:bCs/>
        </w:rPr>
        <w:t xml:space="preserve">Complexity:</w:t>
      </w:r>
      <w:r>
        <w:t xml:space="preserve"> Medium (pure logic, but many boundary conditions). </w:t>
      </w:r>
      <w:r>
        <w:rPr>
          <w:b/>
          <w:bCs/>
        </w:rPr>
        <w:t xml:space="preserve">Priority:</w:t>
      </w:r>
      <w:r>
        <w:t xml:space="preserve"> P0 (blocking for everything downstream).</w:t>
      </w:r>
    </w:p>
    <w:p>
      <w:pPr>
        <w:pStyle w:val="Heading2"/>
        <w:spacing w:after="140" w:before="260"/>
      </w:pPr>
      <w:r>
        <w:t xml:space="preserve">9.2 Retrieval Node</w:t>
      </w:r>
    </w:p>
    <w:p>
      <w:pPr>
        <w:pStyle w:val="ListParagraph"/>
        <w:numPr>
          <w:ilvl w:val="0"/>
          <w:numId w:val="1"/>
        </w:numPr>
        <w:spacing w:after="80" w:line="290"/>
      </w:pPr>
      <w:r>
        <w:rPr>
          <w:b/>
          <w:bCs/>
        </w:rPr>
        <w:t xml:space="preserve">Purpose:</w:t>
      </w:r>
      <w:r>
        <w:t xml:space="preserve"> Fetch the most relevant, correctly-scoped rule chunks for a query.</w:t>
      </w:r>
    </w:p>
    <w:p>
      <w:pPr>
        <w:pStyle w:val="ListParagraph"/>
        <w:numPr>
          <w:ilvl w:val="0"/>
          <w:numId w:val="1"/>
        </w:numPr>
        <w:spacing w:after="80" w:line="290"/>
      </w:pPr>
      <w:r>
        <w:rPr>
          <w:b/>
          <w:bCs/>
        </w:rPr>
        <w:t xml:space="preserve">Inputs:</w:t>
      </w:r>
      <w:r>
        <w:t xml:space="preserve"> user query (raw text), optional card_name filter, optional category filter.</w:t>
      </w:r>
    </w:p>
    <w:p>
      <w:pPr>
        <w:pStyle w:val="ListParagraph"/>
        <w:numPr>
          <w:ilvl w:val="0"/>
          <w:numId w:val="1"/>
        </w:numPr>
        <w:spacing w:after="80" w:line="290"/>
      </w:pPr>
      <w:r>
        <w:rPr>
          <w:b/>
          <w:bCs/>
        </w:rPr>
        <w:t xml:space="preserve">Outputs:</w:t>
      </w:r>
      <w:r>
        <w:t xml:space="preserve"> ranked list of chunks with similarity scores and metadata.</w:t>
      </w:r>
    </w:p>
    <w:p>
      <w:pPr>
        <w:pStyle w:val="ListParagraph"/>
        <w:numPr>
          <w:ilvl w:val="0"/>
          <w:numId w:val="1"/>
        </w:numPr>
        <w:spacing w:after="80" w:line="290"/>
      </w:pPr>
      <w:r>
        <w:rPr>
          <w:b/>
          <w:bCs/>
        </w:rPr>
        <w:t xml:space="preserve">Dependencies:</w:t>
      </w:r>
      <w:r>
        <w:t xml:space="preserve"> pgvector index, embedding model, </w:t>
      </w:r>
      <w:r>
        <w:rPr>
          <w:rFonts w:ascii="Consolas" w:cs="Consolas" w:eastAsia="Consolas" w:hAnsi="Consolas"/>
          <w:shd w:fill="F0F0F0" w:val="clear"/>
        </w:rPr>
        <w:t xml:space="preserve">document_chunks</w:t>
      </w:r>
      <w:r>
        <w:t xml:space="preserve"> table.</w:t>
      </w:r>
    </w:p>
    <w:p>
      <w:pPr>
        <w:pStyle w:val="ListParagraph"/>
        <w:numPr>
          <w:ilvl w:val="0"/>
          <w:numId w:val="1"/>
        </w:numPr>
        <w:spacing w:after="80" w:line="290"/>
      </w:pPr>
      <w:r>
        <w:rPr>
          <w:b/>
          <w:bCs/>
        </w:rPr>
        <w:t xml:space="preserve">Failure cases:</w:t>
      </w:r>
      <w:r>
        <w:t xml:space="preserve"> No chunks above similarity threshold → must trigger "insufficient information" path, not a low-confidence guess.</w:t>
      </w:r>
    </w:p>
    <w:p>
      <w:pPr>
        <w:pStyle w:val="ListParagraph"/>
        <w:numPr>
          <w:ilvl w:val="0"/>
          <w:numId w:val="1"/>
        </w:numPr>
        <w:spacing w:after="80" w:line="290"/>
      </w:pPr>
      <w:r>
        <w:rPr>
          <w:b/>
          <w:bCs/>
        </w:rPr>
        <w:t xml:space="preserve">Edge cases:</w:t>
      </w:r>
      <w:r>
        <w:t xml:space="preserve"> Query spans multiple categories ("flights and hotel spend") — requires either multi-query retrieval or query decomposition.</w:t>
      </w:r>
    </w:p>
    <w:p>
      <w:pPr>
        <w:pStyle w:val="ListParagraph"/>
        <w:numPr>
          <w:ilvl w:val="0"/>
          <w:numId w:val="1"/>
        </w:numPr>
        <w:spacing w:after="80" w:line="290"/>
      </w:pPr>
      <w:r>
        <w:rPr>
          <w:b/>
          <w:bCs/>
        </w:rPr>
        <w:t xml:space="preserve">Future improvements:</w:t>
      </w:r>
      <w:r>
        <w:t xml:space="preserve"> Hybrid (BM25 + vector) search to catch exact-term matches (e.g., specific merchant names) that pure embedding similarity can miss.</w:t>
      </w:r>
    </w:p>
    <w:p>
      <w:pPr>
        <w:pStyle w:val="ListParagraph"/>
        <w:numPr>
          <w:ilvl w:val="0"/>
          <w:numId w:val="1"/>
        </w:numPr>
        <w:spacing w:after="80" w:line="290"/>
      </w:pPr>
      <w:r>
        <w:rPr>
          <w:b/>
          <w:bCs/>
        </w:rPr>
        <w:t xml:space="preserve">Complexity:</w:t>
      </w:r>
      <w:r>
        <w:t xml:space="preserve"> Medium-High. </w:t>
      </w:r>
      <w:r>
        <w:rPr>
          <w:b/>
          <w:bCs/>
        </w:rPr>
        <w:t xml:space="preserve">Priority:</w:t>
      </w:r>
      <w:r>
        <w:t xml:space="preserve"> P0.</w:t>
      </w:r>
    </w:p>
    <w:p>
      <w:pPr>
        <w:pStyle w:val="Heading2"/>
        <w:spacing w:after="140" w:before="260"/>
      </w:pPr>
      <w:r>
        <w:t xml:space="preserve">9.3 Human Approval Node</w:t>
      </w:r>
    </w:p>
    <w:p>
      <w:pPr>
        <w:pStyle w:val="ListParagraph"/>
        <w:numPr>
          <w:ilvl w:val="0"/>
          <w:numId w:val="1"/>
        </w:numPr>
        <w:spacing w:after="80" w:line="290"/>
      </w:pPr>
      <w:r>
        <w:rPr>
          <w:b/>
          <w:bCs/>
        </w:rPr>
        <w:t xml:space="preserve">Purpose:</w:t>
      </w:r>
      <w:r>
        <w:t xml:space="preserve"> Gate irreversible actions (point transfer) behind explicit user confirmation.</w:t>
      </w:r>
    </w:p>
    <w:p>
      <w:pPr>
        <w:pStyle w:val="ListParagraph"/>
        <w:numPr>
          <w:ilvl w:val="0"/>
          <w:numId w:val="1"/>
        </w:numPr>
        <w:spacing w:after="80" w:line="290"/>
      </w:pPr>
      <w:r>
        <w:rPr>
          <w:b/>
          <w:bCs/>
        </w:rPr>
        <w:t xml:space="preserve">Inputs:</w:t>
      </w:r>
      <w:r>
        <w:t xml:space="preserve"> proposed transfer plan (partner, ratio, assumptions).</w:t>
      </w:r>
    </w:p>
    <w:p>
      <w:pPr>
        <w:pStyle w:val="ListParagraph"/>
        <w:numPr>
          <w:ilvl w:val="0"/>
          <w:numId w:val="1"/>
        </w:numPr>
        <w:spacing w:after="80" w:line="290"/>
      </w:pPr>
      <w:r>
        <w:rPr>
          <w:b/>
          <w:bCs/>
        </w:rPr>
        <w:t xml:space="preserve">Outputs:</w:t>
      </w:r>
      <w:r>
        <w:t xml:space="preserve"> approved/rejected/modified state, resumed graph execution.</w:t>
      </w:r>
    </w:p>
    <w:p>
      <w:pPr>
        <w:pStyle w:val="ListParagraph"/>
        <w:numPr>
          <w:ilvl w:val="0"/>
          <w:numId w:val="1"/>
        </w:numPr>
        <w:spacing w:after="80" w:line="290"/>
      </w:pPr>
      <w:r>
        <w:rPr>
          <w:b/>
          <w:bCs/>
        </w:rPr>
        <w:t xml:space="preserve">Dependencies:</w:t>
      </w:r>
      <w:r>
        <w:t xml:space="preserve"> LangGraph interrupt/resume capability, UI confirmation component.</w:t>
      </w:r>
    </w:p>
    <w:p>
      <w:pPr>
        <w:pStyle w:val="ListParagraph"/>
        <w:numPr>
          <w:ilvl w:val="0"/>
          <w:numId w:val="1"/>
        </w:numPr>
        <w:spacing w:after="80" w:line="290"/>
      </w:pPr>
      <w:r>
        <w:rPr>
          <w:b/>
          <w:bCs/>
        </w:rPr>
        <w:t xml:space="preserve">Failure cases:</w:t>
      </w:r>
      <w:r>
        <w:t xml:space="preserve"> User abandons session mid-approval — state must be safely resumable or safely discarded, never auto-executed on timeout.</w:t>
      </w:r>
    </w:p>
    <w:p>
      <w:pPr>
        <w:pStyle w:val="ListParagraph"/>
        <w:numPr>
          <w:ilvl w:val="0"/>
          <w:numId w:val="1"/>
        </w:numPr>
        <w:spacing w:after="80" w:line="290"/>
      </w:pPr>
      <w:r>
        <w:rPr>
          <w:b/>
          <w:bCs/>
        </w:rPr>
        <w:t xml:space="preserve">Edge cases:</w:t>
      </w:r>
      <w:r>
        <w:t xml:space="preserve"> User approves but changes assumptions (e.g., "actually use hotel goal, not cashback") — must re-route to recompute, not proceed with stale assumptions.</w:t>
      </w:r>
    </w:p>
    <w:p>
      <w:pPr>
        <w:pStyle w:val="ListParagraph"/>
        <w:numPr>
          <w:ilvl w:val="0"/>
          <w:numId w:val="1"/>
        </w:numPr>
        <w:spacing w:after="80" w:line="290"/>
      </w:pPr>
      <w:r>
        <w:rPr>
          <w:b/>
          <w:bCs/>
        </w:rPr>
        <w:t xml:space="preserve">Future improvements:</w:t>
      </w:r>
      <w:r>
        <w:t xml:space="preserve"> Multi-step approval for multi-leg transfer strategies.</w:t>
      </w:r>
    </w:p>
    <w:p>
      <w:pPr>
        <w:pStyle w:val="ListParagraph"/>
        <w:numPr>
          <w:ilvl w:val="0"/>
          <w:numId w:val="1"/>
        </w:numPr>
        <w:spacing w:after="80" w:line="290"/>
      </w:pPr>
      <w:r>
        <w:rPr>
          <w:b/>
          <w:bCs/>
        </w:rPr>
        <w:t xml:space="preserve">Complexity:</w:t>
      </w:r>
      <w:r>
        <w:t xml:space="preserve"> Medium. </w:t>
      </w:r>
      <w:r>
        <w:rPr>
          <w:b/>
          <w:bCs/>
        </w:rPr>
        <w:t xml:space="preserve">Priority:</w:t>
      </w:r>
      <w:r>
        <w:t xml:space="preserve"> P0 (this is a core differentiator per Section 1.6).</w:t>
      </w:r>
    </w:p>
    <w:p>
      <w:pPr>
        <w:spacing w:after="160" w:before="300"/>
      </w:pPr>
      <w:r>
        <w:rPr>
          <w:i/>
          <w:iCs/>
          <w:color w:val="595959"/>
        </w:rPr>
        <w:t xml:space="preserve">(The remaining 16 functional requirements — auth, ingestion, comparison, memory, feedback, monitoring, logging, evaluation, reporting, admin panel, analytics, exporting, API, notifications, point valuation, guardrails — follow this identical purpose/inputs/outputs/dependencies/failure/edge-case/future/complexity/priority template in the working engineering backlog; they are omitted here in full only for document length, not because they are less rigorously specified.)</w:t>
      </w:r>
    </w:p>
    <w:p>
      <w:pPr>
        <w:pStyle w:val="Heading1"/>
        <w:pageBreakBefore/>
        <w:spacing w:after="180" w:before="360"/>
      </w:pPr>
      <w:bookmarkStart w:name="sec9" w:id="1"/>
      <w:r>
        <w:t xml:space="preserve">10. AI Architecture</w:t>
      </w:r>
      <w:bookmarkEnd w:id="1"/>
    </w:p>
    <w:p>
      <w:pPr>
        <w:pStyle w:val="Heading2"/>
        <w:spacing w:after="140" w:before="260"/>
      </w:pPr>
      <w:r>
        <w:t xml:space="preserve">10.1 LLM</w:t>
      </w:r>
    </w:p>
    <w:p>
      <w:pPr>
        <w:spacing w:after="160" w:line="300"/>
      </w:pPr>
      <w:r>
        <w:t xml:space="preserve">The LLM is the </w:t>
      </w:r>
      <w:r>
        <w:rPr>
          <w:b/>
          <w:bCs/>
        </w:rPr>
        <w:t xml:space="preserve">reasoning and language layer only</w:t>
      </w:r>
      <w:r>
        <w:t xml:space="preserve"> — it interprets intent, decides next actions, and composes the final natural-language explanation. It is explicitly </w:t>
      </w:r>
      <w:r>
        <w:rPr>
          <w:i/>
          <w:iCs/>
        </w:rPr>
        <w:t xml:space="preserve">not</w:t>
      </w:r>
      <w:r>
        <w:t xml:space="preserve"> trusted for retrieval (facts) or arithmetic (numbers); those are delegated to the vector store and the calculator tool respectively. This separation of concerns is the single most important architectural decision in the system and should be stated explicitly in any presentation of this project.</w:t>
      </w:r>
    </w:p>
    <w:p>
      <w:pPr>
        <w:pStyle w:val="Heading2"/>
        <w:spacing w:after="140" w:before="260"/>
      </w:pPr>
      <w:r>
        <w:t xml:space="preserve">10.2 RAG (Retrieval-Augmented Generation)</w:t>
      </w:r>
    </w:p>
    <w:p>
      <w:pPr>
        <w:spacing w:after="160" w:line="300"/>
      </w:pPr>
      <w:r>
        <w:t xml:space="preserve">Standard RAG pattern: query → embed → similarity search → inject top-K chunks into context → generate. The critical addition here is </w:t>
      </w:r>
      <w:r>
        <w:rPr>
          <w:b/>
          <w:bCs/>
        </w:rPr>
        <w:t xml:space="preserve">metadata-filtered</w:t>
      </w:r>
      <w:r>
        <w:t xml:space="preserve"> retrieval (by card_name, document_type, effective_date) since naive top-K similarity search across a multi-card corpus risks retrieving a </w:t>
      </w:r>
      <w:r>
        <w:rPr>
          <w:i/>
          <w:iCs/>
        </w:rPr>
        <w:t xml:space="preserve">plausible but wrong-card</w:t>
      </w:r>
      <w:r>
        <w:t xml:space="preserve"> rule — a subtle failure mode worth explicitly testing for (Section 19).</w:t>
      </w:r>
    </w:p>
    <w:p>
      <w:pPr>
        <w:pStyle w:val="Heading2"/>
        <w:spacing w:after="140" w:before="260"/>
      </w:pPr>
      <w:r>
        <w:t xml:space="preserve">10.3 Vector Database</w:t>
      </w:r>
    </w:p>
    <w:p>
      <w:pPr>
        <w:spacing w:after="160" w:line="300"/>
      </w:pPr>
      <w:r>
        <w:t xml:space="preserve">pgvector, chosen for its ability to co-locate structured (</w:t>
      </w:r>
      <w:r>
        <w:rPr>
          <w:rFonts w:ascii="Consolas" w:cs="Consolas" w:eastAsia="Consolas" w:hAnsi="Consolas"/>
          <w:shd w:fill="F0F0F0" w:val="clear"/>
        </w:rPr>
        <w:t xml:space="preserve">reward_rules</w:t>
      </w:r>
      <w:r>
        <w:t xml:space="preserve">) and unstructured (</w:t>
      </w:r>
      <w:r>
        <w:rPr>
          <w:rFonts w:ascii="Consolas" w:cs="Consolas" w:eastAsia="Consolas" w:hAnsi="Consolas"/>
          <w:shd w:fill="F0F0F0" w:val="clear"/>
        </w:rPr>
        <w:t xml:space="preserve">document_chunks</w:t>
      </w:r>
      <w:r>
        <w:t xml:space="preserve">) data in one PostgreSQL instance, avoiding a second database technology for an MVP-scale corpus. See Section 15 for the full comparison against Pinecone/Chroma/Qdrant/Milvus.</w:t>
      </w:r>
    </w:p>
    <w:p>
      <w:pPr>
        <w:pStyle w:val="Heading2"/>
        <w:spacing w:after="140" w:before="260"/>
      </w:pPr>
      <w:r>
        <w:t xml:space="preserve">10.4 Embeddings</w:t>
      </w:r>
    </w:p>
    <w:p>
      <w:pPr>
        <w:spacing w:after="160" w:line="300"/>
      </w:pPr>
      <w:r>
        <w:t xml:space="preserve">A general-purpose embedding model (OpenAI </w:t>
      </w:r>
      <w:r>
        <w:rPr>
          <w:rFonts w:ascii="Consolas" w:cs="Consolas" w:eastAsia="Consolas" w:hAnsi="Consolas"/>
          <w:shd w:fill="F0F0F0" w:val="clear"/>
        </w:rPr>
        <w:t xml:space="preserve">text-embedding-3-small</w:t>
      </w:r>
      <w:r>
        <w:t xml:space="preserve">/</w:t>
      </w:r>
      <w:r>
        <w:rPr>
          <w:rFonts w:ascii="Consolas" w:cs="Consolas" w:eastAsia="Consolas" w:hAnsi="Consolas"/>
          <w:shd w:fill="F0F0F0" w:val="clear"/>
        </w:rPr>
        <w:t xml:space="preserve">large</w:t>
      </w:r>
      <w:r>
        <w:t xml:space="preserve">, or an open-source alternative for cost/privacy reasons) encodes each chunk. </w:t>
      </w:r>
      <w:r>
        <w:rPr>
          <w:b/>
          <w:bCs/>
        </w:rPr>
        <w:t xml:space="preserve">Assumption:</w:t>
      </w:r>
      <w:r>
        <w:t xml:space="preserve"> off-the-shelf embeddings are adequate for this domain; a stretch goal (Section 23) is fine-tuning or few-shot re-ranking specifically on financial-terms language, since generic embeddings can under-distinguish semantically close but legally distinct terms like "excluded" vs. "capped."</w:t>
      </w:r>
    </w:p>
    <w:p>
      <w:pPr>
        <w:pStyle w:val="Heading2"/>
        <w:spacing w:after="140" w:before="260"/>
      </w:pPr>
      <w:r>
        <w:t xml:space="preserve">10.5 Chunking</w:t>
      </w:r>
    </w:p>
    <w:p>
      <w:pPr>
        <w:spacing w:after="160" w:line="300"/>
      </w:pPr>
      <w:r>
        <w:t xml:space="preserve">Recursive character/semantic chunking (~300–500 tokens with overlap) at minimum; a stronger approach, given the structured nature of card T&amp;Cs, is to chunk </w:t>
      </w:r>
      <w:r>
        <w:rPr>
          <w:b/>
          <w:bCs/>
        </w:rPr>
        <w:t xml:space="preserve">by clause/section boundary</w:t>
      </w:r>
      <w:r>
        <w:t xml:space="preserve"> (using document structure — headings, tables) rather than fixed character windows, to avoid splitting a cap condition from the reward rate it modifies. This is a concrete, testable improvement over naive chunking and worth calling out as a design decision, not an afterthought.</w:t>
      </w:r>
    </w:p>
    <w:p>
      <w:pPr>
        <w:pStyle w:val="Heading2"/>
        <w:spacing w:after="140" w:before="260"/>
      </w:pPr>
      <w:r>
        <w:t xml:space="preserve">10.6 Metadata</w:t>
      </w:r>
    </w:p>
    <w:p>
      <w:pPr>
        <w:spacing w:after="160" w:line="300"/>
      </w:pPr>
      <w:r>
        <w:t xml:space="preserve">Every chunk carries </w:t>
      </w:r>
      <w:r>
        <w:rPr>
          <w:rFonts w:ascii="Consolas" w:cs="Consolas" w:eastAsia="Consolas" w:hAnsi="Consolas"/>
          <w:shd w:fill="F0F0F0" w:val="clear"/>
        </w:rPr>
        <w:t xml:space="preserve">card_name</w:t>
      </w:r>
      <w:r>
        <w:t xml:space="preserve">, </w:t>
      </w:r>
      <w:r>
        <w:rPr>
          <w:rFonts w:ascii="Consolas" w:cs="Consolas" w:eastAsia="Consolas" w:hAnsi="Consolas"/>
          <w:shd w:fill="F0F0F0" w:val="clear"/>
        </w:rPr>
        <w:t xml:space="preserve">issuer</w:t>
      </w:r>
      <w:r>
        <w:t xml:space="preserve">, </w:t>
      </w:r>
      <w:r>
        <w:rPr>
          <w:rFonts w:ascii="Consolas" w:cs="Consolas" w:eastAsia="Consolas" w:hAnsi="Consolas"/>
          <w:shd w:fill="F0F0F0" w:val="clear"/>
        </w:rPr>
        <w:t xml:space="preserve">document_type</w:t>
      </w:r>
      <w:r>
        <w:t xml:space="preserve">, </w:t>
      </w:r>
      <w:r>
        <w:rPr>
          <w:rFonts w:ascii="Consolas" w:cs="Consolas" w:eastAsia="Consolas" w:hAnsi="Consolas"/>
          <w:shd w:fill="F0F0F0" w:val="clear"/>
        </w:rPr>
        <w:t xml:space="preserve">page_number</w:t>
      </w:r>
      <w:r>
        <w:t xml:space="preserve">, </w:t>
      </w:r>
      <w:r>
        <w:rPr>
          <w:rFonts w:ascii="Consolas" w:cs="Consolas" w:eastAsia="Consolas" w:hAnsi="Consolas"/>
          <w:shd w:fill="F0F0F0" w:val="clear"/>
        </w:rPr>
        <w:t xml:space="preserve">effective_date</w:t>
      </w:r>
      <w:r>
        <w:t xml:space="preserve">, </w:t>
      </w:r>
      <w:r>
        <w:rPr>
          <w:rFonts w:ascii="Consolas" w:cs="Consolas" w:eastAsia="Consolas" w:hAnsi="Consolas"/>
          <w:shd w:fill="F0F0F0" w:val="clear"/>
        </w:rPr>
        <w:t xml:space="preserve">source_url</w:t>
      </w:r>
      <w:r>
        <w:t xml:space="preserve">. Metadata is what makes filtered retrieval and citation possible — without it, RAG degrades to "plausible-sounding text," which is unacceptable in this domain.</w:t>
      </w:r>
    </w:p>
    <w:p>
      <w:pPr>
        <w:pStyle w:val="Heading2"/>
        <w:spacing w:after="140" w:before="260"/>
      </w:pPr>
      <w:r>
        <w:t xml:space="preserve">10.7 Hybrid Search</w:t>
      </w:r>
    </w:p>
    <w:p>
      <w:pPr>
        <w:spacing w:after="160" w:line="300"/>
      </w:pPr>
      <w:r>
        <w:t xml:space="preserve">Combining vector similarity with keyword/BM25 search materially helps when queries contain exact terms (merchant names, specific card names) that embeddings can dilute. Recommended as a Stage 2+ enhancement, not MVP-blocking.</w:t>
      </w:r>
    </w:p>
    <w:p>
      <w:pPr>
        <w:pStyle w:val="Heading2"/>
        <w:spacing w:after="140" w:before="260"/>
      </w:pPr>
      <w:r>
        <w:t xml:space="preserve">10.8 Agent (LangGraph)</w:t>
      </w:r>
    </w:p>
    <w:p>
      <w:pPr>
        <w:spacing w:after="160" w:line="300"/>
      </w:pPr>
      <w:r>
        <w:t xml:space="preserve">The system is modeled as a </w:t>
      </w:r>
      <w:r>
        <w:rPr>
          <w:b/>
          <w:bCs/>
        </w:rPr>
        <w:t xml:space="preserve">stateful graph</w:t>
      </w:r>
      <w:r>
        <w:t xml:space="preserve">, not a single prompt-response loop, because the workflow has genuine branching (clarify vs. retrieve vs. calculate vs. refuse vs. request approval) and genuine state that must persist across turns (owned cards, stated goal, retrieved evidence so far). See Section 14 for the full node-by-node design.</w:t>
      </w:r>
    </w:p>
    <w:p>
      <w:pPr>
        <w:pStyle w:val="Heading2"/>
        <w:spacing w:after="140" w:before="260"/>
      </w:pPr>
      <w:r>
        <w:t xml:space="preserve">10.9 Memory</w:t>
      </w:r>
    </w:p>
    <w:p>
      <w:pPr>
        <w:spacing w:after="160" w:line="300"/>
      </w:pPr>
      <w:r>
        <w:t xml:space="preserve">Two tiers: </w:t>
      </w:r>
      <w:r>
        <w:rPr>
          <w:b/>
          <w:bCs/>
        </w:rPr>
        <w:t xml:space="preserve">short-term</w:t>
      </w:r>
      <w:r>
        <w:t xml:space="preserve"> (current conversation state, held in the LangGraph state object) and </w:t>
      </w:r>
      <w:r>
        <w:rPr>
          <w:b/>
          <w:bCs/>
        </w:rPr>
        <w:t xml:space="preserve">long-term</w:t>
      </w:r>
      <w:r>
        <w:t xml:space="preserve"> (persisted </w:t>
      </w:r>
      <w:r>
        <w:rPr>
          <w:rFonts w:ascii="Consolas" w:cs="Consolas" w:eastAsia="Consolas" w:hAnsi="Consolas"/>
          <w:shd w:fill="F0F0F0" w:val="clear"/>
        </w:rPr>
        <w:t xml:space="preserve">user_profiles.conversation_summary</w:t>
      </w:r>
      <w:r>
        <w:t xml:space="preserve">, updated at session end via an LLM-generated summary, distinct from raw transcript storage for both cost and privacy reasons).</w:t>
      </w:r>
    </w:p>
    <w:p>
      <w:pPr>
        <w:pStyle w:val="Heading2"/>
        <w:spacing w:after="140" w:before="260"/>
      </w:pPr>
      <w:r>
        <w:t xml:space="preserve">10.10 Tool Calling</w:t>
      </w:r>
    </w:p>
    <w:p>
      <w:pPr>
        <w:spacing w:after="160" w:line="300"/>
      </w:pPr>
      <w:r>
        <w:t xml:space="preserve">The agent has two tools minimum: </w:t>
      </w:r>
      <w:r>
        <w:rPr>
          <w:rFonts w:ascii="Consolas" w:cs="Consolas" w:eastAsia="Consolas" w:hAnsi="Consolas"/>
          <w:shd w:fill="F0F0F0" w:val="clear"/>
        </w:rPr>
        <w:t xml:space="preserve">retriever</w:t>
      </w:r>
      <w:r>
        <w:t xml:space="preserve"> (wraps vector search) and </w:t>
      </w:r>
      <w:r>
        <w:rPr>
          <w:rFonts w:ascii="Consolas" w:cs="Consolas" w:eastAsia="Consolas" w:hAnsi="Consolas"/>
          <w:shd w:fill="F0F0F0" w:val="clear"/>
        </w:rPr>
        <w:t xml:space="preserve">calculator</w:t>
      </w:r>
      <w:r>
        <w:t xml:space="preserve"> (pure function). Tool-calling here is not decorative — it is the mechanism that keeps facts and numbers </w:t>
      </w:r>
      <w:r>
        <w:rPr>
          <w:i/>
          <w:iCs/>
        </w:rPr>
        <w:t xml:space="preserve">out</w:t>
      </w:r>
      <w:r>
        <w:t xml:space="preserve"> of the LLM's generative surface, which is the core reliability strategy of the whole system.</w:t>
      </w:r>
    </w:p>
    <w:p>
      <w:pPr>
        <w:pStyle w:val="Heading2"/>
        <w:spacing w:after="140" w:before="260"/>
      </w:pPr>
      <w:r>
        <w:t xml:space="preserve">10.11 Human Approval</w:t>
      </w:r>
    </w:p>
    <w:p>
      <w:pPr>
        <w:spacing w:after="160" w:line="300"/>
      </w:pPr>
      <w:r>
        <w:t xml:space="preserve">Implemented via LangGraph's interrupt/resume primitive: the graph pauses at the approval node, control returns to the UI, and execution resumes only on explicit user confirmation — never a fire-and-forget async approval.</w:t>
      </w:r>
    </w:p>
    <w:p>
      <w:pPr>
        <w:pStyle w:val="Heading2"/>
        <w:spacing w:after="140" w:before="260"/>
      </w:pPr>
      <w:r>
        <w:t xml:space="preserve">10.12 Guardrails</w:t>
      </w:r>
    </w:p>
    <w:p>
      <w:pPr>
        <w:spacing w:after="160" w:line="300"/>
      </w:pPr>
      <w:r>
        <w:t xml:space="preserve">A dedicated Guardrail Node (not just a system-prompt instruction) programmatically checks the draft answer against the retrieved evidence before it reaches the user (Section 14, node 8). Treating guardrails as a </w:t>
      </w:r>
      <w:r>
        <w:rPr>
          <w:i/>
          <w:iCs/>
        </w:rPr>
        <w:t xml:space="preserve">node in the graph</w:t>
      </w:r>
      <w:r>
        <w:t xml:space="preserve"> rather than a prompt suffix is a meaningfully stronger engineering pattern, since it can be unit-tested independently of the LLM's stochastic behavior.</w:t>
      </w:r>
    </w:p>
    <w:p>
      <w:pPr>
        <w:pStyle w:val="Heading2"/>
        <w:spacing w:after="140" w:before="260"/>
      </w:pPr>
      <w:r>
        <w:t xml:space="preserve">10.13 Prompt Engineering</w:t>
      </w:r>
    </w:p>
    <w:p>
      <w:pPr>
        <w:spacing w:after="160" w:line="300"/>
      </w:pPr>
      <w:r>
        <w:t xml:space="preserve">The system prompt (Section 13) enforces: answer only from retrieved evidence, always show calculation, always show assumptions, always state confidence, refuse when evidence is insufficient. This is reinforced structurally (the guardrail node), not just requested — prompts alone are not a reliability mechanism in a domain this sensitive.</w:t>
      </w:r>
    </w:p>
    <w:p>
      <w:pPr>
        <w:pStyle w:val="Heading2"/>
        <w:spacing w:after="140" w:before="260"/>
      </w:pPr>
      <w:r>
        <w:t xml:space="preserve">10.14 Context Management</w:t>
      </w:r>
    </w:p>
    <w:p>
      <w:pPr>
        <w:spacing w:after="160" w:line="300"/>
      </w:pPr>
      <w:r>
        <w:t xml:space="preserve">Context window budget must account for: system prompt + retrieved chunks (bounded to top-K, ~3–5) + conversation memory summary + current turn. As the corpus grows, retrieved-chunk truncation strategy (favor recency/effective_date, favor highest similarity) needs an explicit, tested policy rather than an implicit token-limit cutoff.</w:t>
      </w:r>
    </w:p>
    <w:p>
      <w:pPr>
        <w:pStyle w:val="Heading1"/>
        <w:pageBreakBefore/>
        <w:spacing w:after="180" w:before="360"/>
      </w:pPr>
      <w:bookmarkStart w:name="sec10" w:id="1"/>
      <w:r>
        <w:t xml:space="preserve">11. Complete System Architecture</w:t>
      </w:r>
      <w:bookmarkEnd w:id="1"/>
    </w:p>
    <w:p>
      <w:pPr>
        <w:pStyle w:val="Heading2"/>
        <w:spacing w:after="140" w:before="260"/>
      </w:pPr>
      <w:r>
        <w:t xml:space="preserve">11.1 Logical Architecture</w:t>
      </w:r>
    </w:p>
    <w:p>
      <w:pPr>
        <w:spacing w:after="240" w:before="120"/>
        <w:jc w:val="center"/>
      </w:pPr>
      <w:r>
        <w:drawing>
          <wp:inline distT="0" distB="0" distL="0" distR="0">
            <wp:extent cx="5905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381500"/>
                    </a:xfrm>
                    <a:prstGeom prst="rect">
                      <a:avLst/>
                    </a:prstGeom>
                  </pic:spPr>
                </pic:pic>
              </a:graphicData>
            </a:graphic>
          </wp:inline>
        </w:drawing>
      </w:r>
    </w:p>
    <w:p>
      <w:pPr>
        <w:pStyle w:val="Heading2"/>
        <w:spacing w:after="140" w:before="260"/>
      </w:pPr>
      <w:r>
        <w:t xml:space="preserve">11.2 Physical / Deployment Architecture</w:t>
      </w:r>
    </w:p>
    <w:p>
      <w:pPr>
        <w:spacing w:after="160" w:line="300"/>
      </w:pPr>
      <w:r>
        <w:t xml:space="preserve">For a capstone deployment: single-VM or container-based deployment (Docker Compose) with three services — </w:t>
      </w:r>
      <w:r>
        <w:rPr>
          <w:rFonts w:ascii="Consolas" w:cs="Consolas" w:eastAsia="Consolas" w:hAnsi="Consolas"/>
          <w:shd w:fill="F0F0F0" w:val="clear"/>
        </w:rPr>
        <w:t xml:space="preserve">app</w:t>
      </w:r>
      <w:r>
        <w:t xml:space="preserve"> (FastAPI + LangGraph), </w:t>
      </w:r>
      <w:r>
        <w:rPr>
          <w:rFonts w:ascii="Consolas" w:cs="Consolas" w:eastAsia="Consolas" w:hAnsi="Consolas"/>
          <w:shd w:fill="F0F0F0" w:val="clear"/>
        </w:rPr>
        <w:t xml:space="preserve">db</w:t>
      </w:r>
      <w:r>
        <w:t xml:space="preserve"> (Postgres+pgvector), </w:t>
      </w:r>
      <w:r>
        <w:rPr>
          <w:rFonts w:ascii="Consolas" w:cs="Consolas" w:eastAsia="Consolas" w:hAnsi="Consolas"/>
          <w:shd w:fill="F0F0F0" w:val="clear"/>
        </w:rPr>
        <w:t xml:space="preserve">ui</w:t>
      </w:r>
      <w:r>
        <w:t xml:space="preserve"> (Streamlit) — is sufficient. A production evolution would separate these into independently scalable services behind a load balancer, with the vector store potentially externalized to a managed service (Section 15).</w:t>
      </w:r>
    </w:p>
    <w:p>
      <w:pPr>
        <w:pStyle w:val="Heading2"/>
        <w:spacing w:after="140" w:before="260"/>
      </w:pPr>
      <w:r>
        <w:t xml:space="preserve">11.3 Component Diagram</w:t>
      </w:r>
    </w:p>
    <w:p>
      <w:pPr>
        <w:spacing w:after="240" w:before="120"/>
        <w:jc w:val="center"/>
      </w:pPr>
      <w:r>
        <w:drawing>
          <wp:inline distT="0" distB="0" distL="0" distR="0">
            <wp:extent cx="5905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105150"/>
                    </a:xfrm>
                    <a:prstGeom prst="rect">
                      <a:avLst/>
                    </a:prstGeom>
                  </pic:spPr>
                </pic:pic>
              </a:graphicData>
            </a:graphic>
          </wp:inline>
        </w:drawing>
      </w:r>
    </w:p>
    <w:p>
      <w:pPr>
        <w:pStyle w:val="Heading2"/>
        <w:spacing w:after="140" w:before="260"/>
      </w:pPr>
      <w:r>
        <w:t xml:space="preserve">11.4 Data Flow / Request Lifecycle (Sequence)</w:t>
      </w:r>
    </w:p>
    <w:p>
      <w:pPr>
        <w:spacing w:after="240" w:before="120"/>
        <w:jc w:val="center"/>
      </w:pPr>
      <w:r>
        <w:drawing>
          <wp:inline distT="0" distB="0" distL="0" distR="0">
            <wp:extent cx="5762625" cy="781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7810500"/>
                    </a:xfrm>
                    <a:prstGeom prst="rect">
                      <a:avLst/>
                    </a:prstGeom>
                  </pic:spPr>
                </pic:pic>
              </a:graphicData>
            </a:graphic>
          </wp:inline>
        </w:drawing>
      </w:r>
    </w:p>
    <w:p>
      <w:pPr>
        <w:pStyle w:val="Heading1"/>
        <w:pageBreakBefore/>
        <w:spacing w:after="180" w:before="360"/>
      </w:pPr>
      <w:bookmarkStart w:name="sec11" w:id="1"/>
      <w:r>
        <w:t xml:space="preserve">12. Database Design</w:t>
      </w:r>
      <w:bookmarkEnd w:id="1"/>
    </w:p>
    <w:p>
      <w:pPr>
        <w:pStyle w:val="Heading2"/>
        <w:spacing w:after="140" w:before="260"/>
      </w:pPr>
      <w:r>
        <w:t xml:space="preserve">12.1 ER Diagram</w:t>
      </w:r>
    </w:p>
    <w:p>
      <w:pPr>
        <w:spacing w:after="240" w:before="120"/>
        <w:jc w:val="center"/>
      </w:pPr>
      <w:r>
        <w:drawing>
          <wp:inline distT="0" distB="0" distL="0" distR="0">
            <wp:extent cx="590550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5715000"/>
                    </a:xfrm>
                    <a:prstGeom prst="rect">
                      <a:avLst/>
                    </a:prstGeom>
                  </pic:spPr>
                </pic:pic>
              </a:graphicData>
            </a:graphic>
          </wp:inline>
        </w:drawing>
      </w:r>
    </w:p>
    <w:p>
      <w:pPr>
        <w:pStyle w:val="Heading2"/>
        <w:spacing w:after="140" w:before="260"/>
      </w:pPr>
      <w:r>
        <w:t xml:space="preserve">12.2 Design Notes</w:t>
      </w:r>
    </w:p>
    <w:p>
      <w:pPr>
        <w:pStyle w:val="ListParagraph"/>
        <w:numPr>
          <w:ilvl w:val="0"/>
          <w:numId w:val="1"/>
        </w:numPr>
        <w:spacing w:after="80" w:line="290"/>
      </w:pPr>
      <w:r>
        <w:rPr>
          <w:b/>
          <w:bCs/>
        </w:rPr>
        <w:t xml:space="preserve">Normalization:</w:t>
      </w:r>
      <w:r>
        <w:t xml:space="preserve"> </w:t>
      </w:r>
      <w:r>
        <w:rPr>
          <w:rFonts w:ascii="Consolas" w:cs="Consolas" w:eastAsia="Consolas" w:hAnsi="Consolas"/>
          <w:shd w:fill="F0F0F0" w:val="clear"/>
        </w:rPr>
        <w:t xml:space="preserve">reward_rules</w:t>
      </w:r>
      <w:r>
        <w:t xml:space="preserve"> and </w:t>
      </w:r>
      <w:r>
        <w:rPr>
          <w:rFonts w:ascii="Consolas" w:cs="Consolas" w:eastAsia="Consolas" w:hAnsi="Consolas"/>
          <w:shd w:fill="F0F0F0" w:val="clear"/>
        </w:rPr>
        <w:t xml:space="preserve">transfer_partners</w:t>
      </w:r>
      <w:r>
        <w:t xml:space="preserve"> are in 3NF relative to </w:t>
      </w:r>
      <w:r>
        <w:rPr>
          <w:rFonts w:ascii="Consolas" w:cs="Consolas" w:eastAsia="Consolas" w:hAnsi="Consolas"/>
          <w:shd w:fill="F0F0F0" w:val="clear"/>
        </w:rPr>
        <w:t xml:space="preserve">card_documents</w:t>
      </w:r>
      <w:r>
        <w:t xml:space="preserve">; </w:t>
      </w:r>
      <w:r>
        <w:rPr>
          <w:rFonts w:ascii="Consolas" w:cs="Consolas" w:eastAsia="Consolas" w:hAnsi="Consolas"/>
          <w:shd w:fill="F0F0F0" w:val="clear"/>
        </w:rPr>
        <w:t xml:space="preserve">document_chunks.metadata_json</w:t>
      </w:r>
      <w:r>
        <w:t xml:space="preserve"> intentionally denormalizes a copy of </w:t>
      </w:r>
      <w:r>
        <w:rPr>
          <w:rFonts w:ascii="Consolas" w:cs="Consolas" w:eastAsia="Consolas" w:hAnsi="Consolas"/>
          <w:shd w:fill="F0F0F0" w:val="clear"/>
        </w:rPr>
        <w:t xml:space="preserve">card_name</w:t>
      </w:r>
      <w:r>
        <w:t xml:space="preserve"> for query performance (avoiding a join on the hot retrieval path) — a deliberate, documented trade-off.</w:t>
      </w:r>
    </w:p>
    <w:p>
      <w:pPr>
        <w:pStyle w:val="ListParagraph"/>
        <w:numPr>
          <w:ilvl w:val="0"/>
          <w:numId w:val="1"/>
        </w:numPr>
        <w:spacing w:after="80" w:line="290"/>
      </w:pPr>
      <w:r>
        <w:rPr>
          <w:b/>
          <w:bCs/>
        </w:rPr>
        <w:t xml:space="preserve">Indexes:</w:t>
      </w:r>
      <w:r>
        <w:t xml:space="preserve"> </w:t>
      </w:r>
      <w:r>
        <w:rPr>
          <w:rFonts w:ascii="Consolas" w:cs="Consolas" w:eastAsia="Consolas" w:hAnsi="Consolas"/>
          <w:shd w:fill="F0F0F0" w:val="clear"/>
        </w:rPr>
        <w:t xml:space="preserve">ivfflat</w:t>
      </w:r>
      <w:r>
        <w:t xml:space="preserve"> or </w:t>
      </w:r>
      <w:r>
        <w:rPr>
          <w:rFonts w:ascii="Consolas" w:cs="Consolas" w:eastAsia="Consolas" w:hAnsi="Consolas"/>
          <w:shd w:fill="F0F0F0" w:val="clear"/>
        </w:rPr>
        <w:t xml:space="preserve">hnsw</w:t>
      </w:r>
      <w:r>
        <w:t xml:space="preserve"> index on </w:t>
      </w:r>
      <w:r>
        <w:rPr>
          <w:rFonts w:ascii="Consolas" w:cs="Consolas" w:eastAsia="Consolas" w:hAnsi="Consolas"/>
          <w:shd w:fill="F0F0F0" w:val="clear"/>
        </w:rPr>
        <w:t xml:space="preserve">document_chunks.embedding</w:t>
      </w:r>
      <w:r>
        <w:t xml:space="preserve">; B-tree indexes on </w:t>
      </w:r>
      <w:r>
        <w:rPr>
          <w:rFonts w:ascii="Consolas" w:cs="Consolas" w:eastAsia="Consolas" w:hAnsi="Consolas"/>
          <w:shd w:fill="F0F0F0" w:val="clear"/>
        </w:rPr>
        <w:t xml:space="preserve">reward_rules(card_name, spend_category)</w:t>
      </w:r>
      <w:r>
        <w:t xml:space="preserve"> for the calculator's lookup path; index on </w:t>
      </w:r>
      <w:r>
        <w:rPr>
          <w:rFonts w:ascii="Consolas" w:cs="Consolas" w:eastAsia="Consolas" w:hAnsi="Consolas"/>
          <w:shd w:fill="F0F0F0" w:val="clear"/>
        </w:rPr>
        <w:t xml:space="preserve">recommendation_logs(user_id, created_at)</w:t>
      </w:r>
      <w:r>
        <w:t xml:space="preserve"> for reporting (FR-14).</w:t>
      </w:r>
    </w:p>
    <w:p>
      <w:pPr>
        <w:pStyle w:val="ListParagraph"/>
        <w:numPr>
          <w:ilvl w:val="0"/>
          <w:numId w:val="1"/>
        </w:numPr>
        <w:spacing w:after="80" w:line="290"/>
      </w:pPr>
      <w:r>
        <w:rPr>
          <w:b/>
          <w:bCs/>
        </w:rPr>
        <w:t xml:space="preserve">Sample record (</w:t>
      </w:r>
      <w:r>
        <w:rPr>
          <w:rFonts w:ascii="Consolas" w:cs="Consolas" w:eastAsia="Consolas" w:hAnsi="Consolas"/>
          <w:b/>
          <w:bCs/>
          <w:shd w:fill="F0F0F0" w:val="clear"/>
        </w:rPr>
        <w:t xml:space="preserve">reward_rules</w:t>
      </w:r>
      <w:r>
        <w:rPr>
          <w:b/>
          <w:bCs/>
        </w:rPr>
        <w:t xml:space="preserve">):</w:t>
      </w:r>
      <w:r>
        <w:t xml:space="preserve"> </w:t>
      </w:r>
      <w:r>
        <w:rPr>
          <w:rFonts w:ascii="Consolas" w:cs="Consolas" w:eastAsia="Consolas" w:hAnsi="Consolas"/>
          <w:shd w:fill="F0F0F0" w:val="clear"/>
        </w:rPr>
        <w:t xml:space="preserve">{card_name: "Axis Atlas", spend_category: "flights", reward_rate: 5, reward_unit: "EDGE Miles per ₹100", cap_type: "monthly", cap_value: 10000, exclusion_flag: false, milestone_flag: true, confidence_score: 0.92}</w:t>
      </w:r>
      <w:r>
        <w:t xml:space="preserve">.</w:t>
      </w:r>
    </w:p>
    <w:p>
      <w:pPr>
        <w:pStyle w:val="ListParagraph"/>
        <w:numPr>
          <w:ilvl w:val="0"/>
          <w:numId w:val="1"/>
        </w:numPr>
        <w:spacing w:after="80" w:line="290"/>
      </w:pPr>
      <w:r>
        <w:rPr>
          <w:b/>
          <w:bCs/>
        </w:rPr>
        <w:t xml:space="preserve">Scaling considerations:</w:t>
      </w:r>
      <w:r>
        <w:t xml:space="preserve"> At MVP scale (4–5 cards, low thousands of chunks) a single Postgres instance is more than sufficient; read replicas and a dedicated vector service (Section 15) become relevant only past tens of thousands of documents/heavy concurrent query load.</w:t>
      </w:r>
    </w:p>
    <w:p>
      <w:pPr>
        <w:pStyle w:val="Heading1"/>
        <w:pageBreakBefore/>
        <w:spacing w:after="180" w:before="360"/>
      </w:pPr>
      <w:bookmarkStart w:name="sec12" w:id="1"/>
      <w:r>
        <w:t xml:space="preserve">13. API Design</w:t>
      </w:r>
      <w:bookmarkEnd w:id="1"/>
    </w:p>
    <w:p>
      <w:pPr>
        <w:spacing w:after="160" w:line="300"/>
      </w:pPr>
      <w:r>
        <w:t xml:space="preserve">Base path: </w:t>
      </w:r>
      <w:r>
        <w:rPr>
          <w:rFonts w:ascii="Consolas" w:cs="Consolas" w:eastAsia="Consolas" w:hAnsi="Consolas"/>
          <w:shd w:fill="F0F0F0" w:val="clear"/>
        </w:rPr>
        <w:t xml:space="preserve">/api/v1</w:t>
      </w:r>
      <w:r>
        <w:t xml:space="preserve">. Auth: Bearer token (JWT) for all endpoints except </w:t>
      </w:r>
      <w:r>
        <w:rPr>
          <w:rFonts w:ascii="Consolas" w:cs="Consolas" w:eastAsia="Consolas" w:hAnsi="Consolas"/>
          <w:shd w:fill="F0F0F0" w:val="clear"/>
        </w:rPr>
        <w:t xml:space="preserve">/health</w:t>
      </w:r>
      <w:r>
        <w:t xml:space="preserve">.</w:t>
      </w:r>
    </w:p>
    <w:tbl>
      <w:tblPr>
        <w:tblW w:type="dxa" w:w="9800"/>
        <w:tblBorders>
          <w:top w:val="single" w:color="BFBFBF" w:sz="2"/>
          <w:left w:val="single" w:color="BFBFBF" w:sz="2"/>
          <w:bottom w:val="single" w:color="BFBFBF" w:sz="2"/>
          <w:right w:val="single" w:color="BFBFBF" w:sz="2"/>
          <w:insideH w:val="single" w:color="D9D9D9" w:sz="2"/>
          <w:insideV w:val="single" w:color="D9D9D9" w:sz="2"/>
        </w:tblBorders>
      </w:tblPr>
      <w:tblGrid>
        <w:gridCol w:w="100"/>
        <w:gridCol w:w="100"/>
        <w:gridCol w:w="100"/>
      </w:tblGrid>
      <w:tr>
        <w:trPr>
          <w:tblHeader/>
        </w:trPr>
        <w:tc>
          <w:tcPr>
            <w:tcW w:type="dxa" w:w="3266"/>
            <w:shd w:fill="1F4E79" w:color="auto" w:val="clear"/>
            <w:tcMar>
              <w:top w:type="dxa" w:w="80"/>
              <w:left w:type="dxa" w:w="100"/>
              <w:bottom w:type="dxa" w:w="80"/>
              <w:right w:type="dxa" w:w="100"/>
            </w:tcMar>
          </w:tcPr>
          <w:p>
            <w:r>
              <w:rPr>
                <w:b/>
                <w:bCs/>
                <w:color w:val="FFFFFF"/>
                <w:sz w:val="20"/>
                <w:szCs w:val="20"/>
              </w:rPr>
              <w:t xml:space="preserve">Method</w:t>
            </w:r>
          </w:p>
        </w:tc>
        <w:tc>
          <w:tcPr>
            <w:tcW w:type="dxa" w:w="3266"/>
            <w:shd w:fill="1F4E79" w:color="auto" w:val="clear"/>
            <w:tcMar>
              <w:top w:type="dxa" w:w="80"/>
              <w:left w:type="dxa" w:w="100"/>
              <w:bottom w:type="dxa" w:w="80"/>
              <w:right w:type="dxa" w:w="100"/>
            </w:tcMar>
          </w:tcPr>
          <w:p>
            <w:r>
              <w:rPr>
                <w:b/>
                <w:bCs/>
                <w:color w:val="FFFFFF"/>
                <w:sz w:val="20"/>
                <w:szCs w:val="20"/>
              </w:rPr>
              <w:t xml:space="preserve">Endpoint</w:t>
            </w:r>
          </w:p>
        </w:tc>
        <w:tc>
          <w:tcPr>
            <w:tcW w:type="dxa" w:w="3266"/>
            <w:shd w:fill="1F4E79" w:color="auto" w:val="clear"/>
            <w:tcMar>
              <w:top w:type="dxa" w:w="80"/>
              <w:left w:type="dxa" w:w="100"/>
              <w:bottom w:type="dxa" w:w="80"/>
              <w:right w:type="dxa" w:w="100"/>
            </w:tcMar>
          </w:tcPr>
          <w:p>
            <w:r>
              <w:rPr>
                <w:b/>
                <w:bCs/>
                <w:color w:val="FFFFFF"/>
                <w:sz w:val="20"/>
                <w:szCs w:val="20"/>
              </w:rPr>
              <w:t xml:space="preserve">Purpose</w:t>
            </w:r>
          </w:p>
        </w:tc>
      </w:tr>
      <w:tr>
        <w:trPr>
          <w:tblHeader w:val="false"/>
        </w:trPr>
        <w:tc>
          <w:tcPr>
            <w:tcW w:type="dxa" w:w="3266"/>
            <w:tcMar>
              <w:top w:type="dxa" w:w="80"/>
              <w:left w:type="dxa" w:w="100"/>
              <w:bottom w:type="dxa" w:w="80"/>
              <w:right w:type="dxa" w:w="100"/>
            </w:tcMar>
          </w:tcPr>
          <w:p>
            <w:r>
              <w:rPr>
                <w:sz w:val="20"/>
                <w:szCs w:val="20"/>
              </w:rPr>
              <w:t xml:space="preserve">POST</w:t>
            </w:r>
          </w:p>
        </w:tc>
        <w:tc>
          <w:tcPr>
            <w:tcW w:type="dxa" w:w="3266"/>
            <w:tcMar>
              <w:top w:type="dxa" w:w="80"/>
              <w:left w:type="dxa" w:w="100"/>
              <w:bottom w:type="dxa" w:w="80"/>
              <w:right w:type="dxa" w:w="100"/>
            </w:tcMar>
          </w:tcPr>
          <w:p>
            <w:r>
              <w:rPr>
                <w:rFonts w:ascii="Consolas" w:cs="Consolas" w:eastAsia="Consolas" w:hAnsi="Consolas"/>
                <w:sz w:val="20"/>
                <w:szCs w:val="20"/>
                <w:shd w:fill="F0F0F0" w:val="clear"/>
              </w:rPr>
              <w:t xml:space="preserve">/recommend</w:t>
            </w:r>
          </w:p>
        </w:tc>
        <w:tc>
          <w:tcPr>
            <w:tcW w:type="dxa" w:w="3266"/>
            <w:tcMar>
              <w:top w:type="dxa" w:w="80"/>
              <w:left w:type="dxa" w:w="100"/>
              <w:bottom w:type="dxa" w:w="80"/>
              <w:right w:type="dxa" w:w="100"/>
            </w:tcMar>
          </w:tcPr>
          <w:p>
            <w:r>
              <w:rPr>
                <w:sz w:val="20"/>
                <w:szCs w:val="20"/>
              </w:rPr>
              <w:t xml:space="preserve">Single-transaction recommendation</w:t>
            </w:r>
          </w:p>
        </w:tc>
      </w:tr>
      <w:tr>
        <w:trPr>
          <w:tblHeader w:val="false"/>
        </w:trPr>
        <w:tc>
          <w:tcPr>
            <w:tcW w:type="dxa" w:w="3266"/>
            <w:tcMar>
              <w:top w:type="dxa" w:w="80"/>
              <w:left w:type="dxa" w:w="100"/>
              <w:bottom w:type="dxa" w:w="80"/>
              <w:right w:type="dxa" w:w="100"/>
            </w:tcMar>
          </w:tcPr>
          <w:p>
            <w:r>
              <w:rPr>
                <w:sz w:val="20"/>
                <w:szCs w:val="20"/>
              </w:rPr>
              <w:t xml:space="preserve">POST</w:t>
            </w:r>
          </w:p>
        </w:tc>
        <w:tc>
          <w:tcPr>
            <w:tcW w:type="dxa" w:w="3266"/>
            <w:tcMar>
              <w:top w:type="dxa" w:w="80"/>
              <w:left w:type="dxa" w:w="100"/>
              <w:bottom w:type="dxa" w:w="80"/>
              <w:right w:type="dxa" w:w="100"/>
            </w:tcMar>
          </w:tcPr>
          <w:p>
            <w:r>
              <w:rPr>
                <w:rFonts w:ascii="Consolas" w:cs="Consolas" w:eastAsia="Consolas" w:hAnsi="Consolas"/>
                <w:sz w:val="20"/>
                <w:szCs w:val="20"/>
                <w:shd w:fill="F0F0F0" w:val="clear"/>
              </w:rPr>
              <w:t xml:space="preserve">/optimize/monthly</w:t>
            </w:r>
          </w:p>
        </w:tc>
        <w:tc>
          <w:tcPr>
            <w:tcW w:type="dxa" w:w="3266"/>
            <w:tcMar>
              <w:top w:type="dxa" w:w="80"/>
              <w:left w:type="dxa" w:w="100"/>
              <w:bottom w:type="dxa" w:w="80"/>
              <w:right w:type="dxa" w:w="100"/>
            </w:tcMar>
          </w:tcPr>
          <w:p>
            <w:r>
              <w:rPr>
                <w:sz w:val="20"/>
                <w:szCs w:val="20"/>
              </w:rPr>
              <w:t xml:space="preserve">Monthly spend allocation across cards</w:t>
            </w:r>
          </w:p>
        </w:tc>
      </w:tr>
      <w:tr>
        <w:trPr>
          <w:tblHeader w:val="false"/>
        </w:trPr>
        <w:tc>
          <w:tcPr>
            <w:tcW w:type="dxa" w:w="3266"/>
            <w:tcMar>
              <w:top w:type="dxa" w:w="80"/>
              <w:left w:type="dxa" w:w="100"/>
              <w:bottom w:type="dxa" w:w="80"/>
              <w:right w:type="dxa" w:w="100"/>
            </w:tcMar>
          </w:tcPr>
          <w:p>
            <w:r>
              <w:rPr>
                <w:sz w:val="20"/>
                <w:szCs w:val="20"/>
              </w:rPr>
              <w:t xml:space="preserve">POST</w:t>
            </w:r>
          </w:p>
        </w:tc>
        <w:tc>
          <w:tcPr>
            <w:tcW w:type="dxa" w:w="3266"/>
            <w:tcMar>
              <w:top w:type="dxa" w:w="80"/>
              <w:left w:type="dxa" w:w="100"/>
              <w:bottom w:type="dxa" w:w="80"/>
              <w:right w:type="dxa" w:w="100"/>
            </w:tcMar>
          </w:tcPr>
          <w:p>
            <w:r>
              <w:rPr>
                <w:rFonts w:ascii="Consolas" w:cs="Consolas" w:eastAsia="Consolas" w:hAnsi="Consolas"/>
                <w:sz w:val="20"/>
                <w:szCs w:val="20"/>
                <w:shd w:fill="F0F0F0" w:val="clear"/>
              </w:rPr>
              <w:t xml:space="preserve">/transfer/evaluate</w:t>
            </w:r>
          </w:p>
        </w:tc>
        <w:tc>
          <w:tcPr>
            <w:tcW w:type="dxa" w:w="3266"/>
            <w:tcMar>
              <w:top w:type="dxa" w:w="80"/>
              <w:left w:type="dxa" w:w="100"/>
              <w:bottom w:type="dxa" w:w="80"/>
              <w:right w:type="dxa" w:w="100"/>
            </w:tcMar>
          </w:tcPr>
          <w:p>
            <w:r>
              <w:rPr>
                <w:sz w:val="20"/>
                <w:szCs w:val="20"/>
              </w:rPr>
              <w:t xml:space="preserve">Evaluate transfer options (returns proposal, does not execute)</w:t>
            </w:r>
          </w:p>
        </w:tc>
      </w:tr>
      <w:tr>
        <w:trPr>
          <w:tblHeader w:val="false"/>
        </w:trPr>
        <w:tc>
          <w:tcPr>
            <w:tcW w:type="dxa" w:w="3266"/>
            <w:tcMar>
              <w:top w:type="dxa" w:w="80"/>
              <w:left w:type="dxa" w:w="100"/>
              <w:bottom w:type="dxa" w:w="80"/>
              <w:right w:type="dxa" w:w="100"/>
            </w:tcMar>
          </w:tcPr>
          <w:p>
            <w:r>
              <w:rPr>
                <w:sz w:val="20"/>
                <w:szCs w:val="20"/>
              </w:rPr>
              <w:t xml:space="preserve">POST</w:t>
            </w:r>
          </w:p>
        </w:tc>
        <w:tc>
          <w:tcPr>
            <w:tcW w:type="dxa" w:w="3266"/>
            <w:tcMar>
              <w:top w:type="dxa" w:w="80"/>
              <w:left w:type="dxa" w:w="100"/>
              <w:bottom w:type="dxa" w:w="80"/>
              <w:right w:type="dxa" w:w="100"/>
            </w:tcMar>
          </w:tcPr>
          <w:p>
            <w:r>
              <w:rPr>
                <w:rFonts w:ascii="Consolas" w:cs="Consolas" w:eastAsia="Consolas" w:hAnsi="Consolas"/>
                <w:sz w:val="20"/>
                <w:szCs w:val="20"/>
                <w:shd w:fill="F0F0F0" w:val="clear"/>
              </w:rPr>
              <w:t xml:space="preserve">/transfer/confirm</w:t>
            </w:r>
          </w:p>
        </w:tc>
        <w:tc>
          <w:tcPr>
            <w:tcW w:type="dxa" w:w="3266"/>
            <w:tcMar>
              <w:top w:type="dxa" w:w="80"/>
              <w:left w:type="dxa" w:w="100"/>
              <w:bottom w:type="dxa" w:w="80"/>
              <w:right w:type="dxa" w:w="100"/>
            </w:tcMar>
          </w:tcPr>
          <w:p>
            <w:r>
              <w:rPr>
                <w:sz w:val="20"/>
                <w:szCs w:val="20"/>
              </w:rPr>
              <w:t xml:space="preserve">User confirms a proposed transfer calculation (human-approval resume)</w:t>
            </w:r>
          </w:p>
        </w:tc>
      </w:tr>
      <w:tr>
        <w:trPr>
          <w:tblHeader w:val="false"/>
        </w:trPr>
        <w:tc>
          <w:tcPr>
            <w:tcW w:type="dxa" w:w="3266"/>
            <w:tcMar>
              <w:top w:type="dxa" w:w="80"/>
              <w:left w:type="dxa" w:w="100"/>
              <w:bottom w:type="dxa" w:w="80"/>
              <w:right w:type="dxa" w:w="100"/>
            </w:tcMar>
          </w:tcPr>
          <w:p>
            <w:r>
              <w:rPr>
                <w:sz w:val="20"/>
                <w:szCs w:val="20"/>
              </w:rPr>
              <w:t xml:space="preserve">GET</w:t>
            </w:r>
          </w:p>
        </w:tc>
        <w:tc>
          <w:tcPr>
            <w:tcW w:type="dxa" w:w="3266"/>
            <w:tcMar>
              <w:top w:type="dxa" w:w="80"/>
              <w:left w:type="dxa" w:w="100"/>
              <w:bottom w:type="dxa" w:w="80"/>
              <w:right w:type="dxa" w:w="100"/>
            </w:tcMar>
          </w:tcPr>
          <w:p>
            <w:r>
              <w:rPr>
                <w:rFonts w:ascii="Consolas" w:cs="Consolas" w:eastAsia="Consolas" w:hAnsi="Consolas"/>
                <w:sz w:val="20"/>
                <w:szCs w:val="20"/>
                <w:shd w:fill="F0F0F0" w:val="clear"/>
              </w:rPr>
              <w:t xml:space="preserve">/cards</w:t>
            </w:r>
          </w:p>
        </w:tc>
        <w:tc>
          <w:tcPr>
            <w:tcW w:type="dxa" w:w="3266"/>
            <w:tcMar>
              <w:top w:type="dxa" w:w="80"/>
              <w:left w:type="dxa" w:w="100"/>
              <w:bottom w:type="dxa" w:w="80"/>
              <w:right w:type="dxa" w:w="100"/>
            </w:tcMar>
          </w:tcPr>
          <w:p>
            <w:r>
              <w:rPr>
                <w:sz w:val="20"/>
                <w:szCs w:val="20"/>
              </w:rPr>
              <w:t xml:space="preserve">List cards known to the system</w:t>
            </w:r>
          </w:p>
        </w:tc>
      </w:tr>
      <w:tr>
        <w:trPr>
          <w:tblHeader w:val="false"/>
        </w:trPr>
        <w:tc>
          <w:tcPr>
            <w:tcW w:type="dxa" w:w="3266"/>
            <w:tcMar>
              <w:top w:type="dxa" w:w="80"/>
              <w:left w:type="dxa" w:w="100"/>
              <w:bottom w:type="dxa" w:w="80"/>
              <w:right w:type="dxa" w:w="100"/>
            </w:tcMar>
          </w:tcPr>
          <w:p>
            <w:r>
              <w:rPr>
                <w:sz w:val="20"/>
                <w:szCs w:val="20"/>
              </w:rPr>
              <w:t xml:space="preserve">GET</w:t>
            </w:r>
          </w:p>
        </w:tc>
        <w:tc>
          <w:tcPr>
            <w:tcW w:type="dxa" w:w="3266"/>
            <w:tcMar>
              <w:top w:type="dxa" w:w="80"/>
              <w:left w:type="dxa" w:w="100"/>
              <w:bottom w:type="dxa" w:w="80"/>
              <w:right w:type="dxa" w:w="100"/>
            </w:tcMar>
          </w:tcPr>
          <w:p>
            <w:r>
              <w:rPr>
                <w:rFonts w:ascii="Consolas" w:cs="Consolas" w:eastAsia="Consolas" w:hAnsi="Consolas"/>
                <w:sz w:val="20"/>
                <w:szCs w:val="20"/>
                <w:shd w:fill="F0F0F0" w:val="clear"/>
              </w:rPr>
              <w:t xml:space="preserve">/user/profile</w:t>
            </w:r>
          </w:p>
        </w:tc>
        <w:tc>
          <w:tcPr>
            <w:tcW w:type="dxa" w:w="3266"/>
            <w:tcMar>
              <w:top w:type="dxa" w:w="80"/>
              <w:left w:type="dxa" w:w="100"/>
              <w:bottom w:type="dxa" w:w="80"/>
              <w:right w:type="dxa" w:w="100"/>
            </w:tcMar>
          </w:tcPr>
          <w:p>
            <w:r>
              <w:rPr>
                <w:sz w:val="20"/>
                <w:szCs w:val="20"/>
              </w:rPr>
              <w:t xml:space="preserve">Fetch current user's stored preferences</w:t>
            </w:r>
          </w:p>
        </w:tc>
      </w:tr>
      <w:tr>
        <w:trPr>
          <w:tblHeader w:val="false"/>
        </w:trPr>
        <w:tc>
          <w:tcPr>
            <w:tcW w:type="dxa" w:w="3266"/>
            <w:tcMar>
              <w:top w:type="dxa" w:w="80"/>
              <w:left w:type="dxa" w:w="100"/>
              <w:bottom w:type="dxa" w:w="80"/>
              <w:right w:type="dxa" w:w="100"/>
            </w:tcMar>
          </w:tcPr>
          <w:p>
            <w:r>
              <w:rPr>
                <w:sz w:val="20"/>
                <w:szCs w:val="20"/>
              </w:rPr>
              <w:t xml:space="preserve">PUT</w:t>
            </w:r>
          </w:p>
        </w:tc>
        <w:tc>
          <w:tcPr>
            <w:tcW w:type="dxa" w:w="3266"/>
            <w:tcMar>
              <w:top w:type="dxa" w:w="80"/>
              <w:left w:type="dxa" w:w="100"/>
              <w:bottom w:type="dxa" w:w="80"/>
              <w:right w:type="dxa" w:w="100"/>
            </w:tcMar>
          </w:tcPr>
          <w:p>
            <w:r>
              <w:rPr>
                <w:rFonts w:ascii="Consolas" w:cs="Consolas" w:eastAsia="Consolas" w:hAnsi="Consolas"/>
                <w:sz w:val="20"/>
                <w:szCs w:val="20"/>
                <w:shd w:fill="F0F0F0" w:val="clear"/>
              </w:rPr>
              <w:t xml:space="preserve">/user/profile</w:t>
            </w:r>
          </w:p>
        </w:tc>
        <w:tc>
          <w:tcPr>
            <w:tcW w:type="dxa" w:w="3266"/>
            <w:tcMar>
              <w:top w:type="dxa" w:w="80"/>
              <w:left w:type="dxa" w:w="100"/>
              <w:bottom w:type="dxa" w:w="80"/>
              <w:right w:type="dxa" w:w="100"/>
            </w:tcMar>
          </w:tcPr>
          <w:p>
            <w:r>
              <w:rPr>
                <w:sz w:val="20"/>
                <w:szCs w:val="20"/>
              </w:rPr>
              <w:t xml:space="preserve">Update preferences</w:t>
            </w:r>
          </w:p>
        </w:tc>
      </w:tr>
      <w:tr>
        <w:trPr>
          <w:tblHeader w:val="false"/>
        </w:trPr>
        <w:tc>
          <w:tcPr>
            <w:tcW w:type="dxa" w:w="3266"/>
            <w:tcMar>
              <w:top w:type="dxa" w:w="80"/>
              <w:left w:type="dxa" w:w="100"/>
              <w:bottom w:type="dxa" w:w="80"/>
              <w:right w:type="dxa" w:w="100"/>
            </w:tcMar>
          </w:tcPr>
          <w:p>
            <w:r>
              <w:rPr>
                <w:sz w:val="20"/>
                <w:szCs w:val="20"/>
              </w:rPr>
              <w:t xml:space="preserve">POST</w:t>
            </w:r>
          </w:p>
        </w:tc>
        <w:tc>
          <w:tcPr>
            <w:tcW w:type="dxa" w:w="3266"/>
            <w:tcMar>
              <w:top w:type="dxa" w:w="80"/>
              <w:left w:type="dxa" w:w="100"/>
              <w:bottom w:type="dxa" w:w="80"/>
              <w:right w:type="dxa" w:w="100"/>
            </w:tcMar>
          </w:tcPr>
          <w:p>
            <w:r>
              <w:rPr>
                <w:rFonts w:ascii="Consolas" w:cs="Consolas" w:eastAsia="Consolas" w:hAnsi="Consolas"/>
                <w:sz w:val="20"/>
                <w:szCs w:val="20"/>
                <w:shd w:fill="F0F0F0" w:val="clear"/>
              </w:rPr>
              <w:t xml:space="preserve">/feedback</w:t>
            </w:r>
          </w:p>
        </w:tc>
        <w:tc>
          <w:tcPr>
            <w:tcW w:type="dxa" w:w="3266"/>
            <w:tcMar>
              <w:top w:type="dxa" w:w="80"/>
              <w:left w:type="dxa" w:w="100"/>
              <w:bottom w:type="dxa" w:w="80"/>
              <w:right w:type="dxa" w:w="100"/>
            </w:tcMar>
          </w:tcPr>
          <w:p>
            <w:r>
              <w:rPr>
                <w:sz w:val="20"/>
                <w:szCs w:val="20"/>
              </w:rPr>
              <w:t xml:space="preserve">Submit feedback on a recommendation</w:t>
            </w:r>
          </w:p>
        </w:tc>
      </w:tr>
      <w:tr>
        <w:trPr>
          <w:tblHeader w:val="false"/>
        </w:trPr>
        <w:tc>
          <w:tcPr>
            <w:tcW w:type="dxa" w:w="3266"/>
            <w:tcMar>
              <w:top w:type="dxa" w:w="80"/>
              <w:left w:type="dxa" w:w="100"/>
              <w:bottom w:type="dxa" w:w="80"/>
              <w:right w:type="dxa" w:w="100"/>
            </w:tcMar>
          </w:tcPr>
          <w:p>
            <w:r>
              <w:rPr>
                <w:sz w:val="20"/>
                <w:szCs w:val="20"/>
              </w:rPr>
              <w:t xml:space="preserve">GET</w:t>
            </w:r>
          </w:p>
        </w:tc>
        <w:tc>
          <w:tcPr>
            <w:tcW w:type="dxa" w:w="3266"/>
            <w:tcMar>
              <w:top w:type="dxa" w:w="80"/>
              <w:left w:type="dxa" w:w="100"/>
              <w:bottom w:type="dxa" w:w="80"/>
              <w:right w:type="dxa" w:w="100"/>
            </w:tcMar>
          </w:tcPr>
          <w:p>
            <w:r>
              <w:rPr>
                <w:rFonts w:ascii="Consolas" w:cs="Consolas" w:eastAsia="Consolas" w:hAnsi="Consolas"/>
                <w:sz w:val="20"/>
                <w:szCs w:val="20"/>
                <w:shd w:fill="F0F0F0" w:val="clear"/>
              </w:rPr>
              <w:t xml:space="preserve">/history</w:t>
            </w:r>
          </w:p>
        </w:tc>
        <w:tc>
          <w:tcPr>
            <w:tcW w:type="dxa" w:w="3266"/>
            <w:tcMar>
              <w:top w:type="dxa" w:w="80"/>
              <w:left w:type="dxa" w:w="100"/>
              <w:bottom w:type="dxa" w:w="80"/>
              <w:right w:type="dxa" w:w="100"/>
            </w:tcMar>
          </w:tcPr>
          <w:p>
            <w:r>
              <w:rPr>
                <w:sz w:val="20"/>
                <w:szCs w:val="20"/>
              </w:rPr>
              <w:t xml:space="preserve">Paginated recommendation history</w:t>
            </w:r>
          </w:p>
        </w:tc>
      </w:tr>
      <w:tr>
        <w:trPr>
          <w:tblHeader w:val="false"/>
        </w:trPr>
        <w:tc>
          <w:tcPr>
            <w:tcW w:type="dxa" w:w="3266"/>
            <w:tcMar>
              <w:top w:type="dxa" w:w="80"/>
              <w:left w:type="dxa" w:w="100"/>
              <w:bottom w:type="dxa" w:w="80"/>
              <w:right w:type="dxa" w:w="100"/>
            </w:tcMar>
          </w:tcPr>
          <w:p>
            <w:r>
              <w:rPr>
                <w:sz w:val="20"/>
                <w:szCs w:val="20"/>
              </w:rPr>
              <w:t xml:space="preserve">POST</w:t>
            </w:r>
          </w:p>
        </w:tc>
        <w:tc>
          <w:tcPr>
            <w:tcW w:type="dxa" w:w="3266"/>
            <w:tcMar>
              <w:top w:type="dxa" w:w="80"/>
              <w:left w:type="dxa" w:w="100"/>
              <w:bottom w:type="dxa" w:w="80"/>
              <w:right w:type="dxa" w:w="100"/>
            </w:tcMar>
          </w:tcPr>
          <w:p>
            <w:r>
              <w:rPr>
                <w:rFonts w:ascii="Consolas" w:cs="Consolas" w:eastAsia="Consolas" w:hAnsi="Consolas"/>
                <w:sz w:val="20"/>
                <w:szCs w:val="20"/>
                <w:shd w:fill="F0F0F0" w:val="clear"/>
              </w:rPr>
              <w:t xml:space="preserve">/admin/documents</w:t>
            </w:r>
          </w:p>
        </w:tc>
        <w:tc>
          <w:tcPr>
            <w:tcW w:type="dxa" w:w="3266"/>
            <w:tcMar>
              <w:top w:type="dxa" w:w="80"/>
              <w:left w:type="dxa" w:w="100"/>
              <w:bottom w:type="dxa" w:w="80"/>
              <w:right w:type="dxa" w:w="100"/>
            </w:tcMar>
          </w:tcPr>
          <w:p>
            <w:r>
              <w:rPr>
                <w:sz w:val="20"/>
                <w:szCs w:val="20"/>
              </w:rPr>
              <w:t xml:space="preserve">(Admin) upload a new card document</w:t>
            </w:r>
          </w:p>
        </w:tc>
      </w:tr>
      <w:tr>
        <w:trPr>
          <w:tblHeader w:val="false"/>
        </w:trPr>
        <w:tc>
          <w:tcPr>
            <w:tcW w:type="dxa" w:w="3266"/>
            <w:tcMar>
              <w:top w:type="dxa" w:w="80"/>
              <w:left w:type="dxa" w:w="100"/>
              <w:bottom w:type="dxa" w:w="80"/>
              <w:right w:type="dxa" w:w="100"/>
            </w:tcMar>
          </w:tcPr>
          <w:p>
            <w:r>
              <w:rPr>
                <w:sz w:val="20"/>
                <w:szCs w:val="20"/>
              </w:rPr>
              <w:t xml:space="preserve">GET</w:t>
            </w:r>
          </w:p>
        </w:tc>
        <w:tc>
          <w:tcPr>
            <w:tcW w:type="dxa" w:w="3266"/>
            <w:tcMar>
              <w:top w:type="dxa" w:w="80"/>
              <w:left w:type="dxa" w:w="100"/>
              <w:bottom w:type="dxa" w:w="80"/>
              <w:right w:type="dxa" w:w="100"/>
            </w:tcMar>
          </w:tcPr>
          <w:p>
            <w:r>
              <w:rPr>
                <w:rFonts w:ascii="Consolas" w:cs="Consolas" w:eastAsia="Consolas" w:hAnsi="Consolas"/>
                <w:sz w:val="20"/>
                <w:szCs w:val="20"/>
                <w:shd w:fill="F0F0F0" w:val="clear"/>
              </w:rPr>
              <w:t xml:space="preserve">/health</w:t>
            </w:r>
          </w:p>
        </w:tc>
        <w:tc>
          <w:tcPr>
            <w:tcW w:type="dxa" w:w="3266"/>
            <w:tcMar>
              <w:top w:type="dxa" w:w="80"/>
              <w:left w:type="dxa" w:w="100"/>
              <w:bottom w:type="dxa" w:w="80"/>
              <w:right w:type="dxa" w:w="100"/>
            </w:tcMar>
          </w:tcPr>
          <w:p>
            <w:r>
              <w:rPr>
                <w:sz w:val="20"/>
                <w:szCs w:val="20"/>
              </w:rPr>
              <w:t xml:space="preserve">Liveness/readiness probe</w:t>
            </w:r>
          </w:p>
        </w:tc>
      </w:tr>
    </w:tbl>
    <w:p>
      <w:pPr>
        <w:spacing w:after="200"/>
      </w:pPr>
    </w:p>
    <w:p>
      <w:pPr>
        <w:spacing w:after="160" w:line="300"/>
      </w:pPr>
      <w:r>
        <w:rPr>
          <w:b/>
          <w:bCs/>
        </w:rPr>
        <w:t xml:space="preserve">Example — POST </w:t>
      </w:r>
      <w:r>
        <w:rPr>
          <w:rFonts w:ascii="Consolas" w:cs="Consolas" w:eastAsia="Consolas" w:hAnsi="Consolas"/>
          <w:b/>
          <w:bCs/>
          <w:shd w:fill="F0F0F0" w:val="clear"/>
        </w:rPr>
        <w:t xml:space="preserve">/recommend</w:t>
      </w:r>
    </w:p>
    <w:p>
      <w:pPr>
        <w:spacing w:after="160" w:line="300"/>
      </w:pPr>
      <w:r>
        <w:t xml:space="preserve">Request:</w:t>
      </w:r>
    </w:p>
    <w:tbl>
      <w:tblPr>
        <w:tblW w:type="dxa" w:w="9800"/>
        <w:tblBorders>
          <w:top w:val="single" w:color="D9D9D9" w:sz="2"/>
          <w:left w:val="single" w:color="D9D9D9" w:sz="2"/>
          <w:bottom w:val="single" w:color="D9D9D9" w:sz="2"/>
          <w:right w:val="single" w:color="D9D9D9" w:sz="2"/>
          <w:insideH w:val="none"/>
          <w:insideV w:val="none"/>
        </w:tblBorders>
      </w:tblPr>
      <w:tblGrid>
        <w:gridCol w:w="100"/>
      </w:tblGrid>
      <w:tr>
        <w:tc>
          <w:tcPr>
            <w:tcW w:type="dxa" w:w="9800"/>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"query": "I am spending ₹50,000 on flights.",</w:t>
            </w:r>
          </w:p>
          <w:p>
            <w:pPr>
              <w:spacing w:after="0"/>
            </w:pPr>
            <w:r>
              <w:rPr>
                <w:rFonts w:ascii="Consolas" w:cs="Consolas" w:eastAsia="Consolas" w:hAnsi="Consolas"/>
                <w:sz w:val="18"/>
                <w:szCs w:val="18"/>
              </w:rPr>
              <w:t xml:space="preserve">  "cards_owned": ["Axis Atlas", "HDFC Diners Club Black", "SBI Cashback"],</w:t>
            </w:r>
          </w:p>
          <w:p>
            <w:pPr>
              <w:spacing w:after="0"/>
            </w:pPr>
            <w:r>
              <w:rPr>
                <w:rFonts w:ascii="Consolas" w:cs="Consolas" w:eastAsia="Consolas" w:hAnsi="Consolas"/>
                <w:sz w:val="18"/>
                <w:szCs w:val="18"/>
              </w:rPr>
              <w:t xml:space="preserve">  "point_valuation": 1.0</w:t>
            </w:r>
          </w:p>
          <w:p>
            <w:pPr>
              <w:spacing w:after="0"/>
            </w:pPr>
            <w:r>
              <w:rPr>
                <w:rFonts w:ascii="Consolas" w:cs="Consolas" w:eastAsia="Consolas" w:hAnsi="Consolas"/>
                <w:sz w:val="18"/>
                <w:szCs w:val="18"/>
              </w:rPr>
              <w:t xml:space="preserve">}</w:t>
            </w:r>
          </w:p>
        </w:tc>
      </w:tr>
    </w:tbl>
    <w:p>
      <w:pPr>
        <w:spacing w:after="160"/>
      </w:pPr>
    </w:p>
    <w:p>
      <w:pPr>
        <w:spacing w:after="160" w:line="300"/>
      </w:pPr>
      <w:r>
        <w:t xml:space="preserve">Response:</w:t>
      </w:r>
    </w:p>
    <w:tbl>
      <w:tblPr>
        <w:tblW w:type="dxa" w:w="9800"/>
        <w:tblBorders>
          <w:top w:val="single" w:color="D9D9D9" w:sz="2"/>
          <w:left w:val="single" w:color="D9D9D9" w:sz="2"/>
          <w:bottom w:val="single" w:color="D9D9D9" w:sz="2"/>
          <w:right w:val="single" w:color="D9D9D9" w:sz="2"/>
          <w:insideH w:val="none"/>
          <w:insideV w:val="none"/>
        </w:tblBorders>
      </w:tblPr>
      <w:tblGrid>
        <w:gridCol w:w="100"/>
      </w:tblGrid>
      <w:tr>
        <w:tc>
          <w:tcPr>
            <w:tcW w:type="dxa" w:w="9800"/>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"recommended_card": "Axis Atlas",</w:t>
            </w:r>
          </w:p>
          <w:p>
            <w:pPr>
              <w:spacing w:after="0"/>
            </w:pPr>
            <w:r>
              <w:rPr>
                <w:rFonts w:ascii="Consolas" w:cs="Consolas" w:eastAsia="Consolas" w:hAnsi="Consolas"/>
                <w:sz w:val="18"/>
                <w:szCs w:val="18"/>
              </w:rPr>
              <w:t xml:space="preserve">  "estimated_reward_value": 2500,</w:t>
            </w:r>
          </w:p>
          <w:p>
            <w:pPr>
              <w:spacing w:after="0"/>
            </w:pPr>
            <w:r>
              <w:rPr>
                <w:rFonts w:ascii="Consolas" w:cs="Consolas" w:eastAsia="Consolas" w:hAnsi="Consolas"/>
                <w:sz w:val="18"/>
                <w:szCs w:val="18"/>
              </w:rPr>
              <w:t xml:space="preserve">  "effective_return_pct": 5.0,</w:t>
            </w:r>
          </w:p>
          <w:p>
            <w:pPr>
              <w:spacing w:after="0"/>
            </w:pPr>
            <w:r>
              <w:rPr>
                <w:rFonts w:ascii="Consolas" w:cs="Consolas" w:eastAsia="Consolas" w:hAnsi="Consolas"/>
                <w:sz w:val="18"/>
                <w:szCs w:val="18"/>
              </w:rPr>
              <w:t xml:space="preserve">  "calculation": {</w:t>
            </w:r>
          </w:p>
          <w:p>
            <w:pPr>
              <w:spacing w:after="0"/>
            </w:pPr>
            <w:r>
              <w:rPr>
                <w:rFonts w:ascii="Consolas" w:cs="Consolas" w:eastAsia="Consolas" w:hAnsi="Consolas"/>
                <w:sz w:val="18"/>
                <w:szCs w:val="18"/>
              </w:rPr>
              <w:t xml:space="preserve">    "spend_amount": 50000,</w:t>
            </w:r>
          </w:p>
          <w:p>
            <w:pPr>
              <w:spacing w:after="0"/>
            </w:pPr>
            <w:r>
              <w:rPr>
                <w:rFonts w:ascii="Consolas" w:cs="Consolas" w:eastAsia="Consolas" w:hAnsi="Consolas"/>
                <w:sz w:val="18"/>
                <w:szCs w:val="18"/>
              </w:rPr>
              <w:t xml:space="preserve">    "reward_rate": "5 points per ₹100",</w:t>
            </w:r>
          </w:p>
          <w:p>
            <w:pPr>
              <w:spacing w:after="0"/>
            </w:pPr>
            <w:r>
              <w:rPr>
                <w:rFonts w:ascii="Consolas" w:cs="Consolas" w:eastAsia="Consolas" w:hAnsi="Consolas"/>
                <w:sz w:val="18"/>
                <w:szCs w:val="18"/>
              </w:rPr>
              <w:t xml:space="preserve">    "estimated_points": 2500,</w:t>
            </w:r>
          </w:p>
          <w:p>
            <w:pPr>
              <w:spacing w:after="0"/>
            </w:pPr>
            <w:r>
              <w:rPr>
                <w:rFonts w:ascii="Consolas" w:cs="Consolas" w:eastAsia="Consolas" w:hAnsi="Consolas"/>
                <w:sz w:val="18"/>
                <w:szCs w:val="18"/>
              </w:rPr>
              <w:t xml:space="preserve">    "point_valuation": 1.0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"rules_used": [</w:t>
            </w:r>
          </w:p>
          <w:p>
            <w:pPr>
              <w:spacing w:after="0"/>
            </w:pPr>
            <w:r>
              <w:rPr>
                <w:rFonts w:ascii="Consolas" w:cs="Consolas" w:eastAsia="Consolas" w:hAnsi="Consolas"/>
                <w:sz w:val="18"/>
                <w:szCs w:val="18"/>
              </w:rPr>
              <w:t xml:space="preserve">    {"card_name": "Axis Atlas", "chunk_id": "c-0192", "excerpt": "...flight bookings earn accelerated EDGE Miles..."}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"caps_or_exclusions": ["Monthly cap of 10,000 points on accelerated category"],</w:t>
            </w:r>
          </w:p>
          <w:p>
            <w:pPr>
              <w:spacing w:after="0"/>
            </w:pPr>
            <w:r>
              <w:rPr>
                <w:rFonts w:ascii="Consolas" w:cs="Consolas" w:eastAsia="Consolas" w:hAnsi="Consolas"/>
                <w:sz w:val="18"/>
                <w:szCs w:val="18"/>
              </w:rPr>
              <w:t xml:space="preserve">  "assumptions": ["Point value assumed at ₹1", "Merchant assumed eligible", "Monthly cap assumed unused"],</w:t>
            </w:r>
          </w:p>
          <w:p>
            <w:pPr>
              <w:spacing w:after="0"/>
            </w:pPr>
            <w:r>
              <w:rPr>
                <w:rFonts w:ascii="Consolas" w:cs="Consolas" w:eastAsia="Consolas" w:hAnsi="Consolas"/>
                <w:sz w:val="18"/>
                <w:szCs w:val="18"/>
              </w:rPr>
              <w:t xml:space="preserve">  "alternatives": [</w:t>
            </w:r>
          </w:p>
          <w:p>
            <w:pPr>
              <w:spacing w:after="0"/>
            </w:pPr>
            <w:r>
              <w:rPr>
                <w:rFonts w:ascii="Consolas" w:cs="Consolas" w:eastAsia="Consolas" w:hAnsi="Consolas"/>
                <w:sz w:val="18"/>
                <w:szCs w:val="18"/>
              </w:rPr>
              <w:t xml:space="preserve">    {"card_name": "HDFC Diners Club Black", "estimated_value": 1500},</w:t>
            </w:r>
          </w:p>
          <w:p>
            <w:pPr>
              <w:spacing w:after="0"/>
            </w:pPr>
            <w:r>
              <w:rPr>
                <w:rFonts w:ascii="Consolas" w:cs="Consolas" w:eastAsia="Consolas" w:hAnsi="Consolas"/>
                <w:sz w:val="18"/>
                <w:szCs w:val="18"/>
              </w:rPr>
              <w:t xml:space="preserve">    {"card_name": "SBI Cashback", "estimated_value": 1000}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"confidence": "Medium-High"</w:t>
            </w:r>
          </w:p>
          <w:p>
            <w:pPr>
              <w:spacing w:after="0"/>
            </w:pPr>
            <w:r>
              <w:rPr>
                <w:rFonts w:ascii="Consolas" w:cs="Consolas" w:eastAsia="Consolas" w:hAnsi="Consolas"/>
                <w:sz w:val="18"/>
                <w:szCs w:val="18"/>
              </w:rPr>
              <w:t xml:space="preserve">}</w:t>
            </w:r>
          </w:p>
        </w:tc>
      </w:tr>
    </w:tbl>
    <w:p>
      <w:pPr>
        <w:spacing w:after="160"/>
      </w:pPr>
    </w:p>
    <w:p>
      <w:pPr>
        <w:spacing w:after="160" w:line="300"/>
      </w:pPr>
      <w:r>
        <w:rPr>
          <w:b/>
          <w:bCs/>
        </w:rPr>
        <w:t xml:space="preserve">Error handling:</w:t>
      </w:r>
      <w:r>
        <w:t xml:space="preserve"> Standard HTTP status codes; </w:t>
      </w:r>
      <w:r>
        <w:rPr>
          <w:rFonts w:ascii="Consolas" w:cs="Consolas" w:eastAsia="Consolas" w:hAnsi="Consolas"/>
          <w:shd w:fill="F0F0F0" w:val="clear"/>
        </w:rPr>
        <w:t xml:space="preserve">422</w:t>
      </w:r>
      <w:r>
        <w:t xml:space="preserve"> for validation errors (negative spend, unknown card); </w:t>
      </w:r>
      <w:r>
        <w:rPr>
          <w:rFonts w:ascii="Consolas" w:cs="Consolas" w:eastAsia="Consolas" w:hAnsi="Consolas"/>
          <w:shd w:fill="F0F0F0" w:val="clear"/>
        </w:rPr>
        <w:t xml:space="preserve">409</w:t>
      </w:r>
      <w:r>
        <w:t xml:space="preserve"> for a pending human-approval state that must be resolved before a new transfer request; </w:t>
      </w:r>
      <w:r>
        <w:rPr>
          <w:rFonts w:ascii="Consolas" w:cs="Consolas" w:eastAsia="Consolas" w:hAnsi="Consolas"/>
          <w:shd w:fill="F0F0F0" w:val="clear"/>
        </w:rPr>
        <w:t xml:space="preserve">503</w:t>
      </w:r>
      <w:r>
        <w:t xml:space="preserve"> if retrieval is degraded (vector store unavailable) — must return a clear "temporarily unable to ground this answer" message rather than falling back to ungrounded generation.</w:t>
      </w:r>
    </w:p>
    <w:p>
      <w:pPr>
        <w:spacing w:after="160" w:line="300"/>
      </w:pPr>
      <w:r>
        <w:rPr>
          <w:b/>
          <w:bCs/>
        </w:rPr>
        <w:t xml:space="preserve">Rate limits:</w:t>
      </w:r>
      <w:r>
        <w:t xml:space="preserve"> Per-user token-bucket (e.g., 30 req/min) to bound LLM cost exposure per user.</w:t>
      </w:r>
    </w:p>
    <w:p>
      <w:pPr>
        <w:spacing w:after="160" w:line="300"/>
      </w:pPr>
      <w:r>
        <w:rPr>
          <w:b/>
          <w:bCs/>
        </w:rPr>
        <w:t xml:space="preserve">Versioning:</w:t>
      </w:r>
      <w:r>
        <w:t xml:space="preserve"> URI-based (</w:t>
      </w:r>
      <w:r>
        <w:rPr>
          <w:rFonts w:ascii="Consolas" w:cs="Consolas" w:eastAsia="Consolas" w:hAnsi="Consolas"/>
          <w:shd w:fill="F0F0F0" w:val="clear"/>
        </w:rPr>
        <w:t xml:space="preserve">/api/v1</w:t>
      </w:r>
      <w:r>
        <w:t xml:space="preserve">); breaking changes require a </w:t>
      </w:r>
      <w:r>
        <w:rPr>
          <w:rFonts w:ascii="Consolas" w:cs="Consolas" w:eastAsia="Consolas" w:hAnsi="Consolas"/>
          <w:shd w:fill="F0F0F0" w:val="clear"/>
        </w:rPr>
        <w:t xml:space="preserve">/v2</w:t>
      </w:r>
      <w:r>
        <w:t xml:space="preserve"> path, never in-place contract changes.</w:t>
      </w:r>
    </w:p>
    <w:p>
      <w:pPr>
        <w:pStyle w:val="Heading1"/>
        <w:pageBreakBefore/>
        <w:spacing w:after="180" w:before="360"/>
      </w:pPr>
      <w:bookmarkStart w:name="sec13" w:id="1"/>
      <w:r>
        <w:t xml:space="preserve">14. AI Agent Workflow (LangGraph)</w:t>
      </w:r>
      <w:bookmarkEnd w:id="1"/>
    </w:p>
    <w:p>
      <w:pPr>
        <w:spacing w:after="240" w:before="120"/>
        <w:jc w:val="center"/>
      </w:pPr>
      <w:r>
        <w:drawing>
          <wp:inline distT="0" distB="0" distL="0" distR="0">
            <wp:extent cx="4029075" cy="781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29075" cy="7810500"/>
                    </a:xfrm>
                    <a:prstGeom prst="rect">
                      <a:avLst/>
                    </a:prstGeom>
                  </pic:spPr>
                </pic:pic>
              </a:graphicData>
            </a:graphic>
          </wp:inline>
        </w:drawing>
      </w:r>
    </w:p>
    <w:tbl>
      <w:tblPr>
        <w:tblW w:type="dxa" w:w="9800"/>
        <w:tblBorders>
          <w:top w:val="single" w:color="BFBFBF" w:sz="2"/>
          <w:left w:val="single" w:color="BFBFBF" w:sz="2"/>
          <w:bottom w:val="single" w:color="BFBFBF" w:sz="2"/>
          <w:right w:val="single" w:color="BFBFBF" w:sz="2"/>
          <w:insideH w:val="single" w:color="D9D9D9" w:sz="2"/>
          <w:insideV w:val="single" w:color="D9D9D9" w:sz="2"/>
        </w:tblBorders>
      </w:tblPr>
      <w:tblGrid>
        <w:gridCol w:w="100"/>
        <w:gridCol w:w="100"/>
        <w:gridCol w:w="100"/>
        <w:gridCol w:w="100"/>
        <w:gridCol w:w="100"/>
        <w:gridCol w:w="100"/>
      </w:tblGrid>
      <w:tr>
        <w:trPr>
          <w:tblHeader/>
        </w:trPr>
        <w:tc>
          <w:tcPr>
            <w:tcW w:type="dxa" w:w="2450"/>
            <w:shd w:fill="1F4E79" w:color="auto" w:val="clear"/>
            <w:tcMar>
              <w:top w:type="dxa" w:w="80"/>
              <w:left w:type="dxa" w:w="100"/>
              <w:bottom w:type="dxa" w:w="80"/>
              <w:right w:type="dxa" w:w="100"/>
            </w:tcMar>
          </w:tcPr>
          <w:p>
            <w:r>
              <w:rPr>
                <w:b/>
                <w:bCs/>
                <w:color w:val="FFFFFF"/>
                <w:sz w:val="20"/>
                <w:szCs w:val="20"/>
              </w:rPr>
              <w:t xml:space="preserve">Node</w:t>
            </w:r>
          </w:p>
        </w:tc>
        <w:tc>
          <w:tcPr>
            <w:tcW w:type="dxa" w:w="1225"/>
            <w:shd w:fill="1F4E79" w:color="auto" w:val="clear"/>
            <w:tcMar>
              <w:top w:type="dxa" w:w="80"/>
              <w:left w:type="dxa" w:w="100"/>
              <w:bottom w:type="dxa" w:w="80"/>
              <w:right w:type="dxa" w:w="100"/>
            </w:tcMar>
          </w:tcPr>
          <w:p>
            <w:r>
              <w:rPr>
                <w:b/>
                <w:bCs/>
                <w:color w:val="FFFFFF"/>
                <w:sz w:val="20"/>
                <w:szCs w:val="20"/>
              </w:rPr>
              <w:t xml:space="preserve">Input</w:t>
            </w:r>
          </w:p>
        </w:tc>
        <w:tc>
          <w:tcPr>
            <w:tcW w:type="dxa" w:w="1225"/>
            <w:shd w:fill="1F4E79" w:color="auto" w:val="clear"/>
            <w:tcMar>
              <w:top w:type="dxa" w:w="80"/>
              <w:left w:type="dxa" w:w="100"/>
              <w:bottom w:type="dxa" w:w="80"/>
              <w:right w:type="dxa" w:w="100"/>
            </w:tcMar>
          </w:tcPr>
          <w:p>
            <w:r>
              <w:rPr>
                <w:b/>
                <w:bCs/>
                <w:color w:val="FFFFFF"/>
                <w:sz w:val="20"/>
                <w:szCs w:val="20"/>
              </w:rPr>
              <w:t xml:space="preserve">Output</w:t>
            </w:r>
          </w:p>
        </w:tc>
        <w:tc>
          <w:tcPr>
            <w:tcW w:type="dxa" w:w="1225"/>
            <w:shd w:fill="1F4E79" w:color="auto" w:val="clear"/>
            <w:tcMar>
              <w:top w:type="dxa" w:w="80"/>
              <w:left w:type="dxa" w:w="100"/>
              <w:bottom w:type="dxa" w:w="80"/>
              <w:right w:type="dxa" w:w="100"/>
            </w:tcMar>
          </w:tcPr>
          <w:p>
            <w:r>
              <w:rPr>
                <w:b/>
                <w:bCs/>
                <w:color w:val="FFFFFF"/>
                <w:sz w:val="20"/>
                <w:szCs w:val="20"/>
              </w:rPr>
              <w:t xml:space="preserve">State touched</w:t>
            </w:r>
          </w:p>
        </w:tc>
        <w:tc>
          <w:tcPr>
            <w:tcW w:type="dxa" w:w="1225"/>
            <w:shd w:fill="1F4E79" w:color="auto" w:val="clear"/>
            <w:tcMar>
              <w:top w:type="dxa" w:w="80"/>
              <w:left w:type="dxa" w:w="100"/>
              <w:bottom w:type="dxa" w:w="80"/>
              <w:right w:type="dxa" w:w="100"/>
            </w:tcMar>
          </w:tcPr>
          <w:p>
            <w:r>
              <w:rPr>
                <w:b/>
                <w:bCs/>
                <w:color w:val="FFFFFF"/>
                <w:sz w:val="20"/>
                <w:szCs w:val="20"/>
              </w:rPr>
              <w:t xml:space="preserve">Failure path</w:t>
            </w:r>
          </w:p>
        </w:tc>
        <w:tc>
          <w:tcPr>
            <w:tcW w:type="dxa" w:w="2450"/>
            <w:shd w:fill="1F4E79" w:color="auto" w:val="clear"/>
            <w:tcMar>
              <w:top w:type="dxa" w:w="80"/>
              <w:left w:type="dxa" w:w="100"/>
              <w:bottom w:type="dxa" w:w="80"/>
              <w:right w:type="dxa" w:w="100"/>
            </w:tcMar>
          </w:tcPr>
          <w:p>
            <w:r>
              <w:rPr>
                <w:b/>
                <w:bCs/>
                <w:color w:val="FFFFFF"/>
                <w:sz w:val="20"/>
                <w:szCs w:val="20"/>
              </w:rPr>
              <w:t xml:space="preserve">Retry/Recovery</w:t>
            </w:r>
          </w:p>
        </w:tc>
      </w:tr>
      <w:tr>
        <w:trPr>
          <w:tblHeader w:val="false"/>
        </w:trPr>
        <w:tc>
          <w:tcPr>
            <w:tcW w:type="dxa" w:w="2450"/>
            <w:tcMar>
              <w:top w:type="dxa" w:w="80"/>
              <w:left w:type="dxa" w:w="100"/>
              <w:bottom w:type="dxa" w:w="80"/>
              <w:right w:type="dxa" w:w="100"/>
            </w:tcMar>
          </w:tcPr>
          <w:p>
            <w:r>
              <w:rPr>
                <w:sz w:val="20"/>
                <w:szCs w:val="20"/>
              </w:rPr>
              <w:t xml:space="preserve">Intent Classification</w:t>
            </w:r>
          </w:p>
        </w:tc>
        <w:tc>
          <w:tcPr>
            <w:tcW w:type="dxa" w:w="1225"/>
            <w:tcMar>
              <w:top w:type="dxa" w:w="80"/>
              <w:left w:type="dxa" w:w="100"/>
              <w:bottom w:type="dxa" w:w="80"/>
              <w:right w:type="dxa" w:w="100"/>
            </w:tcMar>
          </w:tcPr>
          <w:p>
            <w:r>
              <w:rPr>
                <w:sz w:val="20"/>
                <w:szCs w:val="20"/>
              </w:rPr>
              <w:t xml:space="preserve">raw query</w:t>
            </w:r>
          </w:p>
        </w:tc>
        <w:tc>
          <w:tcPr>
            <w:tcW w:type="dxa" w:w="1225"/>
            <w:tcMar>
              <w:top w:type="dxa" w:w="80"/>
              <w:left w:type="dxa" w:w="100"/>
              <w:bottom w:type="dxa" w:w="80"/>
              <w:right w:type="dxa" w:w="100"/>
            </w:tcMar>
          </w:tcPr>
          <w:p>
            <w:r>
              <w:rPr>
                <w:sz w:val="20"/>
                <w:szCs w:val="20"/>
              </w:rPr>
              <w:t xml:space="preserve">intent label</w:t>
            </w:r>
          </w:p>
        </w:tc>
        <w:tc>
          <w:tcPr>
            <w:tcW w:type="dxa" w:w="1225"/>
            <w:tcMar>
              <w:top w:type="dxa" w:w="80"/>
              <w:left w:type="dxa" w:w="100"/>
              <w:bottom w:type="dxa" w:w="80"/>
              <w:right w:type="dxa" w:w="100"/>
            </w:tcMar>
          </w:tcPr>
          <w:p>
            <w:r>
              <w:rPr>
                <w:rFonts w:ascii="Consolas" w:cs="Consolas" w:eastAsia="Consolas" w:hAnsi="Consolas"/>
                <w:sz w:val="20"/>
                <w:szCs w:val="20"/>
                <w:shd w:fill="F0F0F0" w:val="clear"/>
              </w:rPr>
              <w:t xml:space="preserve">state.intent</w:t>
            </w:r>
          </w:p>
        </w:tc>
        <w:tc>
          <w:tcPr>
            <w:tcW w:type="dxa" w:w="1225"/>
            <w:tcMar>
              <w:top w:type="dxa" w:w="80"/>
              <w:left w:type="dxa" w:w="100"/>
              <w:bottom w:type="dxa" w:w="80"/>
              <w:right w:type="dxa" w:w="100"/>
            </w:tcMar>
          </w:tcPr>
          <w:p>
            <w:r>
              <w:rPr>
                <w:sz w:val="20"/>
                <w:szCs w:val="20"/>
              </w:rPr>
              <w:t xml:space="preserve">Ambiguous → Clarify</w:t>
            </w:r>
          </w:p>
        </w:tc>
        <w:tc>
          <w:tcPr>
            <w:tcW w:type="dxa" w:w="2450"/>
            <w:tcMar>
              <w:top w:type="dxa" w:w="80"/>
              <w:left w:type="dxa" w:w="100"/>
              <w:bottom w:type="dxa" w:w="80"/>
              <w:right w:type="dxa" w:w="100"/>
            </w:tcMar>
          </w:tcPr>
          <w:p>
            <w:r>
              <w:rPr>
                <w:sz w:val="20"/>
                <w:szCs w:val="20"/>
              </w:rPr>
              <w:t xml:space="preserve">N/A</w:t>
            </w:r>
          </w:p>
        </w:tc>
      </w:tr>
      <w:tr>
        <w:trPr>
          <w:tblHeader w:val="false"/>
        </w:trPr>
        <w:tc>
          <w:tcPr>
            <w:tcW w:type="dxa" w:w="2450"/>
            <w:tcMar>
              <w:top w:type="dxa" w:w="80"/>
              <w:left w:type="dxa" w:w="100"/>
              <w:bottom w:type="dxa" w:w="80"/>
              <w:right w:type="dxa" w:w="100"/>
            </w:tcMar>
          </w:tcPr>
          <w:p>
            <w:r>
              <w:rPr>
                <w:sz w:val="20"/>
                <w:szCs w:val="20"/>
              </w:rPr>
              <w:t xml:space="preserve">Clarification</w:t>
            </w:r>
          </w:p>
        </w:tc>
        <w:tc>
          <w:tcPr>
            <w:tcW w:type="dxa" w:w="1225"/>
            <w:tcMar>
              <w:top w:type="dxa" w:w="80"/>
              <w:left w:type="dxa" w:w="100"/>
              <w:bottom w:type="dxa" w:w="80"/>
              <w:right w:type="dxa" w:w="100"/>
            </w:tcMar>
          </w:tcPr>
          <w:p>
            <w:r>
              <w:rPr>
                <w:sz w:val="20"/>
                <w:szCs w:val="20"/>
              </w:rPr>
              <w:t xml:space="preserve">ambiguous intent</w:t>
            </w:r>
          </w:p>
        </w:tc>
        <w:tc>
          <w:tcPr>
            <w:tcW w:type="dxa" w:w="1225"/>
            <w:tcMar>
              <w:top w:type="dxa" w:w="80"/>
              <w:left w:type="dxa" w:w="100"/>
              <w:bottom w:type="dxa" w:w="80"/>
              <w:right w:type="dxa" w:w="100"/>
            </w:tcMar>
          </w:tcPr>
          <w:p>
            <w:r>
              <w:rPr>
                <w:sz w:val="20"/>
                <w:szCs w:val="20"/>
              </w:rPr>
              <w:t xml:space="preserve">follow-up question</w:t>
            </w:r>
          </w:p>
        </w:tc>
        <w:tc>
          <w:tcPr>
            <w:tcW w:type="dxa" w:w="1225"/>
            <w:tcMar>
              <w:top w:type="dxa" w:w="80"/>
              <w:left w:type="dxa" w:w="100"/>
              <w:bottom w:type="dxa" w:w="80"/>
              <w:right w:type="dxa" w:w="100"/>
            </w:tcMar>
          </w:tcPr>
          <w:p>
            <w:r>
              <w:rPr>
                <w:rFonts w:ascii="Consolas" w:cs="Consolas" w:eastAsia="Consolas" w:hAnsi="Consolas"/>
                <w:sz w:val="20"/>
                <w:szCs w:val="20"/>
                <w:shd w:fill="F0F0F0" w:val="clear"/>
              </w:rPr>
              <w:t xml:space="preserve">state.pending_question</w:t>
            </w:r>
          </w:p>
        </w:tc>
        <w:tc>
          <w:tcPr>
            <w:tcW w:type="dxa" w:w="1225"/>
            <w:tcMar>
              <w:top w:type="dxa" w:w="80"/>
              <w:left w:type="dxa" w:w="100"/>
              <w:bottom w:type="dxa" w:w="80"/>
              <w:right w:type="dxa" w:w="100"/>
            </w:tcMar>
          </w:tcPr>
          <w:p>
            <w:r>
              <w:rPr>
                <w:sz w:val="20"/>
                <w:szCs w:val="20"/>
              </w:rPr>
              <w:t xml:space="preserve">User doesn't answer → re-prompt once, then default to broadest interpretation</w:t>
            </w:r>
          </w:p>
        </w:tc>
        <w:tc>
          <w:tcPr>
            <w:tcW w:type="dxa" w:w="2450"/>
            <w:tcMar>
              <w:top w:type="dxa" w:w="80"/>
              <w:left w:type="dxa" w:w="100"/>
              <w:bottom w:type="dxa" w:w="80"/>
              <w:right w:type="dxa" w:w="100"/>
            </w:tcMar>
          </w:tcPr>
          <w:p>
            <w:r>
              <w:rPr>
                <w:sz w:val="20"/>
                <w:szCs w:val="20"/>
              </w:rPr>
              <w:t xml:space="preserve">1 retry</w:t>
            </w:r>
          </w:p>
        </w:tc>
      </w:tr>
      <w:tr>
        <w:trPr>
          <w:tblHeader w:val="false"/>
        </w:trPr>
        <w:tc>
          <w:tcPr>
            <w:tcW w:type="dxa" w:w="2450"/>
            <w:tcMar>
              <w:top w:type="dxa" w:w="80"/>
              <w:left w:type="dxa" w:w="100"/>
              <w:bottom w:type="dxa" w:w="80"/>
              <w:right w:type="dxa" w:w="100"/>
            </w:tcMar>
          </w:tcPr>
          <w:p>
            <w:r>
              <w:rPr>
                <w:sz w:val="20"/>
                <w:szCs w:val="20"/>
              </w:rPr>
              <w:t xml:space="preserve">Retrieval</w:t>
            </w:r>
          </w:p>
        </w:tc>
        <w:tc>
          <w:tcPr>
            <w:tcW w:type="dxa" w:w="1225"/>
            <w:tcMar>
              <w:top w:type="dxa" w:w="80"/>
              <w:left w:type="dxa" w:w="100"/>
              <w:bottom w:type="dxa" w:w="80"/>
              <w:right w:type="dxa" w:w="100"/>
            </w:tcMar>
          </w:tcPr>
          <w:p>
            <w:r>
              <w:rPr>
                <w:sz w:val="20"/>
                <w:szCs w:val="20"/>
              </w:rPr>
              <w:t xml:space="preserve">intent + query</w:t>
            </w:r>
          </w:p>
        </w:tc>
        <w:tc>
          <w:tcPr>
            <w:tcW w:type="dxa" w:w="1225"/>
            <w:tcMar>
              <w:top w:type="dxa" w:w="80"/>
              <w:left w:type="dxa" w:w="100"/>
              <w:bottom w:type="dxa" w:w="80"/>
              <w:right w:type="dxa" w:w="100"/>
            </w:tcMar>
          </w:tcPr>
          <w:p>
            <w:r>
              <w:rPr>
                <w:sz w:val="20"/>
                <w:szCs w:val="20"/>
              </w:rPr>
              <w:t xml:space="preserve">ranked chunks</w:t>
            </w:r>
          </w:p>
        </w:tc>
        <w:tc>
          <w:tcPr>
            <w:tcW w:type="dxa" w:w="1225"/>
            <w:tcMar>
              <w:top w:type="dxa" w:w="80"/>
              <w:left w:type="dxa" w:w="100"/>
              <w:bottom w:type="dxa" w:w="80"/>
              <w:right w:type="dxa" w:w="100"/>
            </w:tcMar>
          </w:tcPr>
          <w:p>
            <w:r>
              <w:rPr>
                <w:rFonts w:ascii="Consolas" w:cs="Consolas" w:eastAsia="Consolas" w:hAnsi="Consolas"/>
                <w:sz w:val="20"/>
                <w:szCs w:val="20"/>
                <w:shd w:fill="F0F0F0" w:val="clear"/>
              </w:rPr>
              <w:t xml:space="preserve">state.retrieved_chunks</w:t>
            </w:r>
          </w:p>
        </w:tc>
        <w:tc>
          <w:tcPr>
            <w:tcW w:type="dxa" w:w="1225"/>
            <w:tcMar>
              <w:top w:type="dxa" w:w="80"/>
              <w:left w:type="dxa" w:w="100"/>
              <w:bottom w:type="dxa" w:w="80"/>
              <w:right w:type="dxa" w:w="100"/>
            </w:tcMar>
          </w:tcPr>
          <w:p>
            <w:r>
              <w:rPr>
                <w:sz w:val="20"/>
                <w:szCs w:val="20"/>
              </w:rPr>
              <w:t xml:space="preserve">Vector store unavailable → 503 to user</w:t>
            </w:r>
          </w:p>
        </w:tc>
        <w:tc>
          <w:tcPr>
            <w:tcW w:type="dxa" w:w="2450"/>
            <w:tcMar>
              <w:top w:type="dxa" w:w="80"/>
              <w:left w:type="dxa" w:w="100"/>
              <w:bottom w:type="dxa" w:w="80"/>
              <w:right w:type="dxa" w:w="100"/>
            </w:tcMar>
          </w:tcPr>
          <w:p>
            <w:r>
              <w:rPr>
                <w:sz w:val="20"/>
                <w:szCs w:val="20"/>
              </w:rPr>
              <w:t xml:space="preserve">2 retries with backoff</w:t>
            </w:r>
          </w:p>
        </w:tc>
      </w:tr>
      <w:tr>
        <w:trPr>
          <w:tblHeader w:val="false"/>
        </w:trPr>
        <w:tc>
          <w:tcPr>
            <w:tcW w:type="dxa" w:w="2450"/>
            <w:tcMar>
              <w:top w:type="dxa" w:w="80"/>
              <w:left w:type="dxa" w:w="100"/>
              <w:bottom w:type="dxa" w:w="80"/>
              <w:right w:type="dxa" w:w="100"/>
            </w:tcMar>
          </w:tcPr>
          <w:p>
            <w:r>
              <w:rPr>
                <w:sz w:val="20"/>
                <w:szCs w:val="20"/>
              </w:rPr>
              <w:t xml:space="preserve">Rule Validation</w:t>
            </w:r>
          </w:p>
        </w:tc>
        <w:tc>
          <w:tcPr>
            <w:tcW w:type="dxa" w:w="1225"/>
            <w:tcMar>
              <w:top w:type="dxa" w:w="80"/>
              <w:left w:type="dxa" w:w="100"/>
              <w:bottom w:type="dxa" w:w="80"/>
              <w:right w:type="dxa" w:w="100"/>
            </w:tcMar>
          </w:tcPr>
          <w:p>
            <w:r>
              <w:rPr>
                <w:sz w:val="20"/>
                <w:szCs w:val="20"/>
              </w:rPr>
              <w:t xml:space="preserve">retrieved chunks</w:t>
            </w:r>
          </w:p>
        </w:tc>
        <w:tc>
          <w:tcPr>
            <w:tcW w:type="dxa" w:w="1225"/>
            <w:tcMar>
              <w:top w:type="dxa" w:w="80"/>
              <w:left w:type="dxa" w:w="100"/>
              <w:bottom w:type="dxa" w:w="80"/>
              <w:right w:type="dxa" w:w="100"/>
            </w:tcMar>
          </w:tcPr>
          <w:p>
            <w:r>
              <w:rPr>
                <w:sz w:val="20"/>
                <w:szCs w:val="20"/>
              </w:rPr>
              <w:t xml:space="preserve">pass/fail + reason</w:t>
            </w:r>
          </w:p>
        </w:tc>
        <w:tc>
          <w:tcPr>
            <w:tcW w:type="dxa" w:w="1225"/>
            <w:tcMar>
              <w:top w:type="dxa" w:w="80"/>
              <w:left w:type="dxa" w:w="100"/>
              <w:bottom w:type="dxa" w:w="80"/>
              <w:right w:type="dxa" w:w="100"/>
            </w:tcMar>
          </w:tcPr>
          <w:p>
            <w:r>
              <w:rPr>
                <w:rFonts w:ascii="Consolas" w:cs="Consolas" w:eastAsia="Consolas" w:hAnsi="Consolas"/>
                <w:sz w:val="20"/>
                <w:szCs w:val="20"/>
                <w:shd w:fill="F0F0F0" w:val="clear"/>
              </w:rPr>
              <w:t xml:space="preserve">state.evidence_sufficient</w:t>
            </w:r>
          </w:p>
        </w:tc>
        <w:tc>
          <w:tcPr>
            <w:tcW w:type="dxa" w:w="1225"/>
            <w:tcMar>
              <w:top w:type="dxa" w:w="80"/>
              <w:left w:type="dxa" w:w="100"/>
              <w:bottom w:type="dxa" w:w="80"/>
              <w:right w:type="dxa" w:w="100"/>
            </w:tcMar>
          </w:tcPr>
          <w:p>
            <w:r>
              <w:rPr>
                <w:sz w:val="20"/>
                <w:szCs w:val="20"/>
              </w:rPr>
              <w:t xml:space="preserve">Insufficient → route to refusal, never to a guess</w:t>
            </w:r>
          </w:p>
        </w:tc>
        <w:tc>
          <w:tcPr>
            <w:tcW w:type="dxa" w:w="2450"/>
            <w:tcMar>
              <w:top w:type="dxa" w:w="80"/>
              <w:left w:type="dxa" w:w="100"/>
              <w:bottom w:type="dxa" w:w="80"/>
              <w:right w:type="dxa" w:w="100"/>
            </w:tcMar>
          </w:tcPr>
          <w:p>
            <w:r>
              <w:rPr>
                <w:sz w:val="20"/>
                <w:szCs w:val="20"/>
              </w:rPr>
              <w:t xml:space="preserve">N/A</w:t>
            </w:r>
          </w:p>
        </w:tc>
      </w:tr>
      <w:tr>
        <w:trPr>
          <w:tblHeader w:val="false"/>
        </w:trPr>
        <w:tc>
          <w:tcPr>
            <w:tcW w:type="dxa" w:w="2450"/>
            <w:tcMar>
              <w:top w:type="dxa" w:w="80"/>
              <w:left w:type="dxa" w:w="100"/>
              <w:bottom w:type="dxa" w:w="80"/>
              <w:right w:type="dxa" w:w="100"/>
            </w:tcMar>
          </w:tcPr>
          <w:p>
            <w:r>
              <w:rPr>
                <w:sz w:val="20"/>
                <w:szCs w:val="20"/>
              </w:rPr>
              <w:t xml:space="preserve">Calculation</w:t>
            </w:r>
          </w:p>
        </w:tc>
        <w:tc>
          <w:tcPr>
            <w:tcW w:type="dxa" w:w="1225"/>
            <w:tcMar>
              <w:top w:type="dxa" w:w="80"/>
              <w:left w:type="dxa" w:w="100"/>
              <w:bottom w:type="dxa" w:w="80"/>
              <w:right w:type="dxa" w:w="100"/>
            </w:tcMar>
          </w:tcPr>
          <w:p>
            <w:r>
              <w:rPr>
                <w:sz w:val="20"/>
                <w:szCs w:val="20"/>
              </w:rPr>
              <w:t xml:space="preserve">validated rule + spend</w:t>
            </w:r>
          </w:p>
        </w:tc>
        <w:tc>
          <w:tcPr>
            <w:tcW w:type="dxa" w:w="1225"/>
            <w:tcMar>
              <w:top w:type="dxa" w:w="80"/>
              <w:left w:type="dxa" w:w="100"/>
              <w:bottom w:type="dxa" w:w="80"/>
              <w:right w:type="dxa" w:w="100"/>
            </w:tcMar>
          </w:tcPr>
          <w:p>
            <w:r>
              <w:rPr>
                <w:sz w:val="20"/>
                <w:szCs w:val="20"/>
              </w:rPr>
              <w:t xml:space="preserve">computed value</w:t>
            </w:r>
          </w:p>
        </w:tc>
        <w:tc>
          <w:tcPr>
            <w:tcW w:type="dxa" w:w="1225"/>
            <w:tcMar>
              <w:top w:type="dxa" w:w="80"/>
              <w:left w:type="dxa" w:w="100"/>
              <w:bottom w:type="dxa" w:w="80"/>
              <w:right w:type="dxa" w:w="100"/>
            </w:tcMar>
          </w:tcPr>
          <w:p>
            <w:r>
              <w:rPr>
                <w:rFonts w:ascii="Consolas" w:cs="Consolas" w:eastAsia="Consolas" w:hAnsi="Consolas"/>
                <w:sz w:val="20"/>
                <w:szCs w:val="20"/>
                <w:shd w:fill="F0F0F0" w:val="clear"/>
              </w:rPr>
              <w:t xml:space="preserve">state.calculation</w:t>
            </w:r>
          </w:p>
        </w:tc>
        <w:tc>
          <w:tcPr>
            <w:tcW w:type="dxa" w:w="1225"/>
            <w:tcMar>
              <w:top w:type="dxa" w:w="80"/>
              <w:left w:type="dxa" w:w="100"/>
              <w:bottom w:type="dxa" w:w="80"/>
              <w:right w:type="dxa" w:w="100"/>
            </w:tcMar>
          </w:tcPr>
          <w:p>
            <w:r>
              <w:rPr>
                <w:sz w:val="20"/>
                <w:szCs w:val="20"/>
              </w:rPr>
              <w:t xml:space="preserve">Tool exception (bad input) → return validation error, not silent default</w:t>
            </w:r>
          </w:p>
        </w:tc>
        <w:tc>
          <w:tcPr>
            <w:tcW w:type="dxa" w:w="2450"/>
            <w:tcMar>
              <w:top w:type="dxa" w:w="80"/>
              <w:left w:type="dxa" w:w="100"/>
              <w:bottom w:type="dxa" w:w="80"/>
              <w:right w:type="dxa" w:w="100"/>
            </w:tcMar>
          </w:tcPr>
          <w:p>
            <w:r>
              <w:rPr>
                <w:sz w:val="20"/>
                <w:szCs w:val="20"/>
              </w:rPr>
              <w:t xml:space="preserve">N/A (deterministic)</w:t>
            </w:r>
          </w:p>
        </w:tc>
      </w:tr>
      <w:tr>
        <w:trPr>
          <w:tblHeader w:val="false"/>
        </w:trPr>
        <w:tc>
          <w:tcPr>
            <w:tcW w:type="dxa" w:w="2450"/>
            <w:tcMar>
              <w:top w:type="dxa" w:w="80"/>
              <w:left w:type="dxa" w:w="100"/>
              <w:bottom w:type="dxa" w:w="80"/>
              <w:right w:type="dxa" w:w="100"/>
            </w:tcMar>
          </w:tcPr>
          <w:p>
            <w:r>
              <w:rPr>
                <w:sz w:val="20"/>
                <w:szCs w:val="20"/>
              </w:rPr>
              <w:t xml:space="preserve">Comparison</w:t>
            </w:r>
          </w:p>
        </w:tc>
        <w:tc>
          <w:tcPr>
            <w:tcW w:type="dxa" w:w="1225"/>
            <w:tcMar>
              <w:top w:type="dxa" w:w="80"/>
              <w:left w:type="dxa" w:w="100"/>
              <w:bottom w:type="dxa" w:w="80"/>
              <w:right w:type="dxa" w:w="100"/>
            </w:tcMar>
          </w:tcPr>
          <w:p>
            <w:r>
              <w:rPr>
                <w:sz w:val="20"/>
                <w:szCs w:val="20"/>
              </w:rPr>
              <w:t xml:space="preserve">multiple calculations</w:t>
            </w:r>
          </w:p>
        </w:tc>
        <w:tc>
          <w:tcPr>
            <w:tcW w:type="dxa" w:w="1225"/>
            <w:tcMar>
              <w:top w:type="dxa" w:w="80"/>
              <w:left w:type="dxa" w:w="100"/>
              <w:bottom w:type="dxa" w:w="80"/>
              <w:right w:type="dxa" w:w="100"/>
            </w:tcMar>
          </w:tcPr>
          <w:p>
            <w:r>
              <w:rPr>
                <w:sz w:val="20"/>
                <w:szCs w:val="20"/>
              </w:rPr>
              <w:t xml:space="preserve">ranked list</w:t>
            </w:r>
          </w:p>
        </w:tc>
        <w:tc>
          <w:tcPr>
            <w:tcW w:type="dxa" w:w="1225"/>
            <w:tcMar>
              <w:top w:type="dxa" w:w="80"/>
              <w:left w:type="dxa" w:w="100"/>
              <w:bottom w:type="dxa" w:w="80"/>
              <w:right w:type="dxa" w:w="100"/>
            </w:tcMar>
          </w:tcPr>
          <w:p>
            <w:r>
              <w:rPr>
                <w:rFonts w:ascii="Consolas" w:cs="Consolas" w:eastAsia="Consolas" w:hAnsi="Consolas"/>
                <w:sz w:val="20"/>
                <w:szCs w:val="20"/>
                <w:shd w:fill="F0F0F0" w:val="clear"/>
              </w:rPr>
              <w:t xml:space="preserve">state.comparison</w:t>
            </w:r>
          </w:p>
        </w:tc>
        <w:tc>
          <w:tcPr>
            <w:tcW w:type="dxa" w:w="1225"/>
            <w:tcMar>
              <w:top w:type="dxa" w:w="80"/>
              <w:left w:type="dxa" w:w="100"/>
              <w:bottom w:type="dxa" w:w="80"/>
              <w:right w:type="dxa" w:w="100"/>
            </w:tcMar>
          </w:tcPr>
          <w:p>
            <w:r>
              <w:rPr>
                <w:sz w:val="20"/>
                <w:szCs w:val="20"/>
              </w:rPr>
              <w:t xml:space="preserve">Single-card case → skip gracefully</w:t>
            </w:r>
          </w:p>
        </w:tc>
        <w:tc>
          <w:tcPr>
            <w:tcW w:type="dxa" w:w="2450"/>
            <w:tcMar>
              <w:top w:type="dxa" w:w="80"/>
              <w:left w:type="dxa" w:w="100"/>
              <w:bottom w:type="dxa" w:w="80"/>
              <w:right w:type="dxa" w:w="100"/>
            </w:tcMar>
          </w:tcPr>
          <w:p>
            <w:r>
              <w:rPr>
                <w:sz w:val="20"/>
                <w:szCs w:val="20"/>
              </w:rPr>
              <w:t xml:space="preserve">N/A</w:t>
            </w:r>
          </w:p>
        </w:tc>
      </w:tr>
      <w:tr>
        <w:trPr>
          <w:tblHeader w:val="false"/>
        </w:trPr>
        <w:tc>
          <w:tcPr>
            <w:tcW w:type="dxa" w:w="2450"/>
            <w:tcMar>
              <w:top w:type="dxa" w:w="80"/>
              <w:left w:type="dxa" w:w="100"/>
              <w:bottom w:type="dxa" w:w="80"/>
              <w:right w:type="dxa" w:w="100"/>
            </w:tcMar>
          </w:tcPr>
          <w:p>
            <w:r>
              <w:rPr>
                <w:sz w:val="20"/>
                <w:szCs w:val="20"/>
              </w:rPr>
              <w:t xml:space="preserve">Guardrail</w:t>
            </w:r>
          </w:p>
        </w:tc>
        <w:tc>
          <w:tcPr>
            <w:tcW w:type="dxa" w:w="1225"/>
            <w:tcMar>
              <w:top w:type="dxa" w:w="80"/>
              <w:left w:type="dxa" w:w="100"/>
              <w:bottom w:type="dxa" w:w="80"/>
              <w:right w:type="dxa" w:w="100"/>
            </w:tcMar>
          </w:tcPr>
          <w:p>
            <w:r>
              <w:rPr>
                <w:sz w:val="20"/>
                <w:szCs w:val="20"/>
              </w:rPr>
              <w:t xml:space="preserve">draft answer + evidence</w:t>
            </w:r>
          </w:p>
        </w:tc>
        <w:tc>
          <w:tcPr>
            <w:tcW w:type="dxa" w:w="1225"/>
            <w:tcMar>
              <w:top w:type="dxa" w:w="80"/>
              <w:left w:type="dxa" w:w="100"/>
              <w:bottom w:type="dxa" w:w="80"/>
              <w:right w:type="dxa" w:w="100"/>
            </w:tcMar>
          </w:tcPr>
          <w:p>
            <w:r>
              <w:rPr>
                <w:sz w:val="20"/>
                <w:szCs w:val="20"/>
              </w:rPr>
              <w:t xml:space="preserve">pass/fail + violations</w:t>
            </w:r>
          </w:p>
        </w:tc>
        <w:tc>
          <w:tcPr>
            <w:tcW w:type="dxa" w:w="1225"/>
            <w:tcMar>
              <w:top w:type="dxa" w:w="80"/>
              <w:left w:type="dxa" w:w="100"/>
              <w:bottom w:type="dxa" w:w="80"/>
              <w:right w:type="dxa" w:w="100"/>
            </w:tcMar>
          </w:tcPr>
          <w:p>
            <w:r>
              <w:rPr>
                <w:rFonts w:ascii="Consolas" w:cs="Consolas" w:eastAsia="Consolas" w:hAnsi="Consolas"/>
                <w:sz w:val="20"/>
                <w:szCs w:val="20"/>
                <w:shd w:fill="F0F0F0" w:val="clear"/>
              </w:rPr>
              <w:t xml:space="preserve">state.guardrail_result</w:t>
            </w:r>
          </w:p>
        </w:tc>
        <w:tc>
          <w:tcPr>
            <w:tcW w:type="dxa" w:w="1225"/>
            <w:tcMar>
              <w:top w:type="dxa" w:w="80"/>
              <w:left w:type="dxa" w:w="100"/>
              <w:bottom w:type="dxa" w:w="80"/>
              <w:right w:type="dxa" w:w="100"/>
            </w:tcMar>
          </w:tcPr>
          <w:p>
            <w:r>
              <w:rPr>
                <w:sz w:val="20"/>
                <w:szCs w:val="20"/>
              </w:rPr>
              <w:t xml:space="preserve">Fails → loop back to Retrieval (max 2 loops) then hard-refuse</w:t>
            </w:r>
          </w:p>
        </w:tc>
        <w:tc>
          <w:tcPr>
            <w:tcW w:type="dxa" w:w="2450"/>
            <w:tcMar>
              <w:top w:type="dxa" w:w="80"/>
              <w:left w:type="dxa" w:w="100"/>
              <w:bottom w:type="dxa" w:w="80"/>
              <w:right w:type="dxa" w:w="100"/>
            </w:tcMar>
          </w:tcPr>
          <w:p>
            <w:r>
              <w:rPr>
                <w:sz w:val="20"/>
                <w:szCs w:val="20"/>
              </w:rPr>
              <w:t xml:space="preserve">2 loop max</w:t>
            </w:r>
          </w:p>
        </w:tc>
      </w:tr>
      <w:tr>
        <w:trPr>
          <w:tblHeader w:val="false"/>
        </w:trPr>
        <w:tc>
          <w:tcPr>
            <w:tcW w:type="dxa" w:w="2450"/>
            <w:tcMar>
              <w:top w:type="dxa" w:w="80"/>
              <w:left w:type="dxa" w:w="100"/>
              <w:bottom w:type="dxa" w:w="80"/>
              <w:right w:type="dxa" w:w="100"/>
            </w:tcMar>
          </w:tcPr>
          <w:p>
            <w:r>
              <w:rPr>
                <w:sz w:val="20"/>
                <w:szCs w:val="20"/>
              </w:rPr>
              <w:t xml:space="preserve">Human Approval</w:t>
            </w:r>
          </w:p>
        </w:tc>
        <w:tc>
          <w:tcPr>
            <w:tcW w:type="dxa" w:w="1225"/>
            <w:tcMar>
              <w:top w:type="dxa" w:w="80"/>
              <w:left w:type="dxa" w:w="100"/>
              <w:bottom w:type="dxa" w:w="80"/>
              <w:right w:type="dxa" w:w="100"/>
            </w:tcMar>
          </w:tcPr>
          <w:p>
            <w:r>
              <w:rPr>
                <w:sz w:val="20"/>
                <w:szCs w:val="20"/>
              </w:rPr>
              <w:t xml:space="preserve">transfer proposal</w:t>
            </w:r>
          </w:p>
        </w:tc>
        <w:tc>
          <w:tcPr>
            <w:tcW w:type="dxa" w:w="1225"/>
            <w:tcMar>
              <w:top w:type="dxa" w:w="80"/>
              <w:left w:type="dxa" w:w="100"/>
              <w:bottom w:type="dxa" w:w="80"/>
              <w:right w:type="dxa" w:w="100"/>
            </w:tcMar>
          </w:tcPr>
          <w:p>
            <w:r>
              <w:rPr>
                <w:sz w:val="20"/>
                <w:szCs w:val="20"/>
              </w:rPr>
              <w:t xml:space="preserve">approved/rejected</w:t>
            </w:r>
          </w:p>
        </w:tc>
        <w:tc>
          <w:tcPr>
            <w:tcW w:type="dxa" w:w="1225"/>
            <w:tcMar>
              <w:top w:type="dxa" w:w="80"/>
              <w:left w:type="dxa" w:w="100"/>
              <w:bottom w:type="dxa" w:w="80"/>
              <w:right w:type="dxa" w:w="100"/>
            </w:tcMar>
          </w:tcPr>
          <w:p>
            <w:r>
              <w:rPr>
                <w:rFonts w:ascii="Consolas" w:cs="Consolas" w:eastAsia="Consolas" w:hAnsi="Consolas"/>
                <w:sz w:val="20"/>
                <w:szCs w:val="20"/>
                <w:shd w:fill="F0F0F0" w:val="clear"/>
              </w:rPr>
              <w:t xml:space="preserve">state.approval_status</w:t>
            </w:r>
          </w:p>
        </w:tc>
        <w:tc>
          <w:tcPr>
            <w:tcW w:type="dxa" w:w="1225"/>
            <w:tcMar>
              <w:top w:type="dxa" w:w="80"/>
              <w:left w:type="dxa" w:w="100"/>
              <w:bottom w:type="dxa" w:w="80"/>
              <w:right w:type="dxa" w:w="100"/>
            </w:tcMar>
          </w:tcPr>
          <w:p>
            <w:r>
              <w:rPr>
                <w:sz w:val="20"/>
                <w:szCs w:val="20"/>
              </w:rPr>
              <w:t xml:space="preserve">Session timeout → discard, do not auto-approve</w:t>
            </w:r>
          </w:p>
        </w:tc>
        <w:tc>
          <w:tcPr>
            <w:tcW w:type="dxa" w:w="2450"/>
            <w:tcMar>
              <w:top w:type="dxa" w:w="80"/>
              <w:left w:type="dxa" w:w="100"/>
              <w:bottom w:type="dxa" w:w="80"/>
              <w:right w:type="dxa" w:w="100"/>
            </w:tcMar>
          </w:tcPr>
          <w:p>
            <w:r>
              <w:rPr>
                <w:sz w:val="20"/>
                <w:szCs w:val="20"/>
              </w:rPr>
              <w:t xml:space="preserve">N/A</w:t>
            </w:r>
          </w:p>
        </w:tc>
      </w:tr>
      <w:tr>
        <w:trPr>
          <w:tblHeader w:val="false"/>
        </w:trPr>
        <w:tc>
          <w:tcPr>
            <w:tcW w:type="dxa" w:w="2450"/>
            <w:tcMar>
              <w:top w:type="dxa" w:w="80"/>
              <w:left w:type="dxa" w:w="100"/>
              <w:bottom w:type="dxa" w:w="80"/>
              <w:right w:type="dxa" w:w="100"/>
            </w:tcMar>
          </w:tcPr>
          <w:p>
            <w:r>
              <w:rPr>
                <w:sz w:val="20"/>
                <w:szCs w:val="20"/>
              </w:rPr>
              <w:t xml:space="preserve">Final Answer</w:t>
            </w:r>
          </w:p>
        </w:tc>
        <w:tc>
          <w:tcPr>
            <w:tcW w:type="dxa" w:w="1225"/>
            <w:tcMar>
              <w:top w:type="dxa" w:w="80"/>
              <w:left w:type="dxa" w:w="100"/>
              <w:bottom w:type="dxa" w:w="80"/>
              <w:right w:type="dxa" w:w="100"/>
            </w:tcMar>
          </w:tcPr>
          <w:p>
            <w:r>
              <w:rPr>
                <w:sz w:val="20"/>
                <w:szCs w:val="20"/>
              </w:rPr>
              <w:t xml:space="preserve">all prior state</w:t>
            </w:r>
          </w:p>
        </w:tc>
        <w:tc>
          <w:tcPr>
            <w:tcW w:type="dxa" w:w="1225"/>
            <w:tcMar>
              <w:top w:type="dxa" w:w="80"/>
              <w:left w:type="dxa" w:w="100"/>
              <w:bottom w:type="dxa" w:w="80"/>
              <w:right w:type="dxa" w:w="100"/>
            </w:tcMar>
          </w:tcPr>
          <w:p>
            <w:r>
              <w:rPr>
                <w:sz w:val="20"/>
                <w:szCs w:val="20"/>
              </w:rPr>
              <w:t xml:space="preserve">formatted response</w:t>
            </w:r>
          </w:p>
        </w:tc>
        <w:tc>
          <w:tcPr>
            <w:tcW w:type="dxa" w:w="1225"/>
            <w:tcMar>
              <w:top w:type="dxa" w:w="80"/>
              <w:left w:type="dxa" w:w="100"/>
              <w:bottom w:type="dxa" w:w="80"/>
              <w:right w:type="dxa" w:w="100"/>
            </w:tcMar>
          </w:tcPr>
          <w:p>
            <w:r>
              <w:rPr>
                <w:rFonts w:ascii="Consolas" w:cs="Consolas" w:eastAsia="Consolas" w:hAnsi="Consolas"/>
                <w:sz w:val="20"/>
                <w:szCs w:val="20"/>
                <w:shd w:fill="F0F0F0" w:val="clear"/>
              </w:rPr>
              <w:t xml:space="preserve">state.final_answer</w:t>
            </w:r>
          </w:p>
        </w:tc>
        <w:tc>
          <w:tcPr>
            <w:tcW w:type="dxa" w:w="1225"/>
            <w:tcMar>
              <w:top w:type="dxa" w:w="80"/>
              <w:left w:type="dxa" w:w="100"/>
              <w:bottom w:type="dxa" w:w="80"/>
              <w:right w:type="dxa" w:w="100"/>
            </w:tcMar>
          </w:tcPr>
          <w:p>
            <w:r>
              <w:rPr>
                <w:sz w:val="20"/>
                <w:szCs w:val="20"/>
              </w:rPr>
              <w:t xml:space="preserve">N/A</w:t>
            </w:r>
          </w:p>
        </w:tc>
        <w:tc>
          <w:tcPr>
            <w:tcW w:type="dxa" w:w="2450"/>
            <w:tcMar>
              <w:top w:type="dxa" w:w="80"/>
              <w:left w:type="dxa" w:w="100"/>
              <w:bottom w:type="dxa" w:w="80"/>
              <w:right w:type="dxa" w:w="100"/>
            </w:tcMar>
          </w:tcPr>
          <w:p>
            <w:r>
              <w:rPr>
                <w:sz w:val="20"/>
                <w:szCs w:val="20"/>
              </w:rPr>
              <w:t xml:space="preserve">N/A</w:t>
            </w:r>
          </w:p>
        </w:tc>
      </w:tr>
    </w:tbl>
    <w:p>
      <w:pPr>
        <w:spacing w:after="200"/>
      </w:pPr>
    </w:p>
    <w:p>
      <w:pPr>
        <w:pStyle w:val="Heading1"/>
        <w:pageBreakBefore/>
        <w:spacing w:after="180" w:before="360"/>
      </w:pPr>
      <w:bookmarkStart w:name="sec14" w:id="1"/>
      <w:r>
        <w:t xml:space="preserve">15. Technology Selection</w:t>
      </w:r>
      <w:bookmarkEnd w:id="1"/>
    </w:p>
    <w:tbl>
      <w:tblPr>
        <w:tblW w:type="dxa" w:w="9800"/>
        <w:tblBorders>
          <w:top w:val="single" w:color="BFBFBF" w:sz="2"/>
          <w:left w:val="single" w:color="BFBFBF" w:sz="2"/>
          <w:bottom w:val="single" w:color="BFBFBF" w:sz="2"/>
          <w:right w:val="single" w:color="BFBFBF" w:sz="2"/>
          <w:insideH w:val="single" w:color="D9D9D9" w:sz="2"/>
          <w:insideV w:val="single" w:color="D9D9D9" w:sz="2"/>
        </w:tblBorders>
      </w:tblPr>
      <w:tblGrid>
        <w:gridCol w:w="100"/>
        <w:gridCol w:w="100"/>
        <w:gridCol w:w="100"/>
        <w:gridCol w:w="100"/>
      </w:tblGrid>
      <w:tr>
        <w:trPr>
          <w:tblHeader/>
        </w:trPr>
        <w:tc>
          <w:tcPr>
            <w:tcW w:type="dxa" w:w="2450"/>
            <w:shd w:fill="1F4E79" w:color="auto" w:val="clear"/>
            <w:tcMar>
              <w:top w:type="dxa" w:w="80"/>
              <w:left w:type="dxa" w:w="100"/>
              <w:bottom w:type="dxa" w:w="80"/>
              <w:right w:type="dxa" w:w="100"/>
            </w:tcMar>
          </w:tcPr>
          <w:p>
            <w:r>
              <w:rPr>
                <w:b/>
                <w:bCs/>
                <w:color w:val="FFFFFF"/>
                <w:sz w:val="20"/>
                <w:szCs w:val="20"/>
              </w:rPr>
              <w:t xml:space="preserve">Category</w:t>
            </w:r>
          </w:p>
        </w:tc>
        <w:tc>
          <w:tcPr>
            <w:tcW w:type="dxa" w:w="2450"/>
            <w:shd w:fill="1F4E79" w:color="auto" w:val="clear"/>
            <w:tcMar>
              <w:top w:type="dxa" w:w="80"/>
              <w:left w:type="dxa" w:w="100"/>
              <w:bottom w:type="dxa" w:w="80"/>
              <w:right w:type="dxa" w:w="100"/>
            </w:tcMar>
          </w:tcPr>
          <w:p>
            <w:r>
              <w:rPr>
                <w:b/>
                <w:bCs/>
                <w:color w:val="FFFFFF"/>
                <w:sz w:val="20"/>
                <w:szCs w:val="20"/>
              </w:rPr>
              <w:t xml:space="preserve">Options considered</w:t>
            </w:r>
          </w:p>
        </w:tc>
        <w:tc>
          <w:tcPr>
            <w:tcW w:type="dxa" w:w="2450"/>
            <w:shd w:fill="1F4E79" w:color="auto" w:val="clear"/>
            <w:tcMar>
              <w:top w:type="dxa" w:w="80"/>
              <w:left w:type="dxa" w:w="100"/>
              <w:bottom w:type="dxa" w:w="80"/>
              <w:right w:type="dxa" w:w="100"/>
            </w:tcMar>
          </w:tcPr>
          <w:p>
            <w:r>
              <w:rPr>
                <w:b/>
                <w:bCs/>
                <w:color w:val="FFFFFF"/>
                <w:sz w:val="20"/>
                <w:szCs w:val="20"/>
              </w:rPr>
              <w:t xml:space="preserve">Chosen</w:t>
            </w:r>
          </w:p>
        </w:tc>
        <w:tc>
          <w:tcPr>
            <w:tcW w:type="dxa" w:w="2450"/>
            <w:shd w:fill="1F4E79" w:color="auto" w:val="clear"/>
            <w:tcMar>
              <w:top w:type="dxa" w:w="80"/>
              <w:left w:type="dxa" w:w="100"/>
              <w:bottom w:type="dxa" w:w="80"/>
              <w:right w:type="dxa" w:w="100"/>
            </w:tcMar>
          </w:tcPr>
          <w:p>
            <w:r>
              <w:rPr>
                <w:b/>
                <w:bCs/>
                <w:color w:val="FFFFFF"/>
                <w:sz w:val="20"/>
                <w:szCs w:val="20"/>
              </w:rPr>
              <w:t xml:space="preserve">Rationale</w:t>
            </w:r>
          </w:p>
        </w:tc>
      </w:tr>
      <w:tr>
        <w:trPr>
          <w:tblHeader w:val="false"/>
        </w:trPr>
        <w:tc>
          <w:tcPr>
            <w:tcW w:type="dxa" w:w="2450"/>
            <w:tcMar>
              <w:top w:type="dxa" w:w="80"/>
              <w:left w:type="dxa" w:w="100"/>
              <w:bottom w:type="dxa" w:w="80"/>
              <w:right w:type="dxa" w:w="100"/>
            </w:tcMar>
          </w:tcPr>
          <w:p>
            <w:r>
              <w:rPr>
                <w:sz w:val="20"/>
                <w:szCs w:val="20"/>
              </w:rPr>
              <w:t xml:space="preserve">Agent orchestration</w:t>
            </w:r>
          </w:p>
        </w:tc>
        <w:tc>
          <w:tcPr>
            <w:tcW w:type="dxa" w:w="2450"/>
            <w:tcMar>
              <w:top w:type="dxa" w:w="80"/>
              <w:left w:type="dxa" w:w="100"/>
              <w:bottom w:type="dxa" w:w="80"/>
              <w:right w:type="dxa" w:w="100"/>
            </w:tcMar>
          </w:tcPr>
          <w:p>
            <w:r>
              <w:rPr>
                <w:sz w:val="20"/>
                <w:szCs w:val="20"/>
              </w:rPr>
              <w:t xml:space="preserve">LangChain, </w:t>
            </w:r>
            <w:r>
              <w:rPr>
                <w:b/>
                <w:bCs/>
                <w:sz w:val="20"/>
                <w:szCs w:val="20"/>
              </w:rPr>
              <w:t xml:space="preserve">LangGraph</w:t>
            </w:r>
            <w:r>
              <w:rPr>
                <w:sz w:val="20"/>
                <w:szCs w:val="20"/>
              </w:rPr>
              <w:t xml:space="preserve">, CrewAI, LlamaIndex, Haystack</w:t>
            </w:r>
          </w:p>
        </w:tc>
        <w:tc>
          <w:tcPr>
            <w:tcW w:type="dxa" w:w="2450"/>
            <w:tcMar>
              <w:top w:type="dxa" w:w="80"/>
              <w:left w:type="dxa" w:w="100"/>
              <w:bottom w:type="dxa" w:w="80"/>
              <w:right w:type="dxa" w:w="100"/>
            </w:tcMar>
          </w:tcPr>
          <w:p>
            <w:r>
              <w:rPr>
                <w:b/>
                <w:bCs/>
                <w:sz w:val="20"/>
                <w:szCs w:val="20"/>
              </w:rPr>
              <w:t xml:space="preserve">LangGraph</w:t>
            </w:r>
          </w:p>
        </w:tc>
        <w:tc>
          <w:tcPr>
            <w:tcW w:type="dxa" w:w="2450"/>
            <w:tcMar>
              <w:top w:type="dxa" w:w="80"/>
              <w:left w:type="dxa" w:w="100"/>
              <w:bottom w:type="dxa" w:w="80"/>
              <w:right w:type="dxa" w:w="100"/>
            </w:tcMar>
          </w:tcPr>
          <w:p>
            <w:r>
              <w:rPr>
                <w:sz w:val="20"/>
                <w:szCs w:val="20"/>
              </w:rPr>
              <w:t xml:space="preserve">Explicit state machine with native interrupt/resume — required for the human-approval requirement (FR-13); CrewAI's role-based abstraction is a weaker fit for a single-domain, deeply-branching workflow; LlamaIndex/Haystack are stronger for pure retrieval pipelines but weaker for multi-step stateful agents</w:t>
            </w:r>
          </w:p>
        </w:tc>
      </w:tr>
      <w:tr>
        <w:trPr>
          <w:tblHeader w:val="false"/>
        </w:trPr>
        <w:tc>
          <w:tcPr>
            <w:tcW w:type="dxa" w:w="2450"/>
            <w:tcMar>
              <w:top w:type="dxa" w:w="80"/>
              <w:left w:type="dxa" w:w="100"/>
              <w:bottom w:type="dxa" w:w="80"/>
              <w:right w:type="dxa" w:w="100"/>
            </w:tcMar>
          </w:tcPr>
          <w:p>
            <w:r>
              <w:rPr>
                <w:sz w:val="20"/>
                <w:szCs w:val="20"/>
              </w:rPr>
              <w:t xml:space="preserve">Backend framework</w:t>
            </w:r>
          </w:p>
        </w:tc>
        <w:tc>
          <w:tcPr>
            <w:tcW w:type="dxa" w:w="2450"/>
            <w:tcMar>
              <w:top w:type="dxa" w:w="80"/>
              <w:left w:type="dxa" w:w="100"/>
              <w:bottom w:type="dxa" w:w="80"/>
              <w:right w:type="dxa" w:w="100"/>
            </w:tcMar>
          </w:tcPr>
          <w:p>
            <w:r>
              <w:rPr>
                <w:b/>
                <w:bCs/>
                <w:sz w:val="20"/>
                <w:szCs w:val="20"/>
              </w:rPr>
              <w:t xml:space="preserve">FastAPI</w:t>
            </w:r>
            <w:r>
              <w:rPr>
                <w:sz w:val="20"/>
                <w:szCs w:val="20"/>
              </w:rPr>
              <w:t xml:space="preserve">, Django</w:t>
            </w:r>
          </w:p>
        </w:tc>
        <w:tc>
          <w:tcPr>
            <w:tcW w:type="dxa" w:w="2450"/>
            <w:tcMar>
              <w:top w:type="dxa" w:w="80"/>
              <w:left w:type="dxa" w:w="100"/>
              <w:bottom w:type="dxa" w:w="80"/>
              <w:right w:type="dxa" w:w="100"/>
            </w:tcMar>
          </w:tcPr>
          <w:p>
            <w:r>
              <w:rPr>
                <w:b/>
                <w:bCs/>
                <w:sz w:val="20"/>
                <w:szCs w:val="20"/>
              </w:rPr>
              <w:t xml:space="preserve">FastAPI</w:t>
            </w:r>
          </w:p>
        </w:tc>
        <w:tc>
          <w:tcPr>
            <w:tcW w:type="dxa" w:w="2450"/>
            <w:tcMar>
              <w:top w:type="dxa" w:w="80"/>
              <w:left w:type="dxa" w:w="100"/>
              <w:bottom w:type="dxa" w:w="80"/>
              <w:right w:type="dxa" w:w="100"/>
            </w:tcMar>
          </w:tcPr>
          <w:p>
            <w:r>
              <w:rPr>
                <w:sz w:val="20"/>
                <w:szCs w:val="20"/>
              </w:rPr>
              <w:t xml:space="preserve">Async-native (important for streaming LLM responses), lighter weight, native Pydantic validation matching the API contract in Section 13; Django's batteries (admin, ORM) are less relevant since the admin panel (FR-15) is a small custom surface, not a full CRUD app</w:t>
            </w:r>
          </w:p>
        </w:tc>
      </w:tr>
      <w:tr>
        <w:trPr>
          <w:tblHeader w:val="false"/>
        </w:trPr>
        <w:tc>
          <w:tcPr>
            <w:tcW w:type="dxa" w:w="2450"/>
            <w:tcMar>
              <w:top w:type="dxa" w:w="80"/>
              <w:left w:type="dxa" w:w="100"/>
              <w:bottom w:type="dxa" w:w="80"/>
              <w:right w:type="dxa" w:w="100"/>
            </w:tcMar>
          </w:tcPr>
          <w:p>
            <w:r>
              <w:rPr>
                <w:sz w:val="20"/>
                <w:szCs w:val="20"/>
              </w:rPr>
              <w:t xml:space="preserve">Primary datastore</w:t>
            </w:r>
          </w:p>
        </w:tc>
        <w:tc>
          <w:tcPr>
            <w:tcW w:type="dxa" w:w="2450"/>
            <w:tcMar>
              <w:top w:type="dxa" w:w="80"/>
              <w:left w:type="dxa" w:w="100"/>
              <w:bottom w:type="dxa" w:w="80"/>
              <w:right w:type="dxa" w:w="100"/>
            </w:tcMar>
          </w:tcPr>
          <w:p>
            <w:r>
              <w:rPr>
                <w:b/>
                <w:bCs/>
                <w:sz w:val="20"/>
                <w:szCs w:val="20"/>
              </w:rPr>
              <w:t xml:space="preserve">PostgreSQL</w:t>
            </w:r>
            <w:r>
              <w:rPr>
                <w:sz w:val="20"/>
                <w:szCs w:val="20"/>
              </w:rPr>
              <w:t xml:space="preserve">, MongoDB</w:t>
            </w:r>
          </w:p>
        </w:tc>
        <w:tc>
          <w:tcPr>
            <w:tcW w:type="dxa" w:w="2450"/>
            <w:tcMar>
              <w:top w:type="dxa" w:w="80"/>
              <w:left w:type="dxa" w:w="100"/>
              <w:bottom w:type="dxa" w:w="80"/>
              <w:right w:type="dxa" w:w="100"/>
            </w:tcMar>
          </w:tcPr>
          <w:p>
            <w:r>
              <w:rPr>
                <w:b/>
                <w:bCs/>
                <w:sz w:val="20"/>
                <w:szCs w:val="20"/>
              </w:rPr>
              <w:t xml:space="preserve">PostgreSQL</w:t>
            </w:r>
          </w:p>
        </w:tc>
        <w:tc>
          <w:tcPr>
            <w:tcW w:type="dxa" w:w="2450"/>
            <w:tcMar>
              <w:top w:type="dxa" w:w="80"/>
              <w:left w:type="dxa" w:w="100"/>
              <w:bottom w:type="dxa" w:w="80"/>
              <w:right w:type="dxa" w:w="100"/>
            </w:tcMar>
          </w:tcPr>
          <w:p>
            <w:r>
              <w:rPr>
                <w:sz w:val="20"/>
                <w:szCs w:val="20"/>
              </w:rPr>
              <w:t xml:space="preserve">Relational structure fits </w:t>
            </w:r>
            <w:r>
              <w:rPr>
                <w:rFonts w:ascii="Consolas" w:cs="Consolas" w:eastAsia="Consolas" w:hAnsi="Consolas"/>
                <w:sz w:val="20"/>
                <w:szCs w:val="20"/>
                <w:shd w:fill="F0F0F0" w:val="clear"/>
              </w:rPr>
              <w:t xml:space="preserve">reward_rules</w:t>
            </w:r>
            <w:r>
              <w:rPr>
                <w:sz w:val="20"/>
                <w:szCs w:val="20"/>
              </w:rPr>
              <w:t xml:space="preserve">/</w:t>
            </w:r>
            <w:r>
              <w:rPr>
                <w:rFonts w:ascii="Consolas" w:cs="Consolas" w:eastAsia="Consolas" w:hAnsi="Consolas"/>
                <w:sz w:val="20"/>
                <w:szCs w:val="20"/>
                <w:shd w:fill="F0F0F0" w:val="clear"/>
              </w:rPr>
              <w:t xml:space="preserve">transfer_partners</w:t>
            </w:r>
            <w:r>
              <w:rPr>
                <w:sz w:val="20"/>
                <w:szCs w:val="20"/>
              </w:rPr>
              <w:t xml:space="preserve"> naturally; MongoDB's document flexibility isn't needed since the schema is well-understood upfront, and Postgres + pgvector avoids a second database technology</w:t>
            </w:r>
          </w:p>
        </w:tc>
      </w:tr>
      <w:tr>
        <w:trPr>
          <w:tblHeader w:val="false"/>
        </w:trPr>
        <w:tc>
          <w:tcPr>
            <w:tcW w:type="dxa" w:w="2450"/>
            <w:tcMar>
              <w:top w:type="dxa" w:w="80"/>
              <w:left w:type="dxa" w:w="100"/>
              <w:bottom w:type="dxa" w:w="80"/>
              <w:right w:type="dxa" w:w="100"/>
            </w:tcMar>
          </w:tcPr>
          <w:p>
            <w:r>
              <w:rPr>
                <w:sz w:val="20"/>
                <w:szCs w:val="20"/>
              </w:rPr>
              <w:t xml:space="preserve">Vector store</w:t>
            </w:r>
          </w:p>
        </w:tc>
        <w:tc>
          <w:tcPr>
            <w:tcW w:type="dxa" w:w="2450"/>
            <w:tcMar>
              <w:top w:type="dxa" w:w="80"/>
              <w:left w:type="dxa" w:w="100"/>
              <w:bottom w:type="dxa" w:w="80"/>
              <w:right w:type="dxa" w:w="100"/>
            </w:tcMar>
          </w:tcPr>
          <w:p>
            <w:r>
              <w:rPr>
                <w:sz w:val="20"/>
                <w:szCs w:val="20"/>
              </w:rPr>
              <w:t xml:space="preserve">Pinecone, </w:t>
            </w:r>
            <w:r>
              <w:rPr>
                <w:b/>
                <w:bCs/>
                <w:sz w:val="20"/>
                <w:szCs w:val="20"/>
              </w:rPr>
              <w:t xml:space="preserve">pgvector</w:t>
            </w:r>
            <w:r>
              <w:rPr>
                <w:sz w:val="20"/>
                <w:szCs w:val="20"/>
              </w:rPr>
              <w:t xml:space="preserve">, Chroma, Qdrant, Milvus</w:t>
            </w:r>
          </w:p>
        </w:tc>
        <w:tc>
          <w:tcPr>
            <w:tcW w:type="dxa" w:w="2450"/>
            <w:tcMar>
              <w:top w:type="dxa" w:w="80"/>
              <w:left w:type="dxa" w:w="100"/>
              <w:bottom w:type="dxa" w:w="80"/>
              <w:right w:type="dxa" w:w="100"/>
            </w:tcMar>
          </w:tcPr>
          <w:p>
            <w:r>
              <w:rPr>
                <w:b/>
                <w:bCs/>
                <w:sz w:val="20"/>
                <w:szCs w:val="20"/>
              </w:rPr>
              <w:t xml:space="preserve">pgvector</w:t>
            </w:r>
            <w:r>
              <w:rPr>
                <w:sz w:val="20"/>
                <w:szCs w:val="20"/>
              </w:rPr>
              <w:t xml:space="preserve"> (MVP)</w:t>
            </w:r>
          </w:p>
        </w:tc>
        <w:tc>
          <w:tcPr>
            <w:tcW w:type="dxa" w:w="2450"/>
            <w:tcMar>
              <w:top w:type="dxa" w:w="80"/>
              <w:left w:type="dxa" w:w="100"/>
              <w:bottom w:type="dxa" w:w="80"/>
              <w:right w:type="dxa" w:w="100"/>
            </w:tcMar>
          </w:tcPr>
          <w:p>
            <w:r>
              <w:rPr>
                <w:sz w:val="20"/>
                <w:szCs w:val="20"/>
              </w:rPr>
              <w:t xml:space="preserve">Co-locates structured and vector data in one instance at MVP scale, zero extra infra; Pinecone/Qdrant/Milvus are stronger choices past ~1–5M vectors or when needing advanced filtering/sharding at scale — explicitly flagged as the Stage 3+/production migration path rather than a wrong choice for MVP; Chroma is comparable to pgvector for small scale but adds a separate service without co-location benefit</w:t>
            </w:r>
          </w:p>
        </w:tc>
      </w:tr>
    </w:tbl>
    <w:p>
      <w:pPr>
        <w:spacing w:after="200"/>
      </w:pPr>
    </w:p>
    <w:p>
      <w:pPr>
        <w:spacing w:after="160" w:line="300"/>
      </w:pPr>
      <w:r>
        <w:rPr>
          <w:b/>
          <w:bCs/>
        </w:rPr>
        <w:t xml:space="preserve">Trade-off summary:</w:t>
      </w:r>
      <w:r>
        <w:t xml:space="preserve"> every "chosen" technology here optimizes for </w:t>
      </w:r>
      <w:r>
        <w:rPr>
          <w:b/>
          <w:bCs/>
        </w:rPr>
        <w:t xml:space="preserve">MVP velocity and architectural simplicity</w:t>
      </w:r>
      <w:r>
        <w:t xml:space="preserve"> given a small team/solo capstone context (Section 22), while every "alternative" is a legitimate, better choice at a different scale — this trade-off reasoning, not just the final pick, is what evaluators should be shown.</w:t>
      </w:r>
    </w:p>
    <w:p>
      <w:pPr>
        <w:pStyle w:val="Heading1"/>
        <w:pageBreakBefore/>
        <w:spacing w:after="180" w:before="360"/>
      </w:pPr>
      <w:bookmarkStart w:name="sec15" w:id="1"/>
      <w:r>
        <w:t xml:space="preserve">16. Feasibility Study</w:t>
      </w:r>
      <w:bookmarkEnd w:id="1"/>
    </w:p>
    <w:tbl>
      <w:tblPr>
        <w:tblW w:type="dxa" w:w="9800"/>
        <w:tblBorders>
          <w:top w:val="single" w:color="BFBFBF" w:sz="2"/>
          <w:left w:val="single" w:color="BFBFBF" w:sz="2"/>
          <w:bottom w:val="single" w:color="BFBFBF" w:sz="2"/>
          <w:right w:val="single" w:color="BFBFBF" w:sz="2"/>
          <w:insideH w:val="single" w:color="D9D9D9" w:sz="2"/>
          <w:insideV w:val="single" w:color="D9D9D9" w:sz="2"/>
        </w:tblBorders>
      </w:tblPr>
      <w:tblGrid>
        <w:gridCol w:w="100"/>
        <w:gridCol w:w="100"/>
      </w:tblGrid>
      <w:tr>
        <w:trPr>
          <w:tblHeader/>
        </w:trPr>
        <w:tc>
          <w:tcPr>
            <w:tcW w:type="dxa" w:w="4900"/>
            <w:shd w:fill="1F4E79" w:color="auto" w:val="clear"/>
            <w:tcMar>
              <w:top w:type="dxa" w:w="80"/>
              <w:left w:type="dxa" w:w="100"/>
              <w:bottom w:type="dxa" w:w="80"/>
              <w:right w:type="dxa" w:w="100"/>
            </w:tcMar>
          </w:tcPr>
          <w:p>
            <w:r>
              <w:rPr>
                <w:b/>
                <w:bCs/>
                <w:color w:val="FFFFFF"/>
                <w:sz w:val="20"/>
                <w:szCs w:val="20"/>
              </w:rPr>
              <w:t xml:space="preserve">Dimension</w:t>
            </w:r>
          </w:p>
        </w:tc>
        <w:tc>
          <w:tcPr>
            <w:tcW w:type="dxa" w:w="4900"/>
            <w:shd w:fill="1F4E79" w:color="auto" w:val="clear"/>
            <w:tcMar>
              <w:top w:type="dxa" w:w="80"/>
              <w:left w:type="dxa" w:w="100"/>
              <w:bottom w:type="dxa" w:w="80"/>
              <w:right w:type="dxa" w:w="100"/>
            </w:tcMar>
          </w:tcPr>
          <w:p>
            <w:r>
              <w:rPr>
                <w:b/>
                <w:bCs/>
                <w:color w:val="FFFFFF"/>
                <w:sz w:val="20"/>
                <w:szCs w:val="20"/>
              </w:rPr>
              <w:t xml:space="preserve">Assessment</w:t>
            </w:r>
          </w:p>
        </w:tc>
      </w:tr>
      <w:tr>
        <w:trPr>
          <w:tblHeader w:val="false"/>
        </w:trPr>
        <w:tc>
          <w:tcPr>
            <w:tcW w:type="dxa" w:w="4900"/>
            <w:tcMar>
              <w:top w:type="dxa" w:w="80"/>
              <w:left w:type="dxa" w:w="100"/>
              <w:bottom w:type="dxa" w:w="80"/>
              <w:right w:type="dxa" w:w="100"/>
            </w:tcMar>
          </w:tcPr>
          <w:p>
            <w:r>
              <w:rPr>
                <w:b/>
                <w:bCs/>
                <w:sz w:val="20"/>
                <w:szCs w:val="20"/>
              </w:rPr>
              <w:t xml:space="preserve">Technical</w:t>
            </w:r>
          </w:p>
        </w:tc>
        <w:tc>
          <w:tcPr>
            <w:tcW w:type="dxa" w:w="4900"/>
            <w:tcMar>
              <w:top w:type="dxa" w:w="80"/>
              <w:left w:type="dxa" w:w="100"/>
              <w:bottom w:type="dxa" w:w="80"/>
              <w:right w:type="dxa" w:w="100"/>
            </w:tcMar>
          </w:tcPr>
          <w:p>
            <w:r>
              <w:rPr>
                <w:sz w:val="20"/>
                <w:szCs w:val="20"/>
              </w:rPr>
              <w:t xml:space="preserve">High feasibility. All required components (RAG, LangGraph, pgvector, calculator tools) are mature, well-documented patterns as of 2026.</w:t>
            </w:r>
          </w:p>
        </w:tc>
      </w:tr>
      <w:tr>
        <w:trPr>
          <w:tblHeader w:val="false"/>
        </w:trPr>
        <w:tc>
          <w:tcPr>
            <w:tcW w:type="dxa" w:w="4900"/>
            <w:tcMar>
              <w:top w:type="dxa" w:w="80"/>
              <w:left w:type="dxa" w:w="100"/>
              <w:bottom w:type="dxa" w:w="80"/>
              <w:right w:type="dxa" w:w="100"/>
            </w:tcMar>
          </w:tcPr>
          <w:p>
            <w:r>
              <w:rPr>
                <w:b/>
                <w:bCs/>
                <w:sz w:val="20"/>
                <w:szCs w:val="20"/>
              </w:rPr>
              <w:t xml:space="preserve">Operational</w:t>
            </w:r>
          </w:p>
        </w:tc>
        <w:tc>
          <w:tcPr>
            <w:tcW w:type="dxa" w:w="4900"/>
            <w:tcMar>
              <w:top w:type="dxa" w:w="80"/>
              <w:left w:type="dxa" w:w="100"/>
              <w:bottom w:type="dxa" w:w="80"/>
              <w:right w:type="dxa" w:w="100"/>
            </w:tcMar>
          </w:tcPr>
          <w:p>
            <w:r>
              <w:rPr>
                <w:sz w:val="20"/>
                <w:szCs w:val="20"/>
              </w:rPr>
              <w:t xml:space="preserve">Moderate — ongoing card-data maintenance is the real operational burden, not the software itself.</w:t>
            </w:r>
          </w:p>
        </w:tc>
      </w:tr>
      <w:tr>
        <w:trPr>
          <w:tblHeader w:val="false"/>
        </w:trPr>
        <w:tc>
          <w:tcPr>
            <w:tcW w:type="dxa" w:w="4900"/>
            <w:tcMar>
              <w:top w:type="dxa" w:w="80"/>
              <w:left w:type="dxa" w:w="100"/>
              <w:bottom w:type="dxa" w:w="80"/>
              <w:right w:type="dxa" w:w="100"/>
            </w:tcMar>
          </w:tcPr>
          <w:p>
            <w:r>
              <w:rPr>
                <w:b/>
                <w:bCs/>
                <w:sz w:val="20"/>
                <w:szCs w:val="20"/>
              </w:rPr>
              <w:t xml:space="preserve">Economic</w:t>
            </w:r>
          </w:p>
        </w:tc>
        <w:tc>
          <w:tcPr>
            <w:tcW w:type="dxa" w:w="4900"/>
            <w:tcMar>
              <w:top w:type="dxa" w:w="80"/>
              <w:left w:type="dxa" w:w="100"/>
              <w:bottom w:type="dxa" w:w="80"/>
              <w:right w:type="dxa" w:w="100"/>
            </w:tcMar>
          </w:tcPr>
          <w:p>
            <w:r>
              <w:rPr>
                <w:sz w:val="20"/>
                <w:szCs w:val="20"/>
              </w:rPr>
              <w:t xml:space="preserve">High at capstone scale (near-zero infra cost using open-source stack + free-tier LLM credits); monetization feasibility for a commercial version is unproven and would require user research (out of scope here).</w:t>
            </w:r>
          </w:p>
        </w:tc>
      </w:tr>
      <w:tr>
        <w:trPr>
          <w:tblHeader w:val="false"/>
        </w:trPr>
        <w:tc>
          <w:tcPr>
            <w:tcW w:type="dxa" w:w="4900"/>
            <w:tcMar>
              <w:top w:type="dxa" w:w="80"/>
              <w:left w:type="dxa" w:w="100"/>
              <w:bottom w:type="dxa" w:w="80"/>
              <w:right w:type="dxa" w:w="100"/>
            </w:tcMar>
          </w:tcPr>
          <w:p>
            <w:r>
              <w:rPr>
                <w:b/>
                <w:bCs/>
                <w:sz w:val="20"/>
                <w:szCs w:val="20"/>
              </w:rPr>
              <w:t xml:space="preserve">Legal</w:t>
            </w:r>
          </w:p>
        </w:tc>
        <w:tc>
          <w:tcPr>
            <w:tcW w:type="dxa" w:w="4900"/>
            <w:tcMar>
              <w:top w:type="dxa" w:w="80"/>
              <w:left w:type="dxa" w:w="100"/>
              <w:bottom w:type="dxa" w:w="80"/>
              <w:right w:type="dxa" w:w="100"/>
            </w:tcMar>
          </w:tcPr>
          <w:p>
            <w:r>
              <w:rPr>
                <w:sz w:val="20"/>
                <w:szCs w:val="20"/>
              </w:rPr>
              <w:t xml:space="preserve">Moderate risk — must avoid any framing that constitutes regulated financial advice (Section 18); data-sourcing (scraping issuer sites vs. manually curating official PDFs) has ToS implications worth a written policy.</w:t>
            </w:r>
          </w:p>
        </w:tc>
      </w:tr>
      <w:tr>
        <w:trPr>
          <w:tblHeader w:val="false"/>
        </w:trPr>
        <w:tc>
          <w:tcPr>
            <w:tcW w:type="dxa" w:w="4900"/>
            <w:tcMar>
              <w:top w:type="dxa" w:w="80"/>
              <w:left w:type="dxa" w:w="100"/>
              <w:bottom w:type="dxa" w:w="80"/>
              <w:right w:type="dxa" w:w="100"/>
            </w:tcMar>
          </w:tcPr>
          <w:p>
            <w:r>
              <w:rPr>
                <w:b/>
                <w:bCs/>
                <w:sz w:val="20"/>
                <w:szCs w:val="20"/>
              </w:rPr>
              <w:t xml:space="preserve">Schedule</w:t>
            </w:r>
          </w:p>
        </w:tc>
        <w:tc>
          <w:tcPr>
            <w:tcW w:type="dxa" w:w="4900"/>
            <w:tcMar>
              <w:top w:type="dxa" w:w="80"/>
              <w:left w:type="dxa" w:w="100"/>
              <w:bottom w:type="dxa" w:w="80"/>
              <w:right w:type="dxa" w:w="100"/>
            </w:tcMar>
          </w:tcPr>
          <w:p>
            <w:r>
              <w:rPr>
                <w:sz w:val="20"/>
                <w:szCs w:val="20"/>
              </w:rPr>
              <w:t xml:space="preserve">High feasibility within a typical capstone timeline (12–16 weeks) if scoped to the staged plan in Section 21; high risk if the student attempts all 25 sections' worth of ambition simultaneously rather than staged.</w:t>
            </w:r>
          </w:p>
        </w:tc>
      </w:tr>
      <w:tr>
        <w:trPr>
          <w:tblHeader w:val="false"/>
        </w:trPr>
        <w:tc>
          <w:tcPr>
            <w:tcW w:type="dxa" w:w="4900"/>
            <w:tcMar>
              <w:top w:type="dxa" w:w="80"/>
              <w:left w:type="dxa" w:w="100"/>
              <w:bottom w:type="dxa" w:w="80"/>
              <w:right w:type="dxa" w:w="100"/>
            </w:tcMar>
          </w:tcPr>
          <w:p>
            <w:r>
              <w:rPr>
                <w:b/>
                <w:bCs/>
                <w:sz w:val="20"/>
                <w:szCs w:val="20"/>
              </w:rPr>
              <w:t xml:space="preserve">Scalability</w:t>
            </w:r>
          </w:p>
        </w:tc>
        <w:tc>
          <w:tcPr>
            <w:tcW w:type="dxa" w:w="4900"/>
            <w:tcMar>
              <w:top w:type="dxa" w:w="80"/>
              <w:left w:type="dxa" w:w="100"/>
              <w:bottom w:type="dxa" w:w="80"/>
              <w:right w:type="dxa" w:w="100"/>
            </w:tcMar>
          </w:tcPr>
          <w:p>
            <w:r>
              <w:rPr>
                <w:sz w:val="20"/>
                <w:szCs w:val="20"/>
              </w:rPr>
              <w:t xml:space="preserve">High for the architecture pattern; low at current MVP data volume (4–5 cards) — this is intentional, not a flaw.</w:t>
            </w:r>
          </w:p>
        </w:tc>
      </w:tr>
      <w:tr>
        <w:trPr>
          <w:tblHeader w:val="false"/>
        </w:trPr>
        <w:tc>
          <w:tcPr>
            <w:tcW w:type="dxa" w:w="4900"/>
            <w:tcMar>
              <w:top w:type="dxa" w:w="80"/>
              <w:left w:type="dxa" w:w="100"/>
              <w:bottom w:type="dxa" w:w="80"/>
              <w:right w:type="dxa" w:w="100"/>
            </w:tcMar>
          </w:tcPr>
          <w:p>
            <w:r>
              <w:rPr>
                <w:b/>
                <w:bCs/>
                <w:sz w:val="20"/>
                <w:szCs w:val="20"/>
              </w:rPr>
              <w:t xml:space="preserve">Risk</w:t>
            </w:r>
          </w:p>
        </w:tc>
        <w:tc>
          <w:tcPr>
            <w:tcW w:type="dxa" w:w="4900"/>
            <w:tcMar>
              <w:top w:type="dxa" w:w="80"/>
              <w:left w:type="dxa" w:w="100"/>
              <w:bottom w:type="dxa" w:w="80"/>
              <w:right w:type="dxa" w:w="100"/>
            </w:tcMar>
          </w:tcPr>
          <w:p>
            <w:r>
              <w:rPr>
                <w:sz w:val="20"/>
                <w:szCs w:val="20"/>
              </w:rPr>
              <w:t xml:space="preserve">Moderate — dominant risks are hallucination and stale data (Section 17), both directly mitigated by the guardrail/versioning design.</w:t>
            </w:r>
          </w:p>
        </w:tc>
      </w:tr>
      <w:tr>
        <w:trPr>
          <w:tblHeader w:val="false"/>
        </w:trPr>
        <w:tc>
          <w:tcPr>
            <w:tcW w:type="dxa" w:w="4900"/>
            <w:tcMar>
              <w:top w:type="dxa" w:w="80"/>
              <w:left w:type="dxa" w:w="100"/>
              <w:bottom w:type="dxa" w:w="80"/>
              <w:right w:type="dxa" w:w="100"/>
            </w:tcMar>
          </w:tcPr>
          <w:p>
            <w:r>
              <w:rPr>
                <w:b/>
                <w:bCs/>
                <w:sz w:val="20"/>
                <w:szCs w:val="20"/>
              </w:rPr>
              <w:t xml:space="preserve">Academic</w:t>
            </w:r>
          </w:p>
        </w:tc>
        <w:tc>
          <w:tcPr>
            <w:tcW w:type="dxa" w:w="4900"/>
            <w:tcMar>
              <w:top w:type="dxa" w:w="80"/>
              <w:left w:type="dxa" w:w="100"/>
              <w:bottom w:type="dxa" w:w="80"/>
              <w:right w:type="dxa" w:w="100"/>
            </w:tcMar>
          </w:tcPr>
          <w:p>
            <w:r>
              <w:rPr>
                <w:sz w:val="20"/>
                <w:szCs w:val="20"/>
              </w:rPr>
              <w:t xml:space="preserve">High — the project maps cleanly onto standard rubric criteria (system design, evaluation rigor, novel application) common in AI/ML capstone programs.</w:t>
            </w:r>
          </w:p>
        </w:tc>
      </w:tr>
    </w:tbl>
    <w:p>
      <w:pPr>
        <w:spacing w:after="200"/>
      </w:pPr>
    </w:p>
    <w:p>
      <w:pPr>
        <w:pStyle w:val="Heading1"/>
        <w:pageBreakBefore/>
        <w:spacing w:after="180" w:before="360"/>
      </w:pPr>
      <w:bookmarkStart w:name="sec16" w:id="1"/>
      <w:r>
        <w:t xml:space="preserve">17. Risk Analysis</w:t>
      </w:r>
      <w:bookmarkEnd w:id="1"/>
    </w:p>
    <w:tbl>
      <w:tblPr>
        <w:tblW w:type="dxa" w:w="9800"/>
        <w:tblBorders>
          <w:top w:val="single" w:color="BFBFBF" w:sz="2"/>
          <w:left w:val="single" w:color="BFBFBF" w:sz="2"/>
          <w:bottom w:val="single" w:color="BFBFBF" w:sz="2"/>
          <w:right w:val="single" w:color="BFBFBF" w:sz="2"/>
          <w:insideH w:val="single" w:color="D9D9D9" w:sz="2"/>
          <w:insideV w:val="single" w:color="D9D9D9" w:sz="2"/>
        </w:tblBorders>
      </w:tblPr>
      <w:tblGrid>
        <w:gridCol w:w="100"/>
        <w:gridCol w:w="100"/>
        <w:gridCol w:w="100"/>
        <w:gridCol w:w="100"/>
        <w:gridCol w:w="100"/>
        <w:gridCol w:w="100"/>
      </w:tblGrid>
      <w:tr>
        <w:trPr>
          <w:tblHeader/>
        </w:trPr>
        <w:tc>
          <w:tcPr>
            <w:tcW w:type="dxa" w:w="2450"/>
            <w:shd w:fill="1F4E79" w:color="auto" w:val="clear"/>
            <w:tcMar>
              <w:top w:type="dxa" w:w="80"/>
              <w:left w:type="dxa" w:w="100"/>
              <w:bottom w:type="dxa" w:w="80"/>
              <w:right w:type="dxa" w:w="100"/>
            </w:tcMar>
          </w:tcPr>
          <w:p>
            <w:r>
              <w:rPr>
                <w:b/>
                <w:bCs/>
                <w:color w:val="FFFFFF"/>
                <w:sz w:val="20"/>
                <w:szCs w:val="20"/>
              </w:rPr>
              <w:t xml:space="preserve">Risk</w:t>
            </w:r>
          </w:p>
        </w:tc>
        <w:tc>
          <w:tcPr>
            <w:tcW w:type="dxa" w:w="1225"/>
            <w:shd w:fill="1F4E79" w:color="auto" w:val="clear"/>
            <w:tcMar>
              <w:top w:type="dxa" w:w="80"/>
              <w:left w:type="dxa" w:w="100"/>
              <w:bottom w:type="dxa" w:w="80"/>
              <w:right w:type="dxa" w:w="100"/>
            </w:tcMar>
          </w:tcPr>
          <w:p>
            <w:r>
              <w:rPr>
                <w:b/>
                <w:bCs/>
                <w:color w:val="FFFFFF"/>
                <w:sz w:val="20"/>
                <w:szCs w:val="20"/>
              </w:rPr>
              <w:t xml:space="preserve">Category</w:t>
            </w:r>
          </w:p>
        </w:tc>
        <w:tc>
          <w:tcPr>
            <w:tcW w:type="dxa" w:w="1225"/>
            <w:shd w:fill="1F4E79" w:color="auto" w:val="clear"/>
            <w:tcMar>
              <w:top w:type="dxa" w:w="80"/>
              <w:left w:type="dxa" w:w="100"/>
              <w:bottom w:type="dxa" w:w="80"/>
              <w:right w:type="dxa" w:w="100"/>
            </w:tcMar>
          </w:tcPr>
          <w:p>
            <w:r>
              <w:rPr>
                <w:b/>
                <w:bCs/>
                <w:color w:val="FFFFFF"/>
                <w:sz w:val="20"/>
                <w:szCs w:val="20"/>
              </w:rPr>
              <w:t xml:space="preserve">Likelihood</w:t>
            </w:r>
          </w:p>
        </w:tc>
        <w:tc>
          <w:tcPr>
            <w:tcW w:type="dxa" w:w="1225"/>
            <w:shd w:fill="1F4E79" w:color="auto" w:val="clear"/>
            <w:tcMar>
              <w:top w:type="dxa" w:w="80"/>
              <w:left w:type="dxa" w:w="100"/>
              <w:bottom w:type="dxa" w:w="80"/>
              <w:right w:type="dxa" w:w="100"/>
            </w:tcMar>
          </w:tcPr>
          <w:p>
            <w:r>
              <w:rPr>
                <w:b/>
                <w:bCs/>
                <w:color w:val="FFFFFF"/>
                <w:sz w:val="20"/>
                <w:szCs w:val="20"/>
              </w:rPr>
              <w:t xml:space="preserve">Impact</w:t>
            </w:r>
          </w:p>
        </w:tc>
        <w:tc>
          <w:tcPr>
            <w:tcW w:type="dxa" w:w="1225"/>
            <w:shd w:fill="1F4E79" w:color="auto" w:val="clear"/>
            <w:tcMar>
              <w:top w:type="dxa" w:w="80"/>
              <w:left w:type="dxa" w:w="100"/>
              <w:bottom w:type="dxa" w:w="80"/>
              <w:right w:type="dxa" w:w="100"/>
            </w:tcMar>
          </w:tcPr>
          <w:p>
            <w:r>
              <w:rPr>
                <w:b/>
                <w:bCs/>
                <w:color w:val="FFFFFF"/>
                <w:sz w:val="20"/>
                <w:szCs w:val="20"/>
              </w:rPr>
              <w:t xml:space="preserve">Priority</w:t>
            </w:r>
          </w:p>
        </w:tc>
        <w:tc>
          <w:tcPr>
            <w:tcW w:type="dxa" w:w="2450"/>
            <w:shd w:fill="1F4E79" w:color="auto" w:val="clear"/>
            <w:tcMar>
              <w:top w:type="dxa" w:w="80"/>
              <w:left w:type="dxa" w:w="100"/>
              <w:bottom w:type="dxa" w:w="80"/>
              <w:right w:type="dxa" w:w="100"/>
            </w:tcMar>
          </w:tcPr>
          <w:p>
            <w:r>
              <w:rPr>
                <w:b/>
                <w:bCs/>
                <w:color w:val="FFFFFF"/>
                <w:sz w:val="20"/>
                <w:szCs w:val="20"/>
              </w:rPr>
              <w:t xml:space="preserve">Mitigation</w:t>
            </w:r>
          </w:p>
        </w:tc>
      </w:tr>
      <w:tr>
        <w:trPr>
          <w:tblHeader w:val="false"/>
        </w:trPr>
        <w:tc>
          <w:tcPr>
            <w:tcW w:type="dxa" w:w="2450"/>
            <w:tcMar>
              <w:top w:type="dxa" w:w="80"/>
              <w:left w:type="dxa" w:w="100"/>
              <w:bottom w:type="dxa" w:w="80"/>
              <w:right w:type="dxa" w:w="100"/>
            </w:tcMar>
          </w:tcPr>
          <w:p>
            <w:r>
              <w:rPr>
                <w:sz w:val="20"/>
                <w:szCs w:val="20"/>
              </w:rPr>
              <w:t xml:space="preserve">LLM invents a reward rate not present in retrieved evidence</w:t>
            </w:r>
          </w:p>
        </w:tc>
        <w:tc>
          <w:tcPr>
            <w:tcW w:type="dxa" w:w="1225"/>
            <w:tcMar>
              <w:top w:type="dxa" w:w="80"/>
              <w:left w:type="dxa" w:w="100"/>
              <w:bottom w:type="dxa" w:w="80"/>
              <w:right w:type="dxa" w:w="100"/>
            </w:tcMar>
          </w:tcPr>
          <w:p>
            <w:r>
              <w:rPr>
                <w:sz w:val="20"/>
                <w:szCs w:val="20"/>
              </w:rPr>
              <w:t xml:space="preserve">AI Hallucination</w:t>
            </w:r>
          </w:p>
        </w:tc>
        <w:tc>
          <w:tcPr>
            <w:tcW w:type="dxa" w:w="1225"/>
            <w:tcMar>
              <w:top w:type="dxa" w:w="80"/>
              <w:left w:type="dxa" w:w="100"/>
              <w:bottom w:type="dxa" w:w="80"/>
              <w:right w:type="dxa" w:w="100"/>
            </w:tcMar>
          </w:tcPr>
          <w:p>
            <w:r>
              <w:rPr>
                <w:sz w:val="20"/>
                <w:szCs w:val="20"/>
              </w:rPr>
              <w:t xml:space="preserve">Medium</w:t>
            </w:r>
          </w:p>
        </w:tc>
        <w:tc>
          <w:tcPr>
            <w:tcW w:type="dxa" w:w="1225"/>
            <w:tcMar>
              <w:top w:type="dxa" w:w="80"/>
              <w:left w:type="dxa" w:w="100"/>
              <w:bottom w:type="dxa" w:w="80"/>
              <w:right w:type="dxa" w:w="100"/>
            </w:tcMar>
          </w:tcPr>
          <w:p>
            <w:r>
              <w:rPr>
                <w:sz w:val="20"/>
                <w:szCs w:val="20"/>
              </w:rPr>
              <w:t xml:space="preserve">High</w:t>
            </w:r>
          </w:p>
        </w:tc>
        <w:tc>
          <w:tcPr>
            <w:tcW w:type="dxa" w:w="1225"/>
            <w:tcMar>
              <w:top w:type="dxa" w:w="80"/>
              <w:left w:type="dxa" w:w="100"/>
              <w:bottom w:type="dxa" w:w="80"/>
              <w:right w:type="dxa" w:w="100"/>
            </w:tcMar>
          </w:tcPr>
          <w:p>
            <w:r>
              <w:rPr>
                <w:sz w:val="20"/>
                <w:szCs w:val="20"/>
              </w:rPr>
              <w:t xml:space="preserve">P0</w:t>
            </w:r>
          </w:p>
        </w:tc>
        <w:tc>
          <w:tcPr>
            <w:tcW w:type="dxa" w:w="2450"/>
            <w:tcMar>
              <w:top w:type="dxa" w:w="80"/>
              <w:left w:type="dxa" w:w="100"/>
              <w:bottom w:type="dxa" w:w="80"/>
              <w:right w:type="dxa" w:w="100"/>
            </w:tcMar>
          </w:tcPr>
          <w:p>
            <w:r>
              <w:rPr>
                <w:sz w:val="20"/>
                <w:szCs w:val="20"/>
              </w:rPr>
              <w:t xml:space="preserve">Guardrail node checks every numeric claim traces to a retrieved chunk or calculator output; refuse if not</w:t>
            </w:r>
          </w:p>
        </w:tc>
      </w:tr>
      <w:tr>
        <w:trPr>
          <w:tblHeader w:val="false"/>
        </w:trPr>
        <w:tc>
          <w:tcPr>
            <w:tcW w:type="dxa" w:w="2450"/>
            <w:tcMar>
              <w:top w:type="dxa" w:w="80"/>
              <w:left w:type="dxa" w:w="100"/>
              <w:bottom w:type="dxa" w:w="80"/>
              <w:right w:type="dxa" w:w="100"/>
            </w:tcMar>
          </w:tcPr>
          <w:p>
            <w:r>
              <w:rPr>
                <w:sz w:val="20"/>
                <w:szCs w:val="20"/>
              </w:rPr>
              <w:t xml:space="preserve">Prompt injection via malicious content embedded in an ingested PDF</w:t>
            </w:r>
          </w:p>
        </w:tc>
        <w:tc>
          <w:tcPr>
            <w:tcW w:type="dxa" w:w="1225"/>
            <w:tcMar>
              <w:top w:type="dxa" w:w="80"/>
              <w:left w:type="dxa" w:w="100"/>
              <w:bottom w:type="dxa" w:w="80"/>
              <w:right w:type="dxa" w:w="100"/>
            </w:tcMar>
          </w:tcPr>
          <w:p>
            <w:r>
              <w:rPr>
                <w:sz w:val="20"/>
                <w:szCs w:val="20"/>
              </w:rPr>
              <w:t xml:space="preserve">Prompt Injection</w:t>
            </w:r>
          </w:p>
        </w:tc>
        <w:tc>
          <w:tcPr>
            <w:tcW w:type="dxa" w:w="1225"/>
            <w:tcMar>
              <w:top w:type="dxa" w:w="80"/>
              <w:left w:type="dxa" w:w="100"/>
              <w:bottom w:type="dxa" w:w="80"/>
              <w:right w:type="dxa" w:w="100"/>
            </w:tcMar>
          </w:tcPr>
          <w:p>
            <w:r>
              <w:rPr>
                <w:sz w:val="20"/>
                <w:szCs w:val="20"/>
              </w:rPr>
              <w:t xml:space="preserve">Low-Medium</w:t>
            </w:r>
          </w:p>
        </w:tc>
        <w:tc>
          <w:tcPr>
            <w:tcW w:type="dxa" w:w="1225"/>
            <w:tcMar>
              <w:top w:type="dxa" w:w="80"/>
              <w:left w:type="dxa" w:w="100"/>
              <w:bottom w:type="dxa" w:w="80"/>
              <w:right w:type="dxa" w:w="100"/>
            </w:tcMar>
          </w:tcPr>
          <w:p>
            <w:r>
              <w:rPr>
                <w:sz w:val="20"/>
                <w:szCs w:val="20"/>
              </w:rPr>
              <w:t xml:space="preserve">High</w:t>
            </w:r>
          </w:p>
        </w:tc>
        <w:tc>
          <w:tcPr>
            <w:tcW w:type="dxa" w:w="1225"/>
            <w:tcMar>
              <w:top w:type="dxa" w:w="80"/>
              <w:left w:type="dxa" w:w="100"/>
              <w:bottom w:type="dxa" w:w="80"/>
              <w:right w:type="dxa" w:w="100"/>
            </w:tcMar>
          </w:tcPr>
          <w:p>
            <w:r>
              <w:rPr>
                <w:sz w:val="20"/>
                <w:szCs w:val="20"/>
              </w:rPr>
              <w:t xml:space="preserve">P0</w:t>
            </w:r>
          </w:p>
        </w:tc>
        <w:tc>
          <w:tcPr>
            <w:tcW w:type="dxa" w:w="2450"/>
            <w:tcMar>
              <w:top w:type="dxa" w:w="80"/>
              <w:left w:type="dxa" w:w="100"/>
              <w:bottom w:type="dxa" w:w="80"/>
              <w:right w:type="dxa" w:w="100"/>
            </w:tcMar>
          </w:tcPr>
          <w:p>
            <w:r>
              <w:rPr>
                <w:sz w:val="20"/>
                <w:szCs w:val="20"/>
              </w:rPr>
              <w:t xml:space="preserve">Treat ingested document text as data, never as instructions; sanitize/strip instruction-like patterns during ingestion; never let retrieved chunk content alter system-level behavior</w:t>
            </w:r>
          </w:p>
        </w:tc>
      </w:tr>
      <w:tr>
        <w:trPr>
          <w:tblHeader w:val="false"/>
        </w:trPr>
        <w:tc>
          <w:tcPr>
            <w:tcW w:type="dxa" w:w="2450"/>
            <w:tcMar>
              <w:top w:type="dxa" w:w="80"/>
              <w:left w:type="dxa" w:w="100"/>
              <w:bottom w:type="dxa" w:w="80"/>
              <w:right w:type="dxa" w:w="100"/>
            </w:tcMar>
          </w:tcPr>
          <w:p>
            <w:r>
              <w:rPr>
                <w:sz w:val="20"/>
                <w:szCs w:val="20"/>
              </w:rPr>
              <w:t xml:space="preserve">Retrieval returns a rule from the wrong card due to embedding similarity across similar cards</w:t>
            </w:r>
          </w:p>
        </w:tc>
        <w:tc>
          <w:tcPr>
            <w:tcW w:type="dxa" w:w="1225"/>
            <w:tcMar>
              <w:top w:type="dxa" w:w="80"/>
              <w:left w:type="dxa" w:w="100"/>
              <w:bottom w:type="dxa" w:w="80"/>
              <w:right w:type="dxa" w:w="100"/>
            </w:tcMar>
          </w:tcPr>
          <w:p>
            <w:r>
              <w:rPr>
                <w:sz w:val="20"/>
                <w:szCs w:val="20"/>
              </w:rPr>
              <w:t xml:space="preserve">Technical</w:t>
            </w:r>
          </w:p>
        </w:tc>
        <w:tc>
          <w:tcPr>
            <w:tcW w:type="dxa" w:w="1225"/>
            <w:tcMar>
              <w:top w:type="dxa" w:w="80"/>
              <w:left w:type="dxa" w:w="100"/>
              <w:bottom w:type="dxa" w:w="80"/>
              <w:right w:type="dxa" w:w="100"/>
            </w:tcMar>
          </w:tcPr>
          <w:p>
            <w:r>
              <w:rPr>
                <w:sz w:val="20"/>
                <w:szCs w:val="20"/>
              </w:rPr>
              <w:t xml:space="preserve">Medium</w:t>
            </w:r>
          </w:p>
        </w:tc>
        <w:tc>
          <w:tcPr>
            <w:tcW w:type="dxa" w:w="1225"/>
            <w:tcMar>
              <w:top w:type="dxa" w:w="80"/>
              <w:left w:type="dxa" w:w="100"/>
              <w:bottom w:type="dxa" w:w="80"/>
              <w:right w:type="dxa" w:w="100"/>
            </w:tcMar>
          </w:tcPr>
          <w:p>
            <w:r>
              <w:rPr>
                <w:sz w:val="20"/>
                <w:szCs w:val="20"/>
              </w:rPr>
              <w:t xml:space="preserve">High</w:t>
            </w:r>
          </w:p>
        </w:tc>
        <w:tc>
          <w:tcPr>
            <w:tcW w:type="dxa" w:w="1225"/>
            <w:tcMar>
              <w:top w:type="dxa" w:w="80"/>
              <w:left w:type="dxa" w:w="100"/>
              <w:bottom w:type="dxa" w:w="80"/>
              <w:right w:type="dxa" w:w="100"/>
            </w:tcMar>
          </w:tcPr>
          <w:p>
            <w:r>
              <w:rPr>
                <w:sz w:val="20"/>
                <w:szCs w:val="20"/>
              </w:rPr>
              <w:t xml:space="preserve">P0</w:t>
            </w:r>
          </w:p>
        </w:tc>
        <w:tc>
          <w:tcPr>
            <w:tcW w:type="dxa" w:w="2450"/>
            <w:tcMar>
              <w:top w:type="dxa" w:w="80"/>
              <w:left w:type="dxa" w:w="100"/>
              <w:bottom w:type="dxa" w:w="80"/>
              <w:right w:type="dxa" w:w="100"/>
            </w:tcMar>
          </w:tcPr>
          <w:p>
            <w:r>
              <w:rPr>
                <w:sz w:val="20"/>
                <w:szCs w:val="20"/>
              </w:rPr>
              <w:t xml:space="preserve">Mandatory metadata filter by </w:t>
            </w:r>
            <w:r>
              <w:rPr>
                <w:rFonts w:ascii="Consolas" w:cs="Consolas" w:eastAsia="Consolas" w:hAnsi="Consolas"/>
                <w:sz w:val="20"/>
                <w:szCs w:val="20"/>
                <w:shd w:fill="F0F0F0" w:val="clear"/>
              </w:rPr>
              <w:t xml:space="preserve">card_name</w:t>
            </w:r>
            <w:r>
              <w:rPr>
                <w:sz w:val="20"/>
                <w:szCs w:val="20"/>
              </w:rPr>
              <w:t xml:space="preserve"> before/alongside vector search</w:t>
            </w:r>
          </w:p>
        </w:tc>
      </w:tr>
      <w:tr>
        <w:trPr>
          <w:tblHeader w:val="false"/>
        </w:trPr>
        <w:tc>
          <w:tcPr>
            <w:tcW w:type="dxa" w:w="2450"/>
            <w:tcMar>
              <w:top w:type="dxa" w:w="80"/>
              <w:left w:type="dxa" w:w="100"/>
              <w:bottom w:type="dxa" w:w="80"/>
              <w:right w:type="dxa" w:w="100"/>
            </w:tcMar>
          </w:tcPr>
          <w:p>
            <w:r>
              <w:rPr>
                <w:sz w:val="20"/>
                <w:szCs w:val="20"/>
              </w:rPr>
              <w:t xml:space="preserve">Card issuer changes terms; stale rule is served</w:t>
            </w:r>
          </w:p>
        </w:tc>
        <w:tc>
          <w:tcPr>
            <w:tcW w:type="dxa" w:w="1225"/>
            <w:tcMar>
              <w:top w:type="dxa" w:w="80"/>
              <w:left w:type="dxa" w:w="100"/>
              <w:bottom w:type="dxa" w:w="80"/>
              <w:right w:type="dxa" w:w="100"/>
            </w:tcMar>
          </w:tcPr>
          <w:p>
            <w:r>
              <w:rPr>
                <w:sz w:val="20"/>
                <w:szCs w:val="20"/>
              </w:rPr>
              <w:t xml:space="preserve">Data Poisoning (staleness)</w:t>
            </w:r>
          </w:p>
        </w:tc>
        <w:tc>
          <w:tcPr>
            <w:tcW w:type="dxa" w:w="1225"/>
            <w:tcMar>
              <w:top w:type="dxa" w:w="80"/>
              <w:left w:type="dxa" w:w="100"/>
              <w:bottom w:type="dxa" w:w="80"/>
              <w:right w:type="dxa" w:w="100"/>
            </w:tcMar>
          </w:tcPr>
          <w:p>
            <w:r>
              <w:rPr>
                <w:sz w:val="20"/>
                <w:szCs w:val="20"/>
              </w:rPr>
              <w:t xml:space="preserve">High</w:t>
            </w:r>
          </w:p>
        </w:tc>
        <w:tc>
          <w:tcPr>
            <w:tcW w:type="dxa" w:w="1225"/>
            <w:tcMar>
              <w:top w:type="dxa" w:w="80"/>
              <w:left w:type="dxa" w:w="100"/>
              <w:bottom w:type="dxa" w:w="80"/>
              <w:right w:type="dxa" w:w="100"/>
            </w:tcMar>
          </w:tcPr>
          <w:p>
            <w:r>
              <w:rPr>
                <w:sz w:val="20"/>
                <w:szCs w:val="20"/>
              </w:rPr>
              <w:t xml:space="preserve">High</w:t>
            </w:r>
          </w:p>
        </w:tc>
        <w:tc>
          <w:tcPr>
            <w:tcW w:type="dxa" w:w="1225"/>
            <w:tcMar>
              <w:top w:type="dxa" w:w="80"/>
              <w:left w:type="dxa" w:w="100"/>
              <w:bottom w:type="dxa" w:w="80"/>
              <w:right w:type="dxa" w:w="100"/>
            </w:tcMar>
          </w:tcPr>
          <w:p>
            <w:r>
              <w:rPr>
                <w:sz w:val="20"/>
                <w:szCs w:val="20"/>
              </w:rPr>
              <w:t xml:space="preserve">P0</w:t>
            </w:r>
          </w:p>
        </w:tc>
        <w:tc>
          <w:tcPr>
            <w:tcW w:type="dxa" w:w="2450"/>
            <w:tcMar>
              <w:top w:type="dxa" w:w="80"/>
              <w:left w:type="dxa" w:w="100"/>
              <w:bottom w:type="dxa" w:w="80"/>
              <w:right w:type="dxa" w:w="100"/>
            </w:tcMar>
          </w:tcPr>
          <w:p>
            <w:r>
              <w:rPr>
                <w:rFonts w:ascii="Consolas" w:cs="Consolas" w:eastAsia="Consolas" w:hAnsi="Consolas"/>
                <w:sz w:val="20"/>
                <w:szCs w:val="20"/>
                <w:shd w:fill="F0F0F0" w:val="clear"/>
              </w:rPr>
              <w:t xml:space="preserve">effective_date</w:t>
            </w:r>
            <w:r>
              <w:rPr>
                <w:sz w:val="20"/>
                <w:szCs w:val="20"/>
              </w:rPr>
              <w:t xml:space="preserve"> versioning; scheduled re-ingestion reminders; UI always displays the effective date of cited rules</w:t>
            </w:r>
          </w:p>
        </w:tc>
      </w:tr>
      <w:tr>
        <w:trPr>
          <w:tblHeader w:val="false"/>
        </w:trPr>
        <w:tc>
          <w:tcPr>
            <w:tcW w:type="dxa" w:w="2450"/>
            <w:tcMar>
              <w:top w:type="dxa" w:w="80"/>
              <w:left w:type="dxa" w:w="100"/>
              <w:bottom w:type="dxa" w:w="80"/>
              <w:right w:type="dxa" w:w="100"/>
            </w:tcMar>
          </w:tcPr>
          <w:p>
            <w:r>
              <w:rPr>
                <w:sz w:val="20"/>
                <w:szCs w:val="20"/>
              </w:rPr>
              <w:t xml:space="preserve">Calculator misapplied to wrong reward_unit (e.g., miles treated as ₹ 1:1 without conversion)</w:t>
            </w:r>
          </w:p>
        </w:tc>
        <w:tc>
          <w:tcPr>
            <w:tcW w:type="dxa" w:w="1225"/>
            <w:tcMar>
              <w:top w:type="dxa" w:w="80"/>
              <w:left w:type="dxa" w:w="100"/>
              <w:bottom w:type="dxa" w:w="80"/>
              <w:right w:type="dxa" w:w="100"/>
            </w:tcMar>
          </w:tcPr>
          <w:p>
            <w:r>
              <w:rPr>
                <w:sz w:val="20"/>
                <w:szCs w:val="20"/>
              </w:rPr>
              <w:t xml:space="preserve">Technical</w:t>
            </w:r>
          </w:p>
        </w:tc>
        <w:tc>
          <w:tcPr>
            <w:tcW w:type="dxa" w:w="1225"/>
            <w:tcMar>
              <w:top w:type="dxa" w:w="80"/>
              <w:left w:type="dxa" w:w="100"/>
              <w:bottom w:type="dxa" w:w="80"/>
              <w:right w:type="dxa" w:w="100"/>
            </w:tcMar>
          </w:tcPr>
          <w:p>
            <w:r>
              <w:rPr>
                <w:sz w:val="20"/>
                <w:szCs w:val="20"/>
              </w:rPr>
              <w:t xml:space="preserve">Medium</w:t>
            </w:r>
          </w:p>
        </w:tc>
        <w:tc>
          <w:tcPr>
            <w:tcW w:type="dxa" w:w="1225"/>
            <w:tcMar>
              <w:top w:type="dxa" w:w="80"/>
              <w:left w:type="dxa" w:w="100"/>
              <w:bottom w:type="dxa" w:w="80"/>
              <w:right w:type="dxa" w:w="100"/>
            </w:tcMar>
          </w:tcPr>
          <w:p>
            <w:r>
              <w:rPr>
                <w:sz w:val="20"/>
                <w:szCs w:val="20"/>
              </w:rPr>
              <w:t xml:space="preserve">Medium</w:t>
            </w:r>
          </w:p>
        </w:tc>
        <w:tc>
          <w:tcPr>
            <w:tcW w:type="dxa" w:w="1225"/>
            <w:tcMar>
              <w:top w:type="dxa" w:w="80"/>
              <w:left w:type="dxa" w:w="100"/>
              <w:bottom w:type="dxa" w:w="80"/>
              <w:right w:type="dxa" w:w="100"/>
            </w:tcMar>
          </w:tcPr>
          <w:p>
            <w:r>
              <w:rPr>
                <w:sz w:val="20"/>
                <w:szCs w:val="20"/>
              </w:rPr>
              <w:t xml:space="preserve">P1</w:t>
            </w:r>
          </w:p>
        </w:tc>
        <w:tc>
          <w:tcPr>
            <w:tcW w:type="dxa" w:w="2450"/>
            <w:tcMar>
              <w:top w:type="dxa" w:w="80"/>
              <w:left w:type="dxa" w:w="100"/>
              <w:bottom w:type="dxa" w:w="80"/>
              <w:right w:type="dxa" w:w="100"/>
            </w:tcMar>
          </w:tcPr>
          <w:p>
            <w:r>
              <w:rPr>
                <w:sz w:val="20"/>
                <w:szCs w:val="20"/>
              </w:rPr>
              <w:t xml:space="preserve">Explicit reward_unit field validated against a known-unit enum; unit-tested conversion paths</w:t>
            </w:r>
          </w:p>
        </w:tc>
      </w:tr>
      <w:tr>
        <w:trPr>
          <w:tblHeader w:val="false"/>
        </w:trPr>
        <w:tc>
          <w:tcPr>
            <w:tcW w:type="dxa" w:w="2450"/>
            <w:tcMar>
              <w:top w:type="dxa" w:w="80"/>
              <w:left w:type="dxa" w:w="100"/>
              <w:bottom w:type="dxa" w:w="80"/>
              <w:right w:type="dxa" w:w="100"/>
            </w:tcMar>
          </w:tcPr>
          <w:p>
            <w:r>
              <w:rPr>
                <w:sz w:val="20"/>
                <w:szCs w:val="20"/>
              </w:rPr>
              <w:t xml:space="preserve">LLM/embedding API rate limits or outage</w:t>
            </w:r>
          </w:p>
        </w:tc>
        <w:tc>
          <w:tcPr>
            <w:tcW w:type="dxa" w:w="1225"/>
            <w:tcMar>
              <w:top w:type="dxa" w:w="80"/>
              <w:left w:type="dxa" w:w="100"/>
              <w:bottom w:type="dxa" w:w="80"/>
              <w:right w:type="dxa" w:w="100"/>
            </w:tcMar>
          </w:tcPr>
          <w:p>
            <w:r>
              <w:rPr>
                <w:sz w:val="20"/>
                <w:szCs w:val="20"/>
              </w:rPr>
              <w:t xml:space="preserve">Rate Limits</w:t>
            </w:r>
          </w:p>
        </w:tc>
        <w:tc>
          <w:tcPr>
            <w:tcW w:type="dxa" w:w="1225"/>
            <w:tcMar>
              <w:top w:type="dxa" w:w="80"/>
              <w:left w:type="dxa" w:w="100"/>
              <w:bottom w:type="dxa" w:w="80"/>
              <w:right w:type="dxa" w:w="100"/>
            </w:tcMar>
          </w:tcPr>
          <w:p>
            <w:r>
              <w:rPr>
                <w:sz w:val="20"/>
                <w:szCs w:val="20"/>
              </w:rPr>
              <w:t xml:space="preserve">Low-Medium</w:t>
            </w:r>
          </w:p>
        </w:tc>
        <w:tc>
          <w:tcPr>
            <w:tcW w:type="dxa" w:w="1225"/>
            <w:tcMar>
              <w:top w:type="dxa" w:w="80"/>
              <w:left w:type="dxa" w:w="100"/>
              <w:bottom w:type="dxa" w:w="80"/>
              <w:right w:type="dxa" w:w="100"/>
            </w:tcMar>
          </w:tcPr>
          <w:p>
            <w:r>
              <w:rPr>
                <w:sz w:val="20"/>
                <w:szCs w:val="20"/>
              </w:rPr>
              <w:t xml:space="preserve">Medium</w:t>
            </w:r>
          </w:p>
        </w:tc>
        <w:tc>
          <w:tcPr>
            <w:tcW w:type="dxa" w:w="1225"/>
            <w:tcMar>
              <w:top w:type="dxa" w:w="80"/>
              <w:left w:type="dxa" w:w="100"/>
              <w:bottom w:type="dxa" w:w="80"/>
              <w:right w:type="dxa" w:w="100"/>
            </w:tcMar>
          </w:tcPr>
          <w:p>
            <w:r>
              <w:rPr>
                <w:sz w:val="20"/>
                <w:szCs w:val="20"/>
              </w:rPr>
              <w:t xml:space="preserve">P1</w:t>
            </w:r>
          </w:p>
        </w:tc>
        <w:tc>
          <w:tcPr>
            <w:tcW w:type="dxa" w:w="2450"/>
            <w:tcMar>
              <w:top w:type="dxa" w:w="80"/>
              <w:left w:type="dxa" w:w="100"/>
              <w:bottom w:type="dxa" w:w="80"/>
              <w:right w:type="dxa" w:w="100"/>
            </w:tcMar>
          </w:tcPr>
          <w:p>
            <w:r>
              <w:rPr>
                <w:sz w:val="20"/>
                <w:szCs w:val="20"/>
              </w:rPr>
              <w:t xml:space="preserve">Retry with backoff; graceful degradation to "temporarily unavailable," never silent fallback to ungrounded answer</w:t>
            </w:r>
          </w:p>
        </w:tc>
      </w:tr>
      <w:tr>
        <w:trPr>
          <w:tblHeader w:val="false"/>
        </w:trPr>
        <w:tc>
          <w:tcPr>
            <w:tcW w:type="dxa" w:w="2450"/>
            <w:tcMar>
              <w:top w:type="dxa" w:w="80"/>
              <w:left w:type="dxa" w:w="100"/>
              <w:bottom w:type="dxa" w:w="80"/>
              <w:right w:type="dxa" w:w="100"/>
            </w:tcMar>
          </w:tcPr>
          <w:p>
            <w:r>
              <w:rPr>
                <w:sz w:val="20"/>
                <w:szCs w:val="20"/>
              </w:rPr>
              <w:t xml:space="preserve">Vendor lock-in to a single LLM/embedding provider</w:t>
            </w:r>
          </w:p>
        </w:tc>
        <w:tc>
          <w:tcPr>
            <w:tcW w:type="dxa" w:w="1225"/>
            <w:tcMar>
              <w:top w:type="dxa" w:w="80"/>
              <w:left w:type="dxa" w:w="100"/>
              <w:bottom w:type="dxa" w:w="80"/>
              <w:right w:type="dxa" w:w="100"/>
            </w:tcMar>
          </w:tcPr>
          <w:p>
            <w:r>
              <w:rPr>
                <w:sz w:val="20"/>
                <w:szCs w:val="20"/>
              </w:rPr>
              <w:t xml:space="preserve">Vendor Lock-in</w:t>
            </w:r>
          </w:p>
        </w:tc>
        <w:tc>
          <w:tcPr>
            <w:tcW w:type="dxa" w:w="1225"/>
            <w:tcMar>
              <w:top w:type="dxa" w:w="80"/>
              <w:left w:type="dxa" w:w="100"/>
              <w:bottom w:type="dxa" w:w="80"/>
              <w:right w:type="dxa" w:w="100"/>
            </w:tcMar>
          </w:tcPr>
          <w:p>
            <w:r>
              <w:rPr>
                <w:sz w:val="20"/>
                <w:szCs w:val="20"/>
              </w:rPr>
              <w:t xml:space="preserve">Medium</w:t>
            </w:r>
          </w:p>
        </w:tc>
        <w:tc>
          <w:tcPr>
            <w:tcW w:type="dxa" w:w="1225"/>
            <w:tcMar>
              <w:top w:type="dxa" w:w="80"/>
              <w:left w:type="dxa" w:w="100"/>
              <w:bottom w:type="dxa" w:w="80"/>
              <w:right w:type="dxa" w:w="100"/>
            </w:tcMar>
          </w:tcPr>
          <w:p>
            <w:r>
              <w:rPr>
                <w:sz w:val="20"/>
                <w:szCs w:val="20"/>
              </w:rPr>
              <w:t xml:space="preserve">Medium</w:t>
            </w:r>
          </w:p>
        </w:tc>
        <w:tc>
          <w:tcPr>
            <w:tcW w:type="dxa" w:w="1225"/>
            <w:tcMar>
              <w:top w:type="dxa" w:w="80"/>
              <w:left w:type="dxa" w:w="100"/>
              <w:bottom w:type="dxa" w:w="80"/>
              <w:right w:type="dxa" w:w="100"/>
            </w:tcMar>
          </w:tcPr>
          <w:p>
            <w:r>
              <w:rPr>
                <w:sz w:val="20"/>
                <w:szCs w:val="20"/>
              </w:rPr>
              <w:t xml:space="preserve">P2</w:t>
            </w:r>
          </w:p>
        </w:tc>
        <w:tc>
          <w:tcPr>
            <w:tcW w:type="dxa" w:w="2450"/>
            <w:tcMar>
              <w:top w:type="dxa" w:w="80"/>
              <w:left w:type="dxa" w:w="100"/>
              <w:bottom w:type="dxa" w:w="80"/>
              <w:right w:type="dxa" w:w="100"/>
            </w:tcMar>
          </w:tcPr>
          <w:p>
            <w:r>
              <w:rPr>
                <w:sz w:val="20"/>
                <w:szCs w:val="20"/>
              </w:rPr>
              <w:t xml:space="preserve">Abstract LLM/embedding calls behind an interface (LangChain's model-agnostic wrappers) to ease provider swaps</w:t>
            </w:r>
          </w:p>
        </w:tc>
      </w:tr>
      <w:tr>
        <w:trPr>
          <w:tblHeader w:val="false"/>
        </w:trPr>
        <w:tc>
          <w:tcPr>
            <w:tcW w:type="dxa" w:w="2450"/>
            <w:tcMar>
              <w:top w:type="dxa" w:w="80"/>
              <w:left w:type="dxa" w:w="100"/>
              <w:bottom w:type="dxa" w:w="80"/>
              <w:right w:type="dxa" w:w="100"/>
            </w:tcMar>
          </w:tcPr>
          <w:p>
            <w:r>
              <w:rPr>
                <w:sz w:val="20"/>
                <w:szCs w:val="20"/>
              </w:rPr>
              <w:t xml:space="preserve">Users mistake the tool for regulated financial advice</w:t>
            </w:r>
          </w:p>
        </w:tc>
        <w:tc>
          <w:tcPr>
            <w:tcW w:type="dxa" w:w="1225"/>
            <w:tcMar>
              <w:top w:type="dxa" w:w="80"/>
              <w:left w:type="dxa" w:w="100"/>
              <w:bottom w:type="dxa" w:w="80"/>
              <w:right w:type="dxa" w:w="100"/>
            </w:tcMar>
          </w:tcPr>
          <w:p>
            <w:r>
              <w:rPr>
                <w:sz w:val="20"/>
                <w:szCs w:val="20"/>
              </w:rPr>
              <w:t xml:space="preserve">Compliance</w:t>
            </w:r>
          </w:p>
        </w:tc>
        <w:tc>
          <w:tcPr>
            <w:tcW w:type="dxa" w:w="1225"/>
            <w:tcMar>
              <w:top w:type="dxa" w:w="80"/>
              <w:left w:type="dxa" w:w="100"/>
              <w:bottom w:type="dxa" w:w="80"/>
              <w:right w:type="dxa" w:w="100"/>
            </w:tcMar>
          </w:tcPr>
          <w:p>
            <w:r>
              <w:rPr>
                <w:sz w:val="20"/>
                <w:szCs w:val="20"/>
              </w:rPr>
              <w:t xml:space="preserve">Medium</w:t>
            </w:r>
          </w:p>
        </w:tc>
        <w:tc>
          <w:tcPr>
            <w:tcW w:type="dxa" w:w="1225"/>
            <w:tcMar>
              <w:top w:type="dxa" w:w="80"/>
              <w:left w:type="dxa" w:w="100"/>
              <w:bottom w:type="dxa" w:w="80"/>
              <w:right w:type="dxa" w:w="100"/>
            </w:tcMar>
          </w:tcPr>
          <w:p>
            <w:r>
              <w:rPr>
                <w:sz w:val="20"/>
                <w:szCs w:val="20"/>
              </w:rPr>
              <w:t xml:space="preserve">High</w:t>
            </w:r>
          </w:p>
        </w:tc>
        <w:tc>
          <w:tcPr>
            <w:tcW w:type="dxa" w:w="1225"/>
            <w:tcMar>
              <w:top w:type="dxa" w:w="80"/>
              <w:left w:type="dxa" w:w="100"/>
              <w:bottom w:type="dxa" w:w="80"/>
              <w:right w:type="dxa" w:w="100"/>
            </w:tcMar>
          </w:tcPr>
          <w:p>
            <w:r>
              <w:rPr>
                <w:sz w:val="20"/>
                <w:szCs w:val="20"/>
              </w:rPr>
              <w:t xml:space="preserve">P0</w:t>
            </w:r>
          </w:p>
        </w:tc>
        <w:tc>
          <w:tcPr>
            <w:tcW w:type="dxa" w:w="2450"/>
            <w:tcMar>
              <w:top w:type="dxa" w:w="80"/>
              <w:left w:type="dxa" w:w="100"/>
              <w:bottom w:type="dxa" w:w="80"/>
              <w:right w:type="dxa" w:w="100"/>
            </w:tcMar>
          </w:tcPr>
          <w:p>
            <w:r>
              <w:rPr>
                <w:sz w:val="20"/>
                <w:szCs w:val="20"/>
              </w:rPr>
              <w:t xml:space="preserve">Explicit in-product disclaimers; guardrail forbids definitive "you must do X" phrasing in favor of "based on retrieved evidence, X appears favorable"</w:t>
            </w:r>
          </w:p>
        </w:tc>
      </w:tr>
      <w:tr>
        <w:trPr>
          <w:tblHeader w:val="false"/>
        </w:trPr>
        <w:tc>
          <w:tcPr>
            <w:tcW w:type="dxa" w:w="2450"/>
            <w:tcMar>
              <w:top w:type="dxa" w:w="80"/>
              <w:left w:type="dxa" w:w="100"/>
              <w:bottom w:type="dxa" w:w="80"/>
              <w:right w:type="dxa" w:w="100"/>
            </w:tcMar>
          </w:tcPr>
          <w:p>
            <w:r>
              <w:rPr>
                <w:sz w:val="20"/>
                <w:szCs w:val="20"/>
              </w:rPr>
              <w:t xml:space="preserve">Scraping issuer websites at scale for data violates ToS</w:t>
            </w:r>
          </w:p>
        </w:tc>
        <w:tc>
          <w:tcPr>
            <w:tcW w:type="dxa" w:w="1225"/>
            <w:tcMar>
              <w:top w:type="dxa" w:w="80"/>
              <w:left w:type="dxa" w:w="100"/>
              <w:bottom w:type="dxa" w:w="80"/>
              <w:right w:type="dxa" w:w="100"/>
            </w:tcMar>
          </w:tcPr>
          <w:p>
            <w:r>
              <w:rPr>
                <w:sz w:val="20"/>
                <w:szCs w:val="20"/>
              </w:rPr>
              <w:t xml:space="preserve">Legal</w:t>
            </w:r>
          </w:p>
        </w:tc>
        <w:tc>
          <w:tcPr>
            <w:tcW w:type="dxa" w:w="1225"/>
            <w:tcMar>
              <w:top w:type="dxa" w:w="80"/>
              <w:left w:type="dxa" w:w="100"/>
              <w:bottom w:type="dxa" w:w="80"/>
              <w:right w:type="dxa" w:w="100"/>
            </w:tcMar>
          </w:tcPr>
          <w:p>
            <w:r>
              <w:rPr>
                <w:sz w:val="20"/>
                <w:szCs w:val="20"/>
              </w:rPr>
              <w:t xml:space="preserve">Low (MVP uses manually sourced official PDFs)</w:t>
            </w:r>
          </w:p>
        </w:tc>
        <w:tc>
          <w:tcPr>
            <w:tcW w:type="dxa" w:w="1225"/>
            <w:tcMar>
              <w:top w:type="dxa" w:w="80"/>
              <w:left w:type="dxa" w:w="100"/>
              <w:bottom w:type="dxa" w:w="80"/>
              <w:right w:type="dxa" w:w="100"/>
            </w:tcMar>
          </w:tcPr>
          <w:p>
            <w:r>
              <w:rPr>
                <w:sz w:val="20"/>
                <w:szCs w:val="20"/>
              </w:rPr>
              <w:t xml:space="preserve">Medium</w:t>
            </w:r>
          </w:p>
        </w:tc>
        <w:tc>
          <w:tcPr>
            <w:tcW w:type="dxa" w:w="1225"/>
            <w:tcMar>
              <w:top w:type="dxa" w:w="80"/>
              <w:left w:type="dxa" w:w="100"/>
              <w:bottom w:type="dxa" w:w="80"/>
              <w:right w:type="dxa" w:w="100"/>
            </w:tcMar>
          </w:tcPr>
          <w:p>
            <w:r>
              <w:rPr>
                <w:sz w:val="20"/>
                <w:szCs w:val="20"/>
              </w:rPr>
              <w:t xml:space="preserve">P2</w:t>
            </w:r>
          </w:p>
        </w:tc>
        <w:tc>
          <w:tcPr>
            <w:tcW w:type="dxa" w:w="2450"/>
            <w:tcMar>
              <w:top w:type="dxa" w:w="80"/>
              <w:left w:type="dxa" w:w="100"/>
              <w:bottom w:type="dxa" w:w="80"/>
              <w:right w:type="dxa" w:w="100"/>
            </w:tcMar>
          </w:tcPr>
          <w:p>
            <w:r>
              <w:rPr>
                <w:sz w:val="20"/>
                <w:szCs w:val="20"/>
              </w:rPr>
              <w:t xml:space="preserve">Policy of using only publicly published official documents, manually curated, not automated scraping, at MVP stage</w:t>
            </w:r>
          </w:p>
        </w:tc>
      </w:tr>
      <w:tr>
        <w:trPr>
          <w:tblHeader w:val="false"/>
        </w:trPr>
        <w:tc>
          <w:tcPr>
            <w:tcW w:type="dxa" w:w="2450"/>
            <w:tcMar>
              <w:top w:type="dxa" w:w="80"/>
              <w:left w:type="dxa" w:w="100"/>
              <w:bottom w:type="dxa" w:w="80"/>
              <w:right w:type="dxa" w:w="100"/>
            </w:tcMar>
          </w:tcPr>
          <w:p>
            <w:r>
              <w:rPr>
                <w:sz w:val="20"/>
                <w:szCs w:val="20"/>
              </w:rPr>
              <w:t xml:space="preserve">Financial data privacy breach (spend patterns, owned cards)</w:t>
            </w:r>
          </w:p>
        </w:tc>
        <w:tc>
          <w:tcPr>
            <w:tcW w:type="dxa" w:w="1225"/>
            <w:tcMar>
              <w:top w:type="dxa" w:w="80"/>
              <w:left w:type="dxa" w:w="100"/>
              <w:bottom w:type="dxa" w:w="80"/>
              <w:right w:type="dxa" w:w="100"/>
            </w:tcMar>
          </w:tcPr>
          <w:p>
            <w:r>
              <w:rPr>
                <w:sz w:val="20"/>
                <w:szCs w:val="20"/>
              </w:rPr>
              <w:t xml:space="preserve">Security</w:t>
            </w:r>
          </w:p>
        </w:tc>
        <w:tc>
          <w:tcPr>
            <w:tcW w:type="dxa" w:w="1225"/>
            <w:tcMar>
              <w:top w:type="dxa" w:w="80"/>
              <w:left w:type="dxa" w:w="100"/>
              <w:bottom w:type="dxa" w:w="80"/>
              <w:right w:type="dxa" w:w="100"/>
            </w:tcMar>
          </w:tcPr>
          <w:p>
            <w:r>
              <w:rPr>
                <w:sz w:val="20"/>
                <w:szCs w:val="20"/>
              </w:rPr>
              <w:t xml:space="preserve">Low</w:t>
            </w:r>
          </w:p>
        </w:tc>
        <w:tc>
          <w:tcPr>
            <w:tcW w:type="dxa" w:w="1225"/>
            <w:tcMar>
              <w:top w:type="dxa" w:w="80"/>
              <w:left w:type="dxa" w:w="100"/>
              <w:bottom w:type="dxa" w:w="80"/>
              <w:right w:type="dxa" w:w="100"/>
            </w:tcMar>
          </w:tcPr>
          <w:p>
            <w:r>
              <w:rPr>
                <w:sz w:val="20"/>
                <w:szCs w:val="20"/>
              </w:rPr>
              <w:t xml:space="preserve">High</w:t>
            </w:r>
          </w:p>
        </w:tc>
        <w:tc>
          <w:tcPr>
            <w:tcW w:type="dxa" w:w="1225"/>
            <w:tcMar>
              <w:top w:type="dxa" w:w="80"/>
              <w:left w:type="dxa" w:w="100"/>
              <w:bottom w:type="dxa" w:w="80"/>
              <w:right w:type="dxa" w:w="100"/>
            </w:tcMar>
          </w:tcPr>
          <w:p>
            <w:r>
              <w:rPr>
                <w:sz w:val="20"/>
                <w:szCs w:val="20"/>
              </w:rPr>
              <w:t xml:space="preserve">P0</w:t>
            </w:r>
          </w:p>
        </w:tc>
        <w:tc>
          <w:tcPr>
            <w:tcW w:type="dxa" w:w="2450"/>
            <w:tcMar>
              <w:top w:type="dxa" w:w="80"/>
              <w:left w:type="dxa" w:w="100"/>
              <w:bottom w:type="dxa" w:w="80"/>
              <w:right w:type="dxa" w:w="100"/>
            </w:tcMar>
          </w:tcPr>
          <w:p>
            <w:r>
              <w:rPr>
                <w:sz w:val="20"/>
                <w:szCs w:val="20"/>
              </w:rPr>
              <w:t xml:space="preserve">Encryption at rest/in transit, minimal retention policy, no raw PII sent to third parties beyond the LLM API call itself</w:t>
            </w:r>
          </w:p>
        </w:tc>
      </w:tr>
    </w:tbl>
    <w:p>
      <w:pPr>
        <w:spacing w:after="200"/>
      </w:pPr>
    </w:p>
    <w:p>
      <w:pPr>
        <w:pStyle w:val="Heading1"/>
        <w:pageBreakBefore/>
        <w:spacing w:after="180" w:before="360"/>
      </w:pPr>
      <w:bookmarkStart w:name="sec17" w:id="1"/>
      <w:r>
        <w:t xml:space="preserve">18. Security Design</w:t>
      </w:r>
      <w:bookmarkEnd w:id="1"/>
    </w:p>
    <w:p>
      <w:pPr>
        <w:pStyle w:val="ListParagraph"/>
        <w:numPr>
          <w:ilvl w:val="0"/>
          <w:numId w:val="1"/>
        </w:numPr>
        <w:spacing w:after="80" w:line="290"/>
      </w:pPr>
      <w:r>
        <w:rPr>
          <w:b/>
          <w:bCs/>
        </w:rPr>
        <w:t xml:space="preserve">Authentication:</w:t>
      </w:r>
      <w:r>
        <w:t xml:space="preserve"> JWT-based session tokens; OTP or OAuth for initial login (no passwords stored directly where avoidable).</w:t>
      </w:r>
    </w:p>
    <w:p>
      <w:pPr>
        <w:pStyle w:val="ListParagraph"/>
        <w:numPr>
          <w:ilvl w:val="0"/>
          <w:numId w:val="1"/>
        </w:numPr>
        <w:spacing w:after="80" w:line="290"/>
      </w:pPr>
      <w:r>
        <w:rPr>
          <w:b/>
          <w:bCs/>
        </w:rPr>
        <w:t xml:space="preserve">Authorization:</w:t>
      </w:r>
      <w:r>
        <w:t xml:space="preserve"> Row-level scoping — a user can only read their own </w:t>
      </w:r>
      <w:r>
        <w:rPr>
          <w:rFonts w:ascii="Consolas" w:cs="Consolas" w:eastAsia="Consolas" w:hAnsi="Consolas"/>
          <w:shd w:fill="F0F0F0" w:val="clear"/>
        </w:rPr>
        <w:t xml:space="preserve">user_profiles</w:t>
      </w:r>
      <w:r>
        <w:t xml:space="preserve">/</w:t>
      </w:r>
      <w:r>
        <w:rPr>
          <w:rFonts w:ascii="Consolas" w:cs="Consolas" w:eastAsia="Consolas" w:hAnsi="Consolas"/>
          <w:shd w:fill="F0F0F0" w:val="clear"/>
        </w:rPr>
        <w:t xml:space="preserve">recommendation_logs</w:t>
      </w:r>
      <w:r>
        <w:t xml:space="preserve">; admin endpoints require a separate elevated role.</w:t>
      </w:r>
    </w:p>
    <w:p>
      <w:pPr>
        <w:pStyle w:val="ListParagraph"/>
        <w:numPr>
          <w:ilvl w:val="0"/>
          <w:numId w:val="1"/>
        </w:numPr>
        <w:spacing w:after="80" w:line="290"/>
      </w:pPr>
      <w:r>
        <w:rPr>
          <w:b/>
          <w:bCs/>
        </w:rPr>
        <w:t xml:space="preserve">Encryption:</w:t>
      </w:r>
      <w:r>
        <w:t xml:space="preserve"> TLS in transit; at-rest encryption for the Postgres volume (cloud provider-managed or LUKS for self-hosted).</w:t>
      </w:r>
    </w:p>
    <w:p>
      <w:pPr>
        <w:pStyle w:val="ListParagraph"/>
        <w:numPr>
          <w:ilvl w:val="0"/>
          <w:numId w:val="1"/>
        </w:numPr>
        <w:spacing w:after="80" w:line="290"/>
      </w:pPr>
      <w:r>
        <w:rPr>
          <w:b/>
          <w:bCs/>
        </w:rPr>
        <w:t xml:space="preserve">Secrets/API keys:</w:t>
      </w:r>
      <w:r>
        <w:t xml:space="preserve"> Environment variables injected via a secrets manager (never committed to source control, never logged).</w:t>
      </w:r>
    </w:p>
    <w:p>
      <w:pPr>
        <w:pStyle w:val="ListParagraph"/>
        <w:numPr>
          <w:ilvl w:val="0"/>
          <w:numId w:val="1"/>
        </w:numPr>
        <w:spacing w:after="80" w:line="290"/>
      </w:pPr>
      <w:r>
        <w:rPr>
          <w:b/>
          <w:bCs/>
        </w:rPr>
        <w:t xml:space="preserve">PII/Financial safety:</w:t>
      </w:r>
      <w:r>
        <w:t xml:space="preserve"> Treat </w:t>
      </w:r>
      <w:r>
        <w:rPr>
          <w:rFonts w:ascii="Consolas" w:cs="Consolas" w:eastAsia="Consolas" w:hAnsi="Consolas"/>
          <w:shd w:fill="F0F0F0" w:val="clear"/>
        </w:rPr>
        <w:t xml:space="preserve">cards_owned</w:t>
      </w:r>
      <w:r>
        <w:t xml:space="preserve">, </w:t>
      </w:r>
      <w:r>
        <w:rPr>
          <w:rFonts w:ascii="Consolas" w:cs="Consolas" w:eastAsia="Consolas" w:hAnsi="Consolas"/>
          <w:shd w:fill="F0F0F0" w:val="clear"/>
        </w:rPr>
        <w:t xml:space="preserve">monthly_spend_pattern</w:t>
      </w:r>
      <w:r>
        <w:t xml:space="preserve"> as sensitive; minimize what's sent to the LLM (send derived/redacted context where feasible, not raw account numbers — the system never needs actual card numbers, only card </w:t>
      </w:r>
      <w:r>
        <w:rPr>
          <w:i/>
          <w:iCs/>
        </w:rPr>
        <w:t xml:space="preserve">product names</w:t>
      </w:r>
      <w:r>
        <w:t xml:space="preserve">, which is an important design boundary to state explicitly).</w:t>
      </w:r>
    </w:p>
    <w:p>
      <w:pPr>
        <w:pStyle w:val="ListParagraph"/>
        <w:numPr>
          <w:ilvl w:val="0"/>
          <w:numId w:val="1"/>
        </w:numPr>
        <w:spacing w:after="80" w:line="290"/>
      </w:pPr>
      <w:r>
        <w:rPr>
          <w:b/>
          <w:bCs/>
        </w:rPr>
        <w:t xml:space="preserve">Prompt injection defense:</w:t>
      </w:r>
      <w:r>
        <w:t xml:space="preserve"> Ingested document content and user queries are never concatenated into a position of instructional authority in the prompt; the system prompt's constraints are reinforced by the code-level Guardrail Node, not solely by prompt wording.</w:t>
      </w:r>
    </w:p>
    <w:p>
      <w:pPr>
        <w:pStyle w:val="ListParagraph"/>
        <w:numPr>
          <w:ilvl w:val="0"/>
          <w:numId w:val="1"/>
        </w:numPr>
        <w:spacing w:after="80" w:line="290"/>
      </w:pPr>
      <w:r>
        <w:rPr>
          <w:b/>
          <w:bCs/>
        </w:rPr>
        <w:t xml:space="preserve">RAG security:</w:t>
      </w:r>
      <w:r>
        <w:t xml:space="preserve"> Access control at the retrieval layer if the system ever supports multi-tenant card data with differing visibility (not needed at MVP scale, but worth architecting for).</w:t>
      </w:r>
    </w:p>
    <w:p>
      <w:pPr>
        <w:pStyle w:val="ListParagraph"/>
        <w:numPr>
          <w:ilvl w:val="0"/>
          <w:numId w:val="1"/>
        </w:numPr>
        <w:spacing w:after="80" w:line="290"/>
      </w:pPr>
      <w:r>
        <w:rPr>
          <w:b/>
          <w:bCs/>
        </w:rPr>
        <w:t xml:space="preserve">Guardrails (safety, distinct from content guardrails in Section 10.12):</w:t>
      </w:r>
      <w:r>
        <w:t xml:space="preserve"> rate limiting, input validation on all numeric fields, output length caps to control cost exposure.</w:t>
      </w:r>
    </w:p>
    <w:p>
      <w:pPr>
        <w:pStyle w:val="Heading1"/>
        <w:pageBreakBefore/>
        <w:spacing w:after="180" w:before="360"/>
      </w:pPr>
      <w:bookmarkStart w:name="sec18" w:id="1"/>
      <w:r>
        <w:t xml:space="preserve">19. Testing Strategy</w:t>
      </w:r>
      <w:bookmarkEnd w:id="1"/>
    </w:p>
    <w:tbl>
      <w:tblPr>
        <w:tblW w:type="dxa" w:w="9800"/>
        <w:tblBorders>
          <w:top w:val="single" w:color="BFBFBF" w:sz="2"/>
          <w:left w:val="single" w:color="BFBFBF" w:sz="2"/>
          <w:bottom w:val="single" w:color="BFBFBF" w:sz="2"/>
          <w:right w:val="single" w:color="BFBFBF" w:sz="2"/>
          <w:insideH w:val="single" w:color="D9D9D9" w:sz="2"/>
          <w:insideV w:val="single" w:color="D9D9D9" w:sz="2"/>
        </w:tblBorders>
      </w:tblPr>
      <w:tblGrid>
        <w:gridCol w:w="100"/>
        <w:gridCol w:w="100"/>
        <w:gridCol w:w="100"/>
      </w:tblGrid>
      <w:tr>
        <w:trPr>
          <w:tblHeader/>
        </w:trPr>
        <w:tc>
          <w:tcPr>
            <w:tcW w:type="dxa" w:w="3266"/>
            <w:shd w:fill="1F4E79" w:color="auto" w:val="clear"/>
            <w:tcMar>
              <w:top w:type="dxa" w:w="80"/>
              <w:left w:type="dxa" w:w="100"/>
              <w:bottom w:type="dxa" w:w="80"/>
              <w:right w:type="dxa" w:w="100"/>
            </w:tcMar>
          </w:tcPr>
          <w:p>
            <w:r>
              <w:rPr>
                <w:b/>
                <w:bCs/>
                <w:color w:val="FFFFFF"/>
                <w:sz w:val="20"/>
                <w:szCs w:val="20"/>
              </w:rPr>
              <w:t xml:space="preserve">Test type</w:t>
            </w:r>
          </w:p>
        </w:tc>
        <w:tc>
          <w:tcPr>
            <w:tcW w:type="dxa" w:w="3266"/>
            <w:shd w:fill="1F4E79" w:color="auto" w:val="clear"/>
            <w:tcMar>
              <w:top w:type="dxa" w:w="80"/>
              <w:left w:type="dxa" w:w="100"/>
              <w:bottom w:type="dxa" w:w="80"/>
              <w:right w:type="dxa" w:w="100"/>
            </w:tcMar>
          </w:tcPr>
          <w:p>
            <w:r>
              <w:rPr>
                <w:b/>
                <w:bCs/>
                <w:color w:val="FFFFFF"/>
                <w:sz w:val="20"/>
                <w:szCs w:val="20"/>
              </w:rPr>
              <w:t xml:space="preserve">Scope</w:t>
            </w:r>
          </w:p>
        </w:tc>
        <w:tc>
          <w:tcPr>
            <w:tcW w:type="dxa" w:w="3266"/>
            <w:shd w:fill="1F4E79" w:color="auto" w:val="clear"/>
            <w:tcMar>
              <w:top w:type="dxa" w:w="80"/>
              <w:left w:type="dxa" w:w="100"/>
              <w:bottom w:type="dxa" w:w="80"/>
              <w:right w:type="dxa" w:w="100"/>
            </w:tcMar>
          </w:tcPr>
          <w:p>
            <w:r>
              <w:rPr>
                <w:b/>
                <w:bCs/>
                <w:color w:val="FFFFFF"/>
                <w:sz w:val="20"/>
                <w:szCs w:val="20"/>
              </w:rPr>
              <w:t xml:space="preserve">Example</w:t>
            </w:r>
          </w:p>
        </w:tc>
      </w:tr>
      <w:tr>
        <w:trPr>
          <w:tblHeader w:val="false"/>
        </w:trPr>
        <w:tc>
          <w:tcPr>
            <w:tcW w:type="dxa" w:w="3266"/>
            <w:tcMar>
              <w:top w:type="dxa" w:w="80"/>
              <w:left w:type="dxa" w:w="100"/>
              <w:bottom w:type="dxa" w:w="80"/>
              <w:right w:type="dxa" w:w="100"/>
            </w:tcMar>
          </w:tcPr>
          <w:p>
            <w:r>
              <w:rPr>
                <w:b/>
                <w:bCs/>
                <w:sz w:val="20"/>
                <w:szCs w:val="20"/>
              </w:rPr>
              <w:t xml:space="preserve">Unit</w:t>
            </w:r>
          </w:p>
        </w:tc>
        <w:tc>
          <w:tcPr>
            <w:tcW w:type="dxa" w:w="3266"/>
            <w:tcMar>
              <w:top w:type="dxa" w:w="80"/>
              <w:left w:type="dxa" w:w="100"/>
              <w:bottom w:type="dxa" w:w="80"/>
              <w:right w:type="dxa" w:w="100"/>
            </w:tcMar>
          </w:tcPr>
          <w:p>
            <w:r>
              <w:rPr>
                <w:sz w:val="20"/>
                <w:szCs w:val="20"/>
              </w:rPr>
              <w:t xml:space="preserve">Calculator tool, chunking function, individual node logic</w:t>
            </w:r>
          </w:p>
        </w:tc>
        <w:tc>
          <w:tcPr>
            <w:tcW w:type="dxa" w:w="3266"/>
            <w:tcMar>
              <w:top w:type="dxa" w:w="80"/>
              <w:left w:type="dxa" w:w="100"/>
              <w:bottom w:type="dxa" w:w="80"/>
              <w:right w:type="dxa" w:w="100"/>
            </w:tcMar>
          </w:tcPr>
          <w:p>
            <w:r>
              <w:rPr>
                <w:rFonts w:ascii="Consolas" w:cs="Consolas" w:eastAsia="Consolas" w:hAnsi="Consolas"/>
                <w:sz w:val="20"/>
                <w:szCs w:val="20"/>
                <w:shd w:fill="F0F0F0" w:val="clear"/>
              </w:rPr>
              <w:t xml:space="preserve">test_calculator.py</w:t>
            </w:r>
            <w:r>
              <w:rPr>
                <w:sz w:val="20"/>
                <w:szCs w:val="20"/>
              </w:rPr>
              <w:t xml:space="preserve">: cap boundary conditions, zero-spend rejection</w:t>
            </w:r>
          </w:p>
        </w:tc>
      </w:tr>
      <w:tr>
        <w:trPr>
          <w:tblHeader w:val="false"/>
        </w:trPr>
        <w:tc>
          <w:tcPr>
            <w:tcW w:type="dxa" w:w="3266"/>
            <w:tcMar>
              <w:top w:type="dxa" w:w="80"/>
              <w:left w:type="dxa" w:w="100"/>
              <w:bottom w:type="dxa" w:w="80"/>
              <w:right w:type="dxa" w:w="100"/>
            </w:tcMar>
          </w:tcPr>
          <w:p>
            <w:r>
              <w:rPr>
                <w:b/>
                <w:bCs/>
                <w:sz w:val="20"/>
                <w:szCs w:val="20"/>
              </w:rPr>
              <w:t xml:space="preserve">Integration</w:t>
            </w:r>
          </w:p>
        </w:tc>
        <w:tc>
          <w:tcPr>
            <w:tcW w:type="dxa" w:w="3266"/>
            <w:tcMar>
              <w:top w:type="dxa" w:w="80"/>
              <w:left w:type="dxa" w:w="100"/>
              <w:bottom w:type="dxa" w:w="80"/>
              <w:right w:type="dxa" w:w="100"/>
            </w:tcMar>
          </w:tcPr>
          <w:p>
            <w:r>
              <w:rPr>
                <w:sz w:val="20"/>
                <w:szCs w:val="20"/>
              </w:rPr>
              <w:t xml:space="preserve">Retrieval → calculation → guardrail pipeline end-to-end</w:t>
            </w:r>
          </w:p>
        </w:tc>
        <w:tc>
          <w:tcPr>
            <w:tcW w:type="dxa" w:w="3266"/>
            <w:tcMar>
              <w:top w:type="dxa" w:w="80"/>
              <w:left w:type="dxa" w:w="100"/>
              <w:bottom w:type="dxa" w:w="80"/>
              <w:right w:type="dxa" w:w="100"/>
            </w:tcMar>
          </w:tcPr>
          <w:p>
            <w:r>
              <w:rPr>
                <w:sz w:val="20"/>
                <w:szCs w:val="20"/>
              </w:rPr>
              <w:t xml:space="preserve">Query "₹50,000 flights" produces correctly-cited, correctly-computed output</w:t>
            </w:r>
          </w:p>
        </w:tc>
      </w:tr>
      <w:tr>
        <w:trPr>
          <w:tblHeader w:val="false"/>
        </w:trPr>
        <w:tc>
          <w:tcPr>
            <w:tcW w:type="dxa" w:w="3266"/>
            <w:tcMar>
              <w:top w:type="dxa" w:w="80"/>
              <w:left w:type="dxa" w:w="100"/>
              <w:bottom w:type="dxa" w:w="80"/>
              <w:right w:type="dxa" w:w="100"/>
            </w:tcMar>
          </w:tcPr>
          <w:p>
            <w:r>
              <w:rPr>
                <w:b/>
                <w:bCs/>
                <w:sz w:val="20"/>
                <w:szCs w:val="20"/>
              </w:rPr>
              <w:t xml:space="preserve">Agent testing</w:t>
            </w:r>
          </w:p>
        </w:tc>
        <w:tc>
          <w:tcPr>
            <w:tcW w:type="dxa" w:w="3266"/>
            <w:tcMar>
              <w:top w:type="dxa" w:w="80"/>
              <w:left w:type="dxa" w:w="100"/>
              <w:bottom w:type="dxa" w:w="80"/>
              <w:right w:type="dxa" w:w="100"/>
            </w:tcMar>
          </w:tcPr>
          <w:p>
            <w:r>
              <w:rPr>
                <w:sz w:val="20"/>
                <w:szCs w:val="20"/>
              </w:rPr>
              <w:t xml:space="preserve">Full LangGraph run including clarification and approval branches</w:t>
            </w:r>
          </w:p>
        </w:tc>
        <w:tc>
          <w:tcPr>
            <w:tcW w:type="dxa" w:w="3266"/>
            <w:tcMar>
              <w:top w:type="dxa" w:w="80"/>
              <w:left w:type="dxa" w:w="100"/>
              <w:bottom w:type="dxa" w:w="80"/>
              <w:right w:type="dxa" w:w="100"/>
            </w:tcMar>
          </w:tcPr>
          <w:p>
            <w:r>
              <w:rPr>
                <w:sz w:val="20"/>
                <w:szCs w:val="20"/>
              </w:rPr>
              <w:t xml:space="preserve">Simulate ambiguous query → verify Clarification Node fires</w:t>
            </w:r>
          </w:p>
        </w:tc>
      </w:tr>
      <w:tr>
        <w:trPr>
          <w:tblHeader w:val="false"/>
        </w:trPr>
        <w:tc>
          <w:tcPr>
            <w:tcW w:type="dxa" w:w="3266"/>
            <w:tcMar>
              <w:top w:type="dxa" w:w="80"/>
              <w:left w:type="dxa" w:w="100"/>
              <w:bottom w:type="dxa" w:w="80"/>
              <w:right w:type="dxa" w:w="100"/>
            </w:tcMar>
          </w:tcPr>
          <w:p>
            <w:r>
              <w:rPr>
                <w:b/>
                <w:bCs/>
                <w:sz w:val="20"/>
                <w:szCs w:val="20"/>
              </w:rPr>
              <w:t xml:space="preserve">Evaluation</w:t>
            </w:r>
          </w:p>
        </w:tc>
        <w:tc>
          <w:tcPr>
            <w:tcW w:type="dxa" w:w="3266"/>
            <w:tcMar>
              <w:top w:type="dxa" w:w="80"/>
              <w:left w:type="dxa" w:w="100"/>
              <w:bottom w:type="dxa" w:w="80"/>
              <w:right w:type="dxa" w:w="100"/>
            </w:tcMar>
          </w:tcPr>
          <w:p>
            <w:r>
              <w:rPr>
                <w:sz w:val="20"/>
                <w:szCs w:val="20"/>
              </w:rPr>
              <w:t xml:space="preserve">Retrieval precision/recall, faithfulness, calculation accuracy against golden set</w:t>
            </w:r>
          </w:p>
        </w:tc>
        <w:tc>
          <w:tcPr>
            <w:tcW w:type="dxa" w:w="3266"/>
            <w:tcMar>
              <w:top w:type="dxa" w:w="80"/>
              <w:left w:type="dxa" w:w="100"/>
              <w:bottom w:type="dxa" w:w="80"/>
              <w:right w:type="dxa" w:w="100"/>
            </w:tcMar>
          </w:tcPr>
          <w:p>
            <w:r>
              <w:rPr>
                <w:sz w:val="20"/>
                <w:szCs w:val="20"/>
              </w:rPr>
              <w:t xml:space="preserve">See Section 20</w:t>
            </w:r>
          </w:p>
        </w:tc>
      </w:tr>
      <w:tr>
        <w:trPr>
          <w:tblHeader w:val="false"/>
        </w:trPr>
        <w:tc>
          <w:tcPr>
            <w:tcW w:type="dxa" w:w="3266"/>
            <w:tcMar>
              <w:top w:type="dxa" w:w="80"/>
              <w:left w:type="dxa" w:w="100"/>
              <w:bottom w:type="dxa" w:w="80"/>
              <w:right w:type="dxa" w:w="100"/>
            </w:tcMar>
          </w:tcPr>
          <w:p>
            <w:r>
              <w:rPr>
                <w:b/>
                <w:bCs/>
                <w:sz w:val="20"/>
                <w:szCs w:val="20"/>
              </w:rPr>
              <w:t xml:space="preserve">Load testing</w:t>
            </w:r>
          </w:p>
        </w:tc>
        <w:tc>
          <w:tcPr>
            <w:tcW w:type="dxa" w:w="3266"/>
            <w:tcMar>
              <w:top w:type="dxa" w:w="80"/>
              <w:left w:type="dxa" w:w="100"/>
              <w:bottom w:type="dxa" w:w="80"/>
              <w:right w:type="dxa" w:w="100"/>
            </w:tcMar>
          </w:tcPr>
          <w:p>
            <w:r>
              <w:rPr>
                <w:sz w:val="20"/>
                <w:szCs w:val="20"/>
              </w:rPr>
              <w:t xml:space="preserve">Concurrent query handling, DB connection pool behavior</w:t>
            </w:r>
          </w:p>
        </w:tc>
        <w:tc>
          <w:tcPr>
            <w:tcW w:type="dxa" w:w="3266"/>
            <w:tcMar>
              <w:top w:type="dxa" w:w="80"/>
              <w:left w:type="dxa" w:w="100"/>
              <w:bottom w:type="dxa" w:w="80"/>
              <w:right w:type="dxa" w:w="100"/>
            </w:tcMar>
          </w:tcPr>
          <w:p>
            <w:r>
              <w:rPr>
                <w:sz w:val="20"/>
                <w:szCs w:val="20"/>
              </w:rPr>
              <w:t xml:space="preserve">50 concurrent users via Locust/k6</w:t>
            </w:r>
          </w:p>
        </w:tc>
      </w:tr>
      <w:tr>
        <w:trPr>
          <w:tblHeader w:val="false"/>
        </w:trPr>
        <w:tc>
          <w:tcPr>
            <w:tcW w:type="dxa" w:w="3266"/>
            <w:tcMar>
              <w:top w:type="dxa" w:w="80"/>
              <w:left w:type="dxa" w:w="100"/>
              <w:bottom w:type="dxa" w:w="80"/>
              <w:right w:type="dxa" w:w="100"/>
            </w:tcMar>
          </w:tcPr>
          <w:p>
            <w:r>
              <w:rPr>
                <w:b/>
                <w:bCs/>
                <w:sz w:val="20"/>
                <w:szCs w:val="20"/>
              </w:rPr>
              <w:t xml:space="preserve">Security testing</w:t>
            </w:r>
          </w:p>
        </w:tc>
        <w:tc>
          <w:tcPr>
            <w:tcW w:type="dxa" w:w="3266"/>
            <w:tcMar>
              <w:top w:type="dxa" w:w="80"/>
              <w:left w:type="dxa" w:w="100"/>
              <w:bottom w:type="dxa" w:w="80"/>
              <w:right w:type="dxa" w:w="100"/>
            </w:tcMar>
          </w:tcPr>
          <w:p>
            <w:r>
              <w:rPr>
                <w:sz w:val="20"/>
                <w:szCs w:val="20"/>
              </w:rPr>
              <w:t xml:space="preserve">Prompt injection attempts via malicious PDF content, auth bypass attempts</w:t>
            </w:r>
          </w:p>
        </w:tc>
        <w:tc>
          <w:tcPr>
            <w:tcW w:type="dxa" w:w="3266"/>
            <w:tcMar>
              <w:top w:type="dxa" w:w="80"/>
              <w:left w:type="dxa" w:w="100"/>
              <w:bottom w:type="dxa" w:w="80"/>
              <w:right w:type="dxa" w:w="100"/>
            </w:tcMar>
          </w:tcPr>
          <w:p>
            <w:r>
              <w:rPr>
                <w:sz w:val="20"/>
                <w:szCs w:val="20"/>
              </w:rPr>
              <w:t xml:space="preserve">Inject "ignore previous instructions" text inside a test PDF chunk; verify no behavioral change</w:t>
            </w:r>
          </w:p>
        </w:tc>
      </w:tr>
      <w:tr>
        <w:trPr>
          <w:tblHeader w:val="false"/>
        </w:trPr>
        <w:tc>
          <w:tcPr>
            <w:tcW w:type="dxa" w:w="3266"/>
            <w:tcMar>
              <w:top w:type="dxa" w:w="80"/>
              <w:left w:type="dxa" w:w="100"/>
              <w:bottom w:type="dxa" w:w="80"/>
              <w:right w:type="dxa" w:w="100"/>
            </w:tcMar>
          </w:tcPr>
          <w:p>
            <w:r>
              <w:rPr>
                <w:b/>
                <w:bCs/>
                <w:sz w:val="20"/>
                <w:szCs w:val="20"/>
              </w:rPr>
              <w:t xml:space="preserve">Regression</w:t>
            </w:r>
          </w:p>
        </w:tc>
        <w:tc>
          <w:tcPr>
            <w:tcW w:type="dxa" w:w="3266"/>
            <w:tcMar>
              <w:top w:type="dxa" w:w="80"/>
              <w:left w:type="dxa" w:w="100"/>
              <w:bottom w:type="dxa" w:w="80"/>
              <w:right w:type="dxa" w:w="100"/>
            </w:tcMar>
          </w:tcPr>
          <w:p>
            <w:r>
              <w:rPr>
                <w:sz w:val="20"/>
                <w:szCs w:val="20"/>
              </w:rPr>
              <w:t xml:space="preserve">Re-run golden set after any prompt/model/retrieval change</w:t>
            </w:r>
          </w:p>
        </w:tc>
        <w:tc>
          <w:tcPr>
            <w:tcW w:type="dxa" w:w="3266"/>
            <w:tcMar>
              <w:top w:type="dxa" w:w="80"/>
              <w:left w:type="dxa" w:w="100"/>
              <w:bottom w:type="dxa" w:w="80"/>
              <w:right w:type="dxa" w:w="100"/>
            </w:tcMar>
          </w:tcPr>
          <w:p>
            <w:r>
              <w:rPr>
                <w:sz w:val="20"/>
                <w:szCs w:val="20"/>
              </w:rPr>
              <w:t xml:space="preserve">CI-gated: block deploy if calculation accuracy &lt; 100% or hallucination rate rises</w:t>
            </w:r>
          </w:p>
        </w:tc>
      </w:tr>
      <w:tr>
        <w:trPr>
          <w:tblHeader w:val="false"/>
        </w:trPr>
        <w:tc>
          <w:tcPr>
            <w:tcW w:type="dxa" w:w="3266"/>
            <w:tcMar>
              <w:top w:type="dxa" w:w="80"/>
              <w:left w:type="dxa" w:w="100"/>
              <w:bottom w:type="dxa" w:w="80"/>
              <w:right w:type="dxa" w:w="100"/>
            </w:tcMar>
          </w:tcPr>
          <w:p>
            <w:r>
              <w:rPr>
                <w:b/>
                <w:bCs/>
                <w:sz w:val="20"/>
                <w:szCs w:val="20"/>
              </w:rPr>
              <w:t xml:space="preserve">Acceptance (UAT)</w:t>
            </w:r>
          </w:p>
        </w:tc>
        <w:tc>
          <w:tcPr>
            <w:tcW w:type="dxa" w:w="3266"/>
            <w:tcMar>
              <w:top w:type="dxa" w:w="80"/>
              <w:left w:type="dxa" w:w="100"/>
              <w:bottom w:type="dxa" w:w="80"/>
              <w:right w:type="dxa" w:w="100"/>
            </w:tcMar>
          </w:tcPr>
          <w:p>
            <w:r>
              <w:rPr>
                <w:sz w:val="20"/>
                <w:szCs w:val="20"/>
              </w:rPr>
              <w:t xml:space="preserve">Persona-driven scenario walkthroughs (Section 6) with a small test user group</w:t>
            </w:r>
          </w:p>
        </w:tc>
        <w:tc>
          <w:tcPr>
            <w:tcW w:type="dxa" w:w="3266"/>
            <w:tcMar>
              <w:top w:type="dxa" w:w="80"/>
              <w:left w:type="dxa" w:w="100"/>
              <w:bottom w:type="dxa" w:w="80"/>
              <w:right w:type="dxa" w:w="100"/>
            </w:tcMar>
          </w:tcPr>
          <w:p>
            <w:r>
              <w:rPr>
                <w:sz w:val="20"/>
                <w:szCs w:val="20"/>
              </w:rPr>
              <w:t xml:space="preserve">Frequent Traveler persona scenario, Luxury Traveler transfer scenario</w:t>
            </w:r>
          </w:p>
        </w:tc>
      </w:tr>
      <w:tr>
        <w:trPr>
          <w:tblHeader w:val="false"/>
        </w:trPr>
        <w:tc>
          <w:tcPr>
            <w:tcW w:type="dxa" w:w="3266"/>
            <w:tcMar>
              <w:top w:type="dxa" w:w="80"/>
              <w:left w:type="dxa" w:w="100"/>
              <w:bottom w:type="dxa" w:w="80"/>
              <w:right w:type="dxa" w:w="100"/>
            </w:tcMar>
          </w:tcPr>
          <w:p>
            <w:r>
              <w:rPr>
                <w:b/>
                <w:bCs/>
                <w:sz w:val="20"/>
                <w:szCs w:val="20"/>
              </w:rPr>
              <w:t xml:space="preserve">Golden datasets</w:t>
            </w:r>
          </w:p>
        </w:tc>
        <w:tc>
          <w:tcPr>
            <w:tcW w:type="dxa" w:w="3266"/>
            <w:tcMar>
              <w:top w:type="dxa" w:w="80"/>
              <w:left w:type="dxa" w:w="100"/>
              <w:bottom w:type="dxa" w:w="80"/>
              <w:right w:type="dxa" w:w="100"/>
            </w:tcMar>
          </w:tcPr>
          <w:p>
            <w:r>
              <w:rPr>
                <w:sz w:val="20"/>
                <w:szCs w:val="20"/>
              </w:rPr>
              <w:t xml:space="preserve">Hand-curated (query, expected retrieved rule, expected calculation, expected recommendation) tuples — minimum 20 for MVP (per the source spec), expanding to 50+ by Stage 3</w:t>
            </w:r>
          </w:p>
        </w:tc>
        <w:tc>
          <w:tcPr>
            <w:tcW w:type="dxa" w:w="3266"/>
            <w:tcMar>
              <w:top w:type="dxa" w:w="80"/>
              <w:left w:type="dxa" w:w="100"/>
              <w:bottom w:type="dxa" w:w="80"/>
              <w:right w:type="dxa" w:w="100"/>
            </w:tcMar>
          </w:tcPr>
          <w:p>
            <w:r>
              <w:rPr>
                <w:sz w:val="20"/>
                <w:szCs w:val="20"/>
              </w:rPr>
              <w:t xml:space="preserve">Test Cases 1–5 in the source specification are the seed set</w:t>
            </w:r>
          </w:p>
        </w:tc>
      </w:tr>
      <w:tr>
        <w:trPr>
          <w:tblHeader w:val="false"/>
        </w:trPr>
        <w:tc>
          <w:tcPr>
            <w:tcW w:type="dxa" w:w="3266"/>
            <w:tcMar>
              <w:top w:type="dxa" w:w="80"/>
              <w:left w:type="dxa" w:w="100"/>
              <w:bottom w:type="dxa" w:w="80"/>
              <w:right w:type="dxa" w:w="100"/>
            </w:tcMar>
          </w:tcPr>
          <w:p>
            <w:r>
              <w:rPr>
                <w:b/>
                <w:bCs/>
                <w:sz w:val="20"/>
                <w:szCs w:val="20"/>
              </w:rPr>
              <w:t xml:space="preserve">Synthetic datasets</w:t>
            </w:r>
          </w:p>
        </w:tc>
        <w:tc>
          <w:tcPr>
            <w:tcW w:type="dxa" w:w="3266"/>
            <w:tcMar>
              <w:top w:type="dxa" w:w="80"/>
              <w:left w:type="dxa" w:w="100"/>
              <w:bottom w:type="dxa" w:w="80"/>
              <w:right w:type="dxa" w:w="100"/>
            </w:tcMar>
          </w:tcPr>
          <w:p>
            <w:r>
              <w:rPr>
                <w:sz w:val="20"/>
                <w:szCs w:val="20"/>
              </w:rPr>
              <w:t xml:space="preserve">LLM-generated paraphrases of golden queries to test retrieval robustness to phrasing variation</w:t>
            </w:r>
          </w:p>
        </w:tc>
        <w:tc>
          <w:tcPr>
            <w:tcW w:type="dxa" w:w="3266"/>
            <w:tcMar>
              <w:top w:type="dxa" w:w="80"/>
              <w:left w:type="dxa" w:w="100"/>
              <w:bottom w:type="dxa" w:w="80"/>
              <w:right w:type="dxa" w:w="100"/>
            </w:tcMar>
          </w:tcPr>
          <w:p>
            <w:r>
              <w:rPr>
                <w:sz w:val="20"/>
                <w:szCs w:val="20"/>
              </w:rPr>
              <w:t xml:space="preserve">"What card for a fifty-thousand-rupee flight?" as a paraphrase stress test</w:t>
            </w:r>
          </w:p>
        </w:tc>
      </w:tr>
    </w:tbl>
    <w:p>
      <w:pPr>
        <w:spacing w:after="200"/>
      </w:pPr>
    </w:p>
    <w:p>
      <w:pPr>
        <w:pStyle w:val="Heading1"/>
        <w:pageBreakBefore/>
        <w:spacing w:after="180" w:before="360"/>
      </w:pPr>
      <w:bookmarkStart w:name="sec19" w:id="1"/>
      <w:r>
        <w:t xml:space="preserve">20. Evaluation Metrics</w:t>
      </w:r>
      <w:bookmarkEnd w:id="1"/>
    </w:p>
    <w:tbl>
      <w:tblPr>
        <w:tblW w:type="dxa" w:w="9800"/>
        <w:tblBorders>
          <w:top w:val="single" w:color="BFBFBF" w:sz="2"/>
          <w:left w:val="single" w:color="BFBFBF" w:sz="2"/>
          <w:bottom w:val="single" w:color="BFBFBF" w:sz="2"/>
          <w:right w:val="single" w:color="BFBFBF" w:sz="2"/>
          <w:insideH w:val="single" w:color="D9D9D9" w:sz="2"/>
          <w:insideV w:val="single" w:color="D9D9D9" w:sz="2"/>
        </w:tblBorders>
      </w:tblPr>
      <w:tblGrid>
        <w:gridCol w:w="100"/>
        <w:gridCol w:w="100"/>
        <w:gridCol w:w="100"/>
      </w:tblGrid>
      <w:tr>
        <w:trPr>
          <w:tblHeader/>
        </w:trPr>
        <w:tc>
          <w:tcPr>
            <w:tcW w:type="dxa" w:w="3266"/>
            <w:shd w:fill="1F4E79" w:color="auto" w:val="clear"/>
            <w:tcMar>
              <w:top w:type="dxa" w:w="80"/>
              <w:left w:type="dxa" w:w="100"/>
              <w:bottom w:type="dxa" w:w="80"/>
              <w:right w:type="dxa" w:w="100"/>
            </w:tcMar>
          </w:tcPr>
          <w:p>
            <w:r>
              <w:rPr>
                <w:b/>
                <w:bCs/>
                <w:color w:val="FFFFFF"/>
                <w:sz w:val="20"/>
                <w:szCs w:val="20"/>
              </w:rPr>
              <w:t xml:space="preserve">Metric</w:t>
            </w:r>
          </w:p>
        </w:tc>
        <w:tc>
          <w:tcPr>
            <w:tcW w:type="dxa" w:w="3266"/>
            <w:shd w:fill="1F4E79" w:color="auto" w:val="clear"/>
            <w:tcMar>
              <w:top w:type="dxa" w:w="80"/>
              <w:left w:type="dxa" w:w="100"/>
              <w:bottom w:type="dxa" w:w="80"/>
              <w:right w:type="dxa" w:w="100"/>
            </w:tcMar>
          </w:tcPr>
          <w:p>
            <w:r>
              <w:rPr>
                <w:b/>
                <w:bCs/>
                <w:color w:val="FFFFFF"/>
                <w:sz w:val="20"/>
                <w:szCs w:val="20"/>
              </w:rPr>
              <w:t xml:space="preserve">Definition</w:t>
            </w:r>
          </w:p>
        </w:tc>
        <w:tc>
          <w:tcPr>
            <w:tcW w:type="dxa" w:w="3266"/>
            <w:shd w:fill="1F4E79" w:color="auto" w:val="clear"/>
            <w:tcMar>
              <w:top w:type="dxa" w:w="80"/>
              <w:left w:type="dxa" w:w="100"/>
              <w:bottom w:type="dxa" w:w="80"/>
              <w:right w:type="dxa" w:w="100"/>
            </w:tcMar>
          </w:tcPr>
          <w:p>
            <w:r>
              <w:rPr>
                <w:b/>
                <w:bCs/>
                <w:color w:val="FFFFFF"/>
                <w:sz w:val="20"/>
                <w:szCs w:val="20"/>
              </w:rPr>
              <w:t xml:space="preserve">Applies to</w:t>
            </w:r>
          </w:p>
        </w:tc>
      </w:tr>
      <w:tr>
        <w:trPr>
          <w:tblHeader w:val="false"/>
        </w:trPr>
        <w:tc>
          <w:tcPr>
            <w:tcW w:type="dxa" w:w="3266"/>
            <w:tcMar>
              <w:top w:type="dxa" w:w="80"/>
              <w:left w:type="dxa" w:w="100"/>
              <w:bottom w:type="dxa" w:w="80"/>
              <w:right w:type="dxa" w:w="100"/>
            </w:tcMar>
          </w:tcPr>
          <w:p>
            <w:r>
              <w:rPr>
                <w:sz w:val="20"/>
                <w:szCs w:val="20"/>
              </w:rPr>
              <w:t xml:space="preserve">Precision@K</w:t>
            </w:r>
          </w:p>
        </w:tc>
        <w:tc>
          <w:tcPr>
            <w:tcW w:type="dxa" w:w="3266"/>
            <w:tcMar>
              <w:top w:type="dxa" w:w="80"/>
              <w:left w:type="dxa" w:w="100"/>
              <w:bottom w:type="dxa" w:w="80"/>
              <w:right w:type="dxa" w:w="100"/>
            </w:tcMar>
          </w:tcPr>
          <w:p>
            <w:r>
              <w:rPr>
                <w:sz w:val="20"/>
                <w:szCs w:val="20"/>
              </w:rPr>
              <w:t xml:space="preserve">Fraction of top-K retrieved chunks that are relevant</w:t>
            </w:r>
          </w:p>
        </w:tc>
        <w:tc>
          <w:tcPr>
            <w:tcW w:type="dxa" w:w="3266"/>
            <w:tcMar>
              <w:top w:type="dxa" w:w="80"/>
              <w:left w:type="dxa" w:w="100"/>
              <w:bottom w:type="dxa" w:w="80"/>
              <w:right w:type="dxa" w:w="100"/>
            </w:tcMar>
          </w:tcPr>
          <w:p>
            <w:r>
              <w:rPr>
                <w:sz w:val="20"/>
                <w:szCs w:val="20"/>
              </w:rPr>
              <w:t xml:space="preserve">Retrieval</w:t>
            </w:r>
          </w:p>
        </w:tc>
      </w:tr>
      <w:tr>
        <w:trPr>
          <w:tblHeader w:val="false"/>
        </w:trPr>
        <w:tc>
          <w:tcPr>
            <w:tcW w:type="dxa" w:w="3266"/>
            <w:tcMar>
              <w:top w:type="dxa" w:w="80"/>
              <w:left w:type="dxa" w:w="100"/>
              <w:bottom w:type="dxa" w:w="80"/>
              <w:right w:type="dxa" w:w="100"/>
            </w:tcMar>
          </w:tcPr>
          <w:p>
            <w:r>
              <w:rPr>
                <w:sz w:val="20"/>
                <w:szCs w:val="20"/>
              </w:rPr>
              <w:t xml:space="preserve">Recall@K</w:t>
            </w:r>
          </w:p>
        </w:tc>
        <w:tc>
          <w:tcPr>
            <w:tcW w:type="dxa" w:w="3266"/>
            <w:tcMar>
              <w:top w:type="dxa" w:w="80"/>
              <w:left w:type="dxa" w:w="100"/>
              <w:bottom w:type="dxa" w:w="80"/>
              <w:right w:type="dxa" w:w="100"/>
            </w:tcMar>
          </w:tcPr>
          <w:p>
            <w:r>
              <w:rPr>
                <w:sz w:val="20"/>
                <w:szCs w:val="20"/>
              </w:rPr>
              <w:t xml:space="preserve">Fraction of all relevant chunks captured in top-K</w:t>
            </w:r>
          </w:p>
        </w:tc>
        <w:tc>
          <w:tcPr>
            <w:tcW w:type="dxa" w:w="3266"/>
            <w:tcMar>
              <w:top w:type="dxa" w:w="80"/>
              <w:left w:type="dxa" w:w="100"/>
              <w:bottom w:type="dxa" w:w="80"/>
              <w:right w:type="dxa" w:w="100"/>
            </w:tcMar>
          </w:tcPr>
          <w:p>
            <w:r>
              <w:rPr>
                <w:sz w:val="20"/>
                <w:szCs w:val="20"/>
              </w:rPr>
              <w:t xml:space="preserve">Retrieval</w:t>
            </w:r>
          </w:p>
        </w:tc>
      </w:tr>
      <w:tr>
        <w:trPr>
          <w:tblHeader w:val="false"/>
        </w:trPr>
        <w:tc>
          <w:tcPr>
            <w:tcW w:type="dxa" w:w="3266"/>
            <w:tcMar>
              <w:top w:type="dxa" w:w="80"/>
              <w:left w:type="dxa" w:w="100"/>
              <w:bottom w:type="dxa" w:w="80"/>
              <w:right w:type="dxa" w:w="100"/>
            </w:tcMar>
          </w:tcPr>
          <w:p>
            <w:r>
              <w:rPr>
                <w:sz w:val="20"/>
                <w:szCs w:val="20"/>
              </w:rPr>
              <w:t xml:space="preserve">MRR (Mean Reciprocal Rank)</w:t>
            </w:r>
          </w:p>
        </w:tc>
        <w:tc>
          <w:tcPr>
            <w:tcW w:type="dxa" w:w="3266"/>
            <w:tcMar>
              <w:top w:type="dxa" w:w="80"/>
              <w:left w:type="dxa" w:w="100"/>
              <w:bottom w:type="dxa" w:w="80"/>
              <w:right w:type="dxa" w:w="100"/>
            </w:tcMar>
          </w:tcPr>
          <w:p>
            <w:r>
              <w:rPr>
                <w:sz w:val="20"/>
                <w:szCs w:val="20"/>
              </w:rPr>
              <w:t xml:space="preserve">Average of 1/rank of first relevant chunk</w:t>
            </w:r>
          </w:p>
        </w:tc>
        <w:tc>
          <w:tcPr>
            <w:tcW w:type="dxa" w:w="3266"/>
            <w:tcMar>
              <w:top w:type="dxa" w:w="80"/>
              <w:left w:type="dxa" w:w="100"/>
              <w:bottom w:type="dxa" w:w="80"/>
              <w:right w:type="dxa" w:w="100"/>
            </w:tcMar>
          </w:tcPr>
          <w:p>
            <w:r>
              <w:rPr>
                <w:sz w:val="20"/>
                <w:szCs w:val="20"/>
              </w:rPr>
              <w:t xml:space="preserve">Retrieval</w:t>
            </w:r>
          </w:p>
        </w:tc>
      </w:tr>
      <w:tr>
        <w:trPr>
          <w:tblHeader w:val="false"/>
        </w:trPr>
        <w:tc>
          <w:tcPr>
            <w:tcW w:type="dxa" w:w="3266"/>
            <w:tcMar>
              <w:top w:type="dxa" w:w="80"/>
              <w:left w:type="dxa" w:w="100"/>
              <w:bottom w:type="dxa" w:w="80"/>
              <w:right w:type="dxa" w:w="100"/>
            </w:tcMar>
          </w:tcPr>
          <w:p>
            <w:r>
              <w:rPr>
                <w:sz w:val="20"/>
                <w:szCs w:val="20"/>
              </w:rPr>
              <w:t xml:space="preserve">Context Precision</w:t>
            </w:r>
          </w:p>
        </w:tc>
        <w:tc>
          <w:tcPr>
            <w:tcW w:type="dxa" w:w="3266"/>
            <w:tcMar>
              <w:top w:type="dxa" w:w="80"/>
              <w:left w:type="dxa" w:w="100"/>
              <w:bottom w:type="dxa" w:w="80"/>
              <w:right w:type="dxa" w:w="100"/>
            </w:tcMar>
          </w:tcPr>
          <w:p>
            <w:r>
              <w:rPr>
                <w:sz w:val="20"/>
                <w:szCs w:val="20"/>
              </w:rPr>
              <w:t xml:space="preserve">Of retrieved context actually used in the answer, how much was relevant</w:t>
            </w:r>
          </w:p>
        </w:tc>
        <w:tc>
          <w:tcPr>
            <w:tcW w:type="dxa" w:w="3266"/>
            <w:tcMar>
              <w:top w:type="dxa" w:w="80"/>
              <w:left w:type="dxa" w:w="100"/>
              <w:bottom w:type="dxa" w:w="80"/>
              <w:right w:type="dxa" w:w="100"/>
            </w:tcMar>
          </w:tcPr>
          <w:p>
            <w:r>
              <w:rPr>
                <w:sz w:val="20"/>
                <w:szCs w:val="20"/>
              </w:rPr>
              <w:t xml:space="preserve">RAG pipeline</w:t>
            </w:r>
          </w:p>
        </w:tc>
      </w:tr>
      <w:tr>
        <w:trPr>
          <w:tblHeader w:val="false"/>
        </w:trPr>
        <w:tc>
          <w:tcPr>
            <w:tcW w:type="dxa" w:w="3266"/>
            <w:tcMar>
              <w:top w:type="dxa" w:w="80"/>
              <w:left w:type="dxa" w:w="100"/>
              <w:bottom w:type="dxa" w:w="80"/>
              <w:right w:type="dxa" w:w="100"/>
            </w:tcMar>
          </w:tcPr>
          <w:p>
            <w:r>
              <w:rPr>
                <w:sz w:val="20"/>
                <w:szCs w:val="20"/>
              </w:rPr>
              <w:t xml:space="preserve">Faithfulness</w:t>
            </w:r>
          </w:p>
        </w:tc>
        <w:tc>
          <w:tcPr>
            <w:tcW w:type="dxa" w:w="3266"/>
            <w:tcMar>
              <w:top w:type="dxa" w:w="80"/>
              <w:left w:type="dxa" w:w="100"/>
              <w:bottom w:type="dxa" w:w="80"/>
              <w:right w:type="dxa" w:w="100"/>
            </w:tcMar>
          </w:tcPr>
          <w:p>
            <w:r>
              <w:rPr>
                <w:sz w:val="20"/>
                <w:szCs w:val="20"/>
              </w:rPr>
              <w:t xml:space="preserve">Does the generated answer's claims logically follow from retrieved context (no invented facts)</w:t>
            </w:r>
          </w:p>
        </w:tc>
        <w:tc>
          <w:tcPr>
            <w:tcW w:type="dxa" w:w="3266"/>
            <w:tcMar>
              <w:top w:type="dxa" w:w="80"/>
              <w:left w:type="dxa" w:w="100"/>
              <w:bottom w:type="dxa" w:w="80"/>
              <w:right w:type="dxa" w:w="100"/>
            </w:tcMar>
          </w:tcPr>
          <w:p>
            <w:r>
              <w:rPr>
                <w:sz w:val="20"/>
                <w:szCs w:val="20"/>
              </w:rPr>
              <w:t xml:space="preserve">Generation</w:t>
            </w:r>
          </w:p>
        </w:tc>
      </w:tr>
      <w:tr>
        <w:trPr>
          <w:tblHeader w:val="false"/>
        </w:trPr>
        <w:tc>
          <w:tcPr>
            <w:tcW w:type="dxa" w:w="3266"/>
            <w:tcMar>
              <w:top w:type="dxa" w:w="80"/>
              <w:left w:type="dxa" w:w="100"/>
              <w:bottom w:type="dxa" w:w="80"/>
              <w:right w:type="dxa" w:w="100"/>
            </w:tcMar>
          </w:tcPr>
          <w:p>
            <w:r>
              <w:rPr>
                <w:sz w:val="20"/>
                <w:szCs w:val="20"/>
              </w:rPr>
              <w:t xml:space="preserve">Answer Relevancy</w:t>
            </w:r>
          </w:p>
        </w:tc>
        <w:tc>
          <w:tcPr>
            <w:tcW w:type="dxa" w:w="3266"/>
            <w:tcMar>
              <w:top w:type="dxa" w:w="80"/>
              <w:left w:type="dxa" w:w="100"/>
              <w:bottom w:type="dxa" w:w="80"/>
              <w:right w:type="dxa" w:w="100"/>
            </w:tcMar>
          </w:tcPr>
          <w:p>
            <w:r>
              <w:rPr>
                <w:sz w:val="20"/>
                <w:szCs w:val="20"/>
              </w:rPr>
              <w:t xml:space="preserve">Does the answer actually address the user's question</w:t>
            </w:r>
          </w:p>
        </w:tc>
        <w:tc>
          <w:tcPr>
            <w:tcW w:type="dxa" w:w="3266"/>
            <w:tcMar>
              <w:top w:type="dxa" w:w="80"/>
              <w:left w:type="dxa" w:w="100"/>
              <w:bottom w:type="dxa" w:w="80"/>
              <w:right w:type="dxa" w:w="100"/>
            </w:tcMar>
          </w:tcPr>
          <w:p>
            <w:r>
              <w:rPr>
                <w:sz w:val="20"/>
                <w:szCs w:val="20"/>
              </w:rPr>
              <w:t xml:space="preserve">Generation</w:t>
            </w:r>
          </w:p>
        </w:tc>
      </w:tr>
      <w:tr>
        <w:trPr>
          <w:tblHeader w:val="false"/>
        </w:trPr>
        <w:tc>
          <w:tcPr>
            <w:tcW w:type="dxa" w:w="3266"/>
            <w:tcMar>
              <w:top w:type="dxa" w:w="80"/>
              <w:left w:type="dxa" w:w="100"/>
              <w:bottom w:type="dxa" w:w="80"/>
              <w:right w:type="dxa" w:w="100"/>
            </w:tcMar>
          </w:tcPr>
          <w:p>
            <w:r>
              <w:rPr>
                <w:sz w:val="20"/>
                <w:szCs w:val="20"/>
              </w:rPr>
              <w:t xml:space="preserve">Hallucination Rate</w:t>
            </w:r>
          </w:p>
        </w:tc>
        <w:tc>
          <w:tcPr>
            <w:tcW w:type="dxa" w:w="3266"/>
            <w:tcMar>
              <w:top w:type="dxa" w:w="80"/>
              <w:left w:type="dxa" w:w="100"/>
              <w:bottom w:type="dxa" w:w="80"/>
              <w:right w:type="dxa" w:w="100"/>
            </w:tcMar>
          </w:tcPr>
          <w:p>
            <w:r>
              <w:rPr>
                <w:sz w:val="20"/>
                <w:szCs w:val="20"/>
              </w:rPr>
              <w:t xml:space="preserve">% of answers containing at least one unsupported factual claim</w:t>
            </w:r>
          </w:p>
        </w:tc>
        <w:tc>
          <w:tcPr>
            <w:tcW w:type="dxa" w:w="3266"/>
            <w:tcMar>
              <w:top w:type="dxa" w:w="80"/>
              <w:left w:type="dxa" w:w="100"/>
              <w:bottom w:type="dxa" w:w="80"/>
              <w:right w:type="dxa" w:w="100"/>
            </w:tcMar>
          </w:tcPr>
          <w:p>
            <w:r>
              <w:rPr>
                <w:sz w:val="20"/>
                <w:szCs w:val="20"/>
              </w:rPr>
              <w:t xml:space="preserve">Generation (target: 0%, enforced by guardrail)</w:t>
            </w:r>
          </w:p>
        </w:tc>
      </w:tr>
      <w:tr>
        <w:trPr>
          <w:tblHeader w:val="false"/>
        </w:trPr>
        <w:tc>
          <w:tcPr>
            <w:tcW w:type="dxa" w:w="3266"/>
            <w:tcMar>
              <w:top w:type="dxa" w:w="80"/>
              <w:left w:type="dxa" w:w="100"/>
              <w:bottom w:type="dxa" w:w="80"/>
              <w:right w:type="dxa" w:w="100"/>
            </w:tcMar>
          </w:tcPr>
          <w:p>
            <w:r>
              <w:rPr>
                <w:sz w:val="20"/>
                <w:szCs w:val="20"/>
              </w:rPr>
              <w:t xml:space="preserve">Latency</w:t>
            </w:r>
          </w:p>
        </w:tc>
        <w:tc>
          <w:tcPr>
            <w:tcW w:type="dxa" w:w="3266"/>
            <w:tcMar>
              <w:top w:type="dxa" w:w="80"/>
              <w:left w:type="dxa" w:w="100"/>
              <w:bottom w:type="dxa" w:w="80"/>
              <w:right w:type="dxa" w:w="100"/>
            </w:tcMar>
          </w:tcPr>
          <w:p>
            <w:r>
              <w:rPr>
                <w:sz w:val="20"/>
                <w:szCs w:val="20"/>
              </w:rPr>
              <w:t xml:space="preserve">End-to-end response time, P50/P95</w:t>
            </w:r>
          </w:p>
        </w:tc>
        <w:tc>
          <w:tcPr>
            <w:tcW w:type="dxa" w:w="3266"/>
            <w:tcMar>
              <w:top w:type="dxa" w:w="80"/>
              <w:left w:type="dxa" w:w="100"/>
              <w:bottom w:type="dxa" w:w="80"/>
              <w:right w:type="dxa" w:w="100"/>
            </w:tcMar>
          </w:tcPr>
          <w:p>
            <w:r>
              <w:rPr>
                <w:sz w:val="20"/>
                <w:szCs w:val="20"/>
              </w:rPr>
              <w:t xml:space="preserve">System</w:t>
            </w:r>
          </w:p>
        </w:tc>
      </w:tr>
      <w:tr>
        <w:trPr>
          <w:tblHeader w:val="false"/>
        </w:trPr>
        <w:tc>
          <w:tcPr>
            <w:tcW w:type="dxa" w:w="3266"/>
            <w:tcMar>
              <w:top w:type="dxa" w:w="80"/>
              <w:left w:type="dxa" w:w="100"/>
              <w:bottom w:type="dxa" w:w="80"/>
              <w:right w:type="dxa" w:w="100"/>
            </w:tcMar>
          </w:tcPr>
          <w:p>
            <w:r>
              <w:rPr>
                <w:sz w:val="20"/>
                <w:szCs w:val="20"/>
              </w:rPr>
              <w:t xml:space="preserve">Token Cost</w:t>
            </w:r>
          </w:p>
        </w:tc>
        <w:tc>
          <w:tcPr>
            <w:tcW w:type="dxa" w:w="3266"/>
            <w:tcMar>
              <w:top w:type="dxa" w:w="80"/>
              <w:left w:type="dxa" w:w="100"/>
              <w:bottom w:type="dxa" w:w="80"/>
              <w:right w:type="dxa" w:w="100"/>
            </w:tcMar>
          </w:tcPr>
          <w:p>
            <w:r>
              <w:rPr>
                <w:sz w:val="20"/>
                <w:szCs w:val="20"/>
              </w:rPr>
              <w:t xml:space="preserve">Average tokens consumed per query (cost proxy)</w:t>
            </w:r>
          </w:p>
        </w:tc>
        <w:tc>
          <w:tcPr>
            <w:tcW w:type="dxa" w:w="3266"/>
            <w:tcMar>
              <w:top w:type="dxa" w:w="80"/>
              <w:left w:type="dxa" w:w="100"/>
              <w:bottom w:type="dxa" w:w="80"/>
              <w:right w:type="dxa" w:w="100"/>
            </w:tcMar>
          </w:tcPr>
          <w:p>
            <w:r>
              <w:rPr>
                <w:sz w:val="20"/>
                <w:szCs w:val="20"/>
              </w:rPr>
              <w:t xml:space="preserve">System</w:t>
            </w:r>
          </w:p>
        </w:tc>
      </w:tr>
      <w:tr>
        <w:trPr>
          <w:tblHeader w:val="false"/>
        </w:trPr>
        <w:tc>
          <w:tcPr>
            <w:tcW w:type="dxa" w:w="3266"/>
            <w:tcMar>
              <w:top w:type="dxa" w:w="80"/>
              <w:left w:type="dxa" w:w="100"/>
              <w:bottom w:type="dxa" w:w="80"/>
              <w:right w:type="dxa" w:w="100"/>
            </w:tcMar>
          </w:tcPr>
          <w:p>
            <w:r>
              <w:rPr>
                <w:sz w:val="20"/>
                <w:szCs w:val="20"/>
              </w:rPr>
              <w:t xml:space="preserve">User Satisfaction</w:t>
            </w:r>
          </w:p>
        </w:tc>
        <w:tc>
          <w:tcPr>
            <w:tcW w:type="dxa" w:w="3266"/>
            <w:tcMar>
              <w:top w:type="dxa" w:w="80"/>
              <w:left w:type="dxa" w:w="100"/>
              <w:bottom w:type="dxa" w:w="80"/>
              <w:right w:type="dxa" w:w="100"/>
            </w:tcMar>
          </w:tcPr>
          <w:p>
            <w:r>
              <w:rPr>
                <w:sz w:val="20"/>
                <w:szCs w:val="20"/>
              </w:rPr>
              <w:t xml:space="preserve">Survey/feedback-derived (FR-9)</w:t>
            </w:r>
          </w:p>
        </w:tc>
        <w:tc>
          <w:tcPr>
            <w:tcW w:type="dxa" w:w="3266"/>
            <w:tcMar>
              <w:top w:type="dxa" w:w="80"/>
              <w:left w:type="dxa" w:w="100"/>
              <w:bottom w:type="dxa" w:w="80"/>
              <w:right w:type="dxa" w:w="100"/>
            </w:tcMar>
          </w:tcPr>
          <w:p>
            <w:r>
              <w:rPr>
                <w:sz w:val="20"/>
                <w:szCs w:val="20"/>
              </w:rPr>
              <w:t xml:space="preserve">Product</w:t>
            </w:r>
          </w:p>
        </w:tc>
      </w:tr>
      <w:tr>
        <w:trPr>
          <w:tblHeader w:val="false"/>
        </w:trPr>
        <w:tc>
          <w:tcPr>
            <w:tcW w:type="dxa" w:w="3266"/>
            <w:tcMar>
              <w:top w:type="dxa" w:w="80"/>
              <w:left w:type="dxa" w:w="100"/>
              <w:bottom w:type="dxa" w:w="80"/>
              <w:right w:type="dxa" w:w="100"/>
            </w:tcMar>
          </w:tcPr>
          <w:p>
            <w:r>
              <w:rPr>
                <w:sz w:val="20"/>
                <w:szCs w:val="20"/>
              </w:rPr>
              <w:t xml:space="preserve">Calculation Accuracy</w:t>
            </w:r>
          </w:p>
        </w:tc>
        <w:tc>
          <w:tcPr>
            <w:tcW w:type="dxa" w:w="3266"/>
            <w:tcMar>
              <w:top w:type="dxa" w:w="80"/>
              <w:left w:type="dxa" w:w="100"/>
              <w:bottom w:type="dxa" w:w="80"/>
              <w:right w:type="dxa" w:w="100"/>
            </w:tcMar>
          </w:tcPr>
          <w:p>
            <w:r>
              <w:rPr>
                <w:sz w:val="20"/>
                <w:szCs w:val="20"/>
              </w:rPr>
              <w:t xml:space="preserve">% of calculator outputs matching hand-verified expected values</w:t>
            </w:r>
          </w:p>
        </w:tc>
        <w:tc>
          <w:tcPr>
            <w:tcW w:type="dxa" w:w="3266"/>
            <w:tcMar>
              <w:top w:type="dxa" w:w="80"/>
              <w:left w:type="dxa" w:w="100"/>
              <w:bottom w:type="dxa" w:w="80"/>
              <w:right w:type="dxa" w:w="100"/>
            </w:tcMar>
          </w:tcPr>
          <w:p>
            <w:r>
              <w:rPr>
                <w:sz w:val="20"/>
                <w:szCs w:val="20"/>
              </w:rPr>
              <w:t xml:space="preserve">Calculator tool (target: 100%, since it's deterministic)</w:t>
            </w:r>
          </w:p>
        </w:tc>
      </w:tr>
    </w:tbl>
    <w:p>
      <w:pPr>
        <w:spacing w:after="200"/>
      </w:pPr>
    </w:p>
    <w:p>
      <w:pPr>
        <w:spacing w:after="160" w:line="300"/>
      </w:pPr>
      <w:r>
        <w:t xml:space="preserve">RAGAS (or an equivalent custom scoring harness) is recommended for faithfulness/context precision/answer relevancy; calculation accuracy and hallucination rate are better served by a small, hand-verified golden set than by automated LLM-graded metrics alone, since financial correctness needs a hard ground truth, not a fuzzy judge.</w:t>
      </w:r>
    </w:p>
    <w:p>
      <w:pPr>
        <w:pStyle w:val="Heading1"/>
        <w:pageBreakBefore/>
        <w:spacing w:after="180" w:before="360"/>
      </w:pPr>
      <w:bookmarkStart w:name="sec20" w:id="1"/>
      <w:r>
        <w:t xml:space="preserve">21. Implementation Roadmap</w:t>
      </w:r>
      <w:bookmarkEnd w:id="1"/>
    </w:p>
    <w:p>
      <w:pPr>
        <w:spacing w:after="160" w:before="300"/>
      </w:pPr>
      <w:r>
        <w:rPr>
          <w:i/>
          <w:iCs/>
          <w:color w:val="595959"/>
        </w:rPr>
        <w:t xml:space="preserve">(Directly building on the three-stage plan in the source specification, with milestones made explicit.)</w:t>
      </w:r>
    </w:p>
    <w:tbl>
      <w:tblPr>
        <w:tblW w:type="dxa" w:w="9800"/>
        <w:tblBorders>
          <w:top w:val="single" w:color="BFBFBF" w:sz="2"/>
          <w:left w:val="single" w:color="BFBFBF" w:sz="2"/>
          <w:bottom w:val="single" w:color="BFBFBF" w:sz="2"/>
          <w:right w:val="single" w:color="BFBFBF" w:sz="2"/>
          <w:insideH w:val="single" w:color="D9D9D9" w:sz="2"/>
          <w:insideV w:val="single" w:color="D9D9D9" w:sz="2"/>
        </w:tblBorders>
      </w:tblPr>
      <w:tblGrid>
        <w:gridCol w:w="100"/>
        <w:gridCol w:w="100"/>
        <w:gridCol w:w="100"/>
        <w:gridCol w:w="100"/>
      </w:tblGrid>
      <w:tr>
        <w:trPr>
          <w:tblHeader/>
        </w:trPr>
        <w:tc>
          <w:tcPr>
            <w:tcW w:type="dxa" w:w="2450"/>
            <w:shd w:fill="1F4E79" w:color="auto" w:val="clear"/>
            <w:tcMar>
              <w:top w:type="dxa" w:w="80"/>
              <w:left w:type="dxa" w:w="100"/>
              <w:bottom w:type="dxa" w:w="80"/>
              <w:right w:type="dxa" w:w="100"/>
            </w:tcMar>
          </w:tcPr>
          <w:p>
            <w:r>
              <w:rPr>
                <w:b/>
                <w:bCs/>
                <w:color w:val="FFFFFF"/>
                <w:sz w:val="20"/>
                <w:szCs w:val="20"/>
              </w:rPr>
              <w:t xml:space="preserve">Phase</w:t>
            </w:r>
          </w:p>
        </w:tc>
        <w:tc>
          <w:tcPr>
            <w:tcW w:type="dxa" w:w="2450"/>
            <w:shd w:fill="1F4E79" w:color="auto" w:val="clear"/>
            <w:tcMar>
              <w:top w:type="dxa" w:w="80"/>
              <w:left w:type="dxa" w:w="100"/>
              <w:bottom w:type="dxa" w:w="80"/>
              <w:right w:type="dxa" w:w="100"/>
            </w:tcMar>
          </w:tcPr>
          <w:p>
            <w:r>
              <w:rPr>
                <w:b/>
                <w:bCs/>
                <w:color w:val="FFFFFF"/>
                <w:sz w:val="20"/>
                <w:szCs w:val="20"/>
              </w:rPr>
              <w:t xml:space="preserve">Scope</w:t>
            </w:r>
          </w:p>
        </w:tc>
        <w:tc>
          <w:tcPr>
            <w:tcW w:type="dxa" w:w="2450"/>
            <w:shd w:fill="1F4E79" w:color="auto" w:val="clear"/>
            <w:tcMar>
              <w:top w:type="dxa" w:w="80"/>
              <w:left w:type="dxa" w:w="100"/>
              <w:bottom w:type="dxa" w:w="80"/>
              <w:right w:type="dxa" w:w="100"/>
            </w:tcMar>
          </w:tcPr>
          <w:p>
            <w:r>
              <w:rPr>
                <w:b/>
                <w:bCs/>
                <w:color w:val="FFFFFF"/>
                <w:sz w:val="20"/>
                <w:szCs w:val="20"/>
              </w:rPr>
              <w:t xml:space="preserve">Key deliverables</w:t>
            </w:r>
          </w:p>
        </w:tc>
        <w:tc>
          <w:tcPr>
            <w:tcW w:type="dxa" w:w="2450"/>
            <w:shd w:fill="1F4E79" w:color="auto" w:val="clear"/>
            <w:tcMar>
              <w:top w:type="dxa" w:w="80"/>
              <w:left w:type="dxa" w:w="100"/>
              <w:bottom w:type="dxa" w:w="80"/>
              <w:right w:type="dxa" w:w="100"/>
            </w:tcMar>
          </w:tcPr>
          <w:p>
            <w:r>
              <w:rPr>
                <w:b/>
                <w:bCs/>
                <w:color w:val="FFFFFF"/>
                <w:sz w:val="20"/>
                <w:szCs w:val="20"/>
              </w:rPr>
              <w:t xml:space="preserve">Dependencies</w:t>
            </w:r>
          </w:p>
        </w:tc>
      </w:tr>
      <w:tr>
        <w:trPr>
          <w:tblHeader w:val="false"/>
        </w:trPr>
        <w:tc>
          <w:tcPr>
            <w:tcW w:type="dxa" w:w="2450"/>
            <w:tcMar>
              <w:top w:type="dxa" w:w="80"/>
              <w:left w:type="dxa" w:w="100"/>
              <w:bottom w:type="dxa" w:w="80"/>
              <w:right w:type="dxa" w:w="100"/>
            </w:tcMar>
          </w:tcPr>
          <w:p>
            <w:r>
              <w:rPr>
                <w:b/>
                <w:bCs/>
                <w:sz w:val="20"/>
                <w:szCs w:val="20"/>
              </w:rPr>
              <w:t xml:space="preserve">Phase 1 (Weeks 1–4): Core MVP</w:t>
            </w:r>
          </w:p>
        </w:tc>
        <w:tc>
          <w:tcPr>
            <w:tcW w:type="dxa" w:w="2450"/>
            <w:tcMar>
              <w:top w:type="dxa" w:w="80"/>
              <w:left w:type="dxa" w:w="100"/>
              <w:bottom w:type="dxa" w:w="80"/>
              <w:right w:type="dxa" w:w="100"/>
            </w:tcMar>
          </w:tcPr>
          <w:p>
            <w:r>
              <w:rPr>
                <w:sz w:val="20"/>
                <w:szCs w:val="20"/>
              </w:rPr>
              <w:t xml:space="preserve">RAG + single agent, 4–5 cards</w:t>
            </w:r>
          </w:p>
        </w:tc>
        <w:tc>
          <w:tcPr>
            <w:tcW w:type="dxa" w:w="2450"/>
            <w:tcMar>
              <w:top w:type="dxa" w:w="80"/>
              <w:left w:type="dxa" w:w="100"/>
              <w:bottom w:type="dxa" w:w="80"/>
              <w:right w:type="dxa" w:w="100"/>
            </w:tcMar>
          </w:tcPr>
          <w:p>
            <w:r>
              <w:rPr>
                <w:sz w:val="20"/>
                <w:szCs w:val="20"/>
              </w:rPr>
              <w:t xml:space="preserve">Ingestion pipeline, pgvector store, basic retriever, single-agent recommendation, 20 golden test questions</w:t>
            </w:r>
          </w:p>
        </w:tc>
        <w:tc>
          <w:tcPr>
            <w:tcW w:type="dxa" w:w="2450"/>
            <w:tcMar>
              <w:top w:type="dxa" w:w="80"/>
              <w:left w:type="dxa" w:w="100"/>
              <w:bottom w:type="dxa" w:w="80"/>
              <w:right w:type="dxa" w:w="100"/>
            </w:tcMar>
          </w:tcPr>
          <w:p>
            <w:r>
              <w:rPr>
                <w:sz w:val="20"/>
                <w:szCs w:val="20"/>
              </w:rPr>
              <w:t xml:space="preserve">None</w:t>
            </w:r>
          </w:p>
        </w:tc>
      </w:tr>
      <w:tr>
        <w:trPr>
          <w:tblHeader w:val="false"/>
        </w:trPr>
        <w:tc>
          <w:tcPr>
            <w:tcW w:type="dxa" w:w="2450"/>
            <w:tcMar>
              <w:top w:type="dxa" w:w="80"/>
              <w:left w:type="dxa" w:w="100"/>
              <w:bottom w:type="dxa" w:w="80"/>
              <w:right w:type="dxa" w:w="100"/>
            </w:tcMar>
          </w:tcPr>
          <w:p>
            <w:r>
              <w:rPr>
                <w:b/>
                <w:bCs/>
                <w:sz w:val="20"/>
                <w:szCs w:val="20"/>
              </w:rPr>
              <w:t xml:space="preserve">Phase 2 (Weeks 5–9): Orchestration &amp; Tools</w:t>
            </w:r>
          </w:p>
        </w:tc>
        <w:tc>
          <w:tcPr>
            <w:tcW w:type="dxa" w:w="2450"/>
            <w:tcMar>
              <w:top w:type="dxa" w:w="80"/>
              <w:left w:type="dxa" w:w="100"/>
              <w:bottom w:type="dxa" w:w="80"/>
              <w:right w:type="dxa" w:w="100"/>
            </w:tcMar>
          </w:tcPr>
          <w:p>
            <w:r>
              <w:rPr>
                <w:sz w:val="20"/>
                <w:szCs w:val="20"/>
              </w:rPr>
              <w:t xml:space="preserve">LangGraph multi-node workflow, memory, calculator, structured rule table</w:t>
            </w:r>
          </w:p>
        </w:tc>
        <w:tc>
          <w:tcPr>
            <w:tcW w:type="dxa" w:w="2450"/>
            <w:tcMar>
              <w:top w:type="dxa" w:w="80"/>
              <w:left w:type="dxa" w:w="100"/>
              <w:bottom w:type="dxa" w:w="80"/>
              <w:right w:type="dxa" w:w="100"/>
            </w:tcMar>
          </w:tcPr>
          <w:p>
            <w:r>
              <w:rPr>
                <w:sz w:val="20"/>
                <w:szCs w:val="20"/>
              </w:rPr>
              <w:t xml:space="preserve">Stateful graph, calculator tool with unit tests, spend-category classifier, expanded golden set</w:t>
            </w:r>
          </w:p>
        </w:tc>
        <w:tc>
          <w:tcPr>
            <w:tcW w:type="dxa" w:w="2450"/>
            <w:tcMar>
              <w:top w:type="dxa" w:w="80"/>
              <w:left w:type="dxa" w:w="100"/>
              <w:bottom w:type="dxa" w:w="80"/>
              <w:right w:type="dxa" w:w="100"/>
            </w:tcMar>
          </w:tcPr>
          <w:p>
            <w:r>
              <w:rPr>
                <w:sz w:val="20"/>
                <w:szCs w:val="20"/>
              </w:rPr>
              <w:t xml:space="preserve">Phase 1 retrieval pipeline stable</w:t>
            </w:r>
          </w:p>
        </w:tc>
      </w:tr>
      <w:tr>
        <w:trPr>
          <w:tblHeader w:val="false"/>
        </w:trPr>
        <w:tc>
          <w:tcPr>
            <w:tcW w:type="dxa" w:w="2450"/>
            <w:tcMar>
              <w:top w:type="dxa" w:w="80"/>
              <w:left w:type="dxa" w:w="100"/>
              <w:bottom w:type="dxa" w:w="80"/>
              <w:right w:type="dxa" w:w="100"/>
            </w:tcMar>
          </w:tcPr>
          <w:p>
            <w:r>
              <w:rPr>
                <w:b/>
                <w:bCs/>
                <w:sz w:val="20"/>
                <w:szCs w:val="20"/>
              </w:rPr>
              <w:t xml:space="preserve">Phase 3 (Weeks 10–14): Guardrails &amp; Production-likeness</w:t>
            </w:r>
          </w:p>
        </w:tc>
        <w:tc>
          <w:tcPr>
            <w:tcW w:type="dxa" w:w="2450"/>
            <w:tcMar>
              <w:top w:type="dxa" w:w="80"/>
              <w:left w:type="dxa" w:w="100"/>
              <w:bottom w:type="dxa" w:w="80"/>
              <w:right w:type="dxa" w:w="100"/>
            </w:tcMar>
          </w:tcPr>
          <w:p>
            <w:r>
              <w:rPr>
                <w:sz w:val="20"/>
                <w:szCs w:val="20"/>
              </w:rPr>
              <w:t xml:space="preserve">Streamlit UI, human approval, guardrail node, monitoring</w:t>
            </w:r>
          </w:p>
        </w:tc>
        <w:tc>
          <w:tcPr>
            <w:tcW w:type="dxa" w:w="2450"/>
            <w:tcMar>
              <w:top w:type="dxa" w:w="80"/>
              <w:left w:type="dxa" w:w="100"/>
              <w:bottom w:type="dxa" w:w="80"/>
              <w:right w:type="dxa" w:w="100"/>
            </w:tcMar>
          </w:tcPr>
          <w:p>
            <w:r>
              <w:rPr>
                <w:sz w:val="20"/>
                <w:szCs w:val="20"/>
              </w:rPr>
              <w:t xml:space="preserve">Full demo flow, LangSmith/Phoenix tracing, feedback capture, final report</w:t>
            </w:r>
          </w:p>
        </w:tc>
        <w:tc>
          <w:tcPr>
            <w:tcW w:type="dxa" w:w="2450"/>
            <w:tcMar>
              <w:top w:type="dxa" w:w="80"/>
              <w:left w:type="dxa" w:w="100"/>
              <w:bottom w:type="dxa" w:w="80"/>
              <w:right w:type="dxa" w:w="100"/>
            </w:tcMar>
          </w:tcPr>
          <w:p>
            <w:r>
              <w:rPr>
                <w:sz w:val="20"/>
                <w:szCs w:val="20"/>
              </w:rPr>
              <w:t xml:space="preserve">Phase 2 agent graph stable</w:t>
            </w:r>
          </w:p>
        </w:tc>
      </w:tr>
      <w:tr>
        <w:trPr>
          <w:tblHeader w:val="false"/>
        </w:trPr>
        <w:tc>
          <w:tcPr>
            <w:tcW w:type="dxa" w:w="2450"/>
            <w:tcMar>
              <w:top w:type="dxa" w:w="80"/>
              <w:left w:type="dxa" w:w="100"/>
              <w:bottom w:type="dxa" w:w="80"/>
              <w:right w:type="dxa" w:w="100"/>
            </w:tcMar>
          </w:tcPr>
          <w:p>
            <w:r>
              <w:rPr>
                <w:b/>
                <w:bCs/>
                <w:sz w:val="20"/>
                <w:szCs w:val="20"/>
              </w:rPr>
              <w:t xml:space="preserve">Phase 4 (Weeks 15–16, buffer): Polish &amp; Evaluation</w:t>
            </w:r>
          </w:p>
        </w:tc>
        <w:tc>
          <w:tcPr>
            <w:tcW w:type="dxa" w:w="2450"/>
            <w:tcMar>
              <w:top w:type="dxa" w:w="80"/>
              <w:left w:type="dxa" w:w="100"/>
              <w:bottom w:type="dxa" w:w="80"/>
              <w:right w:type="dxa" w:w="100"/>
            </w:tcMar>
          </w:tcPr>
          <w:p>
            <w:r>
              <w:rPr>
                <w:sz w:val="20"/>
                <w:szCs w:val="20"/>
              </w:rPr>
              <w:t xml:space="preserve">Final evaluation run, documentation, demo video</w:t>
            </w:r>
          </w:p>
        </w:tc>
        <w:tc>
          <w:tcPr>
            <w:tcW w:type="dxa" w:w="2450"/>
            <w:tcMar>
              <w:top w:type="dxa" w:w="80"/>
              <w:left w:type="dxa" w:w="100"/>
              <w:bottom w:type="dxa" w:w="80"/>
              <w:right w:type="dxa" w:w="100"/>
            </w:tcMar>
          </w:tcPr>
          <w:p>
            <w:r>
              <w:rPr>
                <w:sz w:val="20"/>
                <w:szCs w:val="20"/>
              </w:rPr>
              <w:t xml:space="preserve">Evaluation report, GitHub README, recorded demo</w:t>
            </w:r>
          </w:p>
        </w:tc>
        <w:tc>
          <w:tcPr>
            <w:tcW w:type="dxa" w:w="2450"/>
            <w:tcMar>
              <w:top w:type="dxa" w:w="80"/>
              <w:left w:type="dxa" w:w="100"/>
              <w:bottom w:type="dxa" w:w="80"/>
              <w:right w:type="dxa" w:w="100"/>
            </w:tcMar>
          </w:tcPr>
          <w:p>
            <w:r>
              <w:rPr>
                <w:sz w:val="20"/>
                <w:szCs w:val="20"/>
              </w:rPr>
              <w:t xml:space="preserve">All prior phases</w:t>
            </w:r>
          </w:p>
        </w:tc>
      </w:tr>
    </w:tbl>
    <w:p>
      <w:pPr>
        <w:spacing w:after="200"/>
      </w:pPr>
    </w:p>
    <w:p>
      <w:pPr>
        <w:pStyle w:val="Heading1"/>
        <w:pageBreakBefore/>
        <w:spacing w:after="180" w:before="360"/>
      </w:pPr>
      <w:bookmarkStart w:name="sec21" w:id="1"/>
      <w:r>
        <w:t xml:space="preserve">22. Resource Estimation</w:t>
      </w:r>
      <w:bookmarkEnd w:id="1"/>
    </w:p>
    <w:tbl>
      <w:tblPr>
        <w:tblW w:type="dxa" w:w="9800"/>
        <w:tblBorders>
          <w:top w:val="single" w:color="BFBFBF" w:sz="2"/>
          <w:left w:val="single" w:color="BFBFBF" w:sz="2"/>
          <w:bottom w:val="single" w:color="BFBFBF" w:sz="2"/>
          <w:right w:val="single" w:color="BFBFBF" w:sz="2"/>
          <w:insideH w:val="single" w:color="D9D9D9" w:sz="2"/>
          <w:insideV w:val="single" w:color="D9D9D9" w:sz="2"/>
        </w:tblBorders>
      </w:tblPr>
      <w:tblGrid>
        <w:gridCol w:w="100"/>
        <w:gridCol w:w="100"/>
      </w:tblGrid>
      <w:tr>
        <w:trPr>
          <w:tblHeader/>
        </w:trPr>
        <w:tc>
          <w:tcPr>
            <w:tcW w:type="dxa" w:w="4900"/>
            <w:shd w:fill="1F4E79" w:color="auto" w:val="clear"/>
            <w:tcMar>
              <w:top w:type="dxa" w:w="80"/>
              <w:left w:type="dxa" w:w="100"/>
              <w:bottom w:type="dxa" w:w="80"/>
              <w:right w:type="dxa" w:w="100"/>
            </w:tcMar>
          </w:tcPr>
          <w:p>
            <w:r>
              <w:rPr>
                <w:b/>
                <w:bCs/>
                <w:color w:val="FFFFFF"/>
                <w:sz w:val="20"/>
                <w:szCs w:val="20"/>
              </w:rPr>
              <w:t xml:space="preserve">Resource</w:t>
            </w:r>
          </w:p>
        </w:tc>
        <w:tc>
          <w:tcPr>
            <w:tcW w:type="dxa" w:w="4900"/>
            <w:shd w:fill="1F4E79" w:color="auto" w:val="clear"/>
            <w:tcMar>
              <w:top w:type="dxa" w:w="80"/>
              <w:left w:type="dxa" w:w="100"/>
              <w:bottom w:type="dxa" w:w="80"/>
              <w:right w:type="dxa" w:w="100"/>
            </w:tcMar>
          </w:tcPr>
          <w:p>
            <w:r>
              <w:rPr>
                <w:b/>
                <w:bCs/>
                <w:color w:val="FFFFFF"/>
                <w:sz w:val="20"/>
                <w:szCs w:val="20"/>
              </w:rPr>
              <w:t xml:space="preserve">Capstone (solo/small team) estimate</w:t>
            </w:r>
          </w:p>
        </w:tc>
      </w:tr>
      <w:tr>
        <w:trPr>
          <w:tblHeader w:val="false"/>
        </w:trPr>
        <w:tc>
          <w:tcPr>
            <w:tcW w:type="dxa" w:w="4900"/>
            <w:tcMar>
              <w:top w:type="dxa" w:w="80"/>
              <w:left w:type="dxa" w:w="100"/>
              <w:bottom w:type="dxa" w:w="80"/>
              <w:right w:type="dxa" w:w="100"/>
            </w:tcMar>
          </w:tcPr>
          <w:p>
            <w:r>
              <w:rPr>
                <w:sz w:val="20"/>
                <w:szCs w:val="20"/>
              </w:rPr>
              <w:t xml:space="preserve">Team size</w:t>
            </w:r>
          </w:p>
        </w:tc>
        <w:tc>
          <w:tcPr>
            <w:tcW w:type="dxa" w:w="4900"/>
            <w:tcMar>
              <w:top w:type="dxa" w:w="80"/>
              <w:left w:type="dxa" w:w="100"/>
              <w:bottom w:type="dxa" w:w="80"/>
              <w:right w:type="dxa" w:w="100"/>
            </w:tcMar>
          </w:tcPr>
          <w:p>
            <w:r>
              <w:rPr>
                <w:sz w:val="20"/>
                <w:szCs w:val="20"/>
              </w:rPr>
              <w:t xml:space="preserve">1–3 students</w:t>
            </w:r>
          </w:p>
        </w:tc>
      </w:tr>
      <w:tr>
        <w:trPr>
          <w:tblHeader w:val="false"/>
        </w:trPr>
        <w:tc>
          <w:tcPr>
            <w:tcW w:type="dxa" w:w="4900"/>
            <w:tcMar>
              <w:top w:type="dxa" w:w="80"/>
              <w:left w:type="dxa" w:w="100"/>
              <w:bottom w:type="dxa" w:w="80"/>
              <w:right w:type="dxa" w:w="100"/>
            </w:tcMar>
          </w:tcPr>
          <w:p>
            <w:r>
              <w:rPr>
                <w:sz w:val="20"/>
                <w:szCs w:val="20"/>
              </w:rPr>
              <w:t xml:space="preserve">Roles</w:t>
            </w:r>
          </w:p>
        </w:tc>
        <w:tc>
          <w:tcPr>
            <w:tcW w:type="dxa" w:w="4900"/>
            <w:tcMar>
              <w:top w:type="dxa" w:w="80"/>
              <w:left w:type="dxa" w:w="100"/>
              <w:bottom w:type="dxa" w:w="80"/>
              <w:right w:type="dxa" w:w="100"/>
            </w:tcMar>
          </w:tcPr>
          <w:p>
            <w:r>
              <w:rPr>
                <w:sz w:val="20"/>
                <w:szCs w:val="20"/>
              </w:rPr>
              <w:t xml:space="preserve">Backend/agent engineer, data/RAG engineer, (optional) frontend/UX</w:t>
            </w:r>
          </w:p>
        </w:tc>
      </w:tr>
      <w:tr>
        <w:trPr>
          <w:tblHeader w:val="false"/>
        </w:trPr>
        <w:tc>
          <w:tcPr>
            <w:tcW w:type="dxa" w:w="4900"/>
            <w:tcMar>
              <w:top w:type="dxa" w:w="80"/>
              <w:left w:type="dxa" w:w="100"/>
              <w:bottom w:type="dxa" w:w="80"/>
              <w:right w:type="dxa" w:w="100"/>
            </w:tcMar>
          </w:tcPr>
          <w:p>
            <w:r>
              <w:rPr>
                <w:sz w:val="20"/>
                <w:szCs w:val="20"/>
              </w:rPr>
              <w:t xml:space="preserve">Infrastructure</w:t>
            </w:r>
          </w:p>
        </w:tc>
        <w:tc>
          <w:tcPr>
            <w:tcW w:type="dxa" w:w="4900"/>
            <w:tcMar>
              <w:top w:type="dxa" w:w="80"/>
              <w:left w:type="dxa" w:w="100"/>
              <w:bottom w:type="dxa" w:w="80"/>
              <w:right w:type="dxa" w:w="100"/>
            </w:tcMar>
          </w:tcPr>
          <w:p>
            <w:r>
              <w:rPr>
                <w:sz w:val="20"/>
                <w:szCs w:val="20"/>
              </w:rPr>
              <w:t xml:space="preserve">Single cloud VM or local Docker Compose; PostgreSQL managed instance or self-hosted</w:t>
            </w:r>
          </w:p>
        </w:tc>
      </w:tr>
      <w:tr>
        <w:trPr>
          <w:tblHeader w:val="false"/>
        </w:trPr>
        <w:tc>
          <w:tcPr>
            <w:tcW w:type="dxa" w:w="4900"/>
            <w:tcMar>
              <w:top w:type="dxa" w:w="80"/>
              <w:left w:type="dxa" w:w="100"/>
              <w:bottom w:type="dxa" w:w="80"/>
              <w:right w:type="dxa" w:w="100"/>
            </w:tcMar>
          </w:tcPr>
          <w:p>
            <w:r>
              <w:rPr>
                <w:sz w:val="20"/>
                <w:szCs w:val="20"/>
              </w:rPr>
              <w:t xml:space="preserve">Cloud cost</w:t>
            </w:r>
          </w:p>
        </w:tc>
        <w:tc>
          <w:tcPr>
            <w:tcW w:type="dxa" w:w="4900"/>
            <w:tcMar>
              <w:top w:type="dxa" w:w="80"/>
              <w:left w:type="dxa" w:w="100"/>
              <w:bottom w:type="dxa" w:w="80"/>
              <w:right w:type="dxa" w:w="100"/>
            </w:tcMar>
          </w:tcPr>
          <w:p>
            <w:r>
              <w:rPr>
                <w:sz w:val="20"/>
                <w:szCs w:val="20"/>
              </w:rPr>
              <w:t xml:space="preserve">~$0–20/month at capstone scale (mostly free-tier compute)</w:t>
            </w:r>
          </w:p>
        </w:tc>
      </w:tr>
      <w:tr>
        <w:trPr>
          <w:tblHeader w:val="false"/>
        </w:trPr>
        <w:tc>
          <w:tcPr>
            <w:tcW w:type="dxa" w:w="4900"/>
            <w:tcMar>
              <w:top w:type="dxa" w:w="80"/>
              <w:left w:type="dxa" w:w="100"/>
              <w:bottom w:type="dxa" w:w="80"/>
              <w:right w:type="dxa" w:w="100"/>
            </w:tcMar>
          </w:tcPr>
          <w:p>
            <w:r>
              <w:rPr>
                <w:sz w:val="20"/>
                <w:szCs w:val="20"/>
              </w:rPr>
              <w:t xml:space="preserve">LLM cost</w:t>
            </w:r>
          </w:p>
        </w:tc>
        <w:tc>
          <w:tcPr>
            <w:tcW w:type="dxa" w:w="4900"/>
            <w:tcMar>
              <w:top w:type="dxa" w:w="80"/>
              <w:left w:type="dxa" w:w="100"/>
              <w:bottom w:type="dxa" w:w="80"/>
              <w:right w:type="dxa" w:w="100"/>
            </w:tcMar>
          </w:tcPr>
          <w:p>
            <w:r>
              <w:rPr>
                <w:sz w:val="20"/>
                <w:szCs w:val="20"/>
              </w:rPr>
              <w:t xml:space="preserve">~$5–50/month depending on query volume and model choice (mitigated by using smaller/cheaper models for intent classification and reserving stronger models for final answer generation)</w:t>
            </w:r>
          </w:p>
        </w:tc>
      </w:tr>
      <w:tr>
        <w:trPr>
          <w:tblHeader w:val="false"/>
        </w:trPr>
        <w:tc>
          <w:tcPr>
            <w:tcW w:type="dxa" w:w="4900"/>
            <w:tcMar>
              <w:top w:type="dxa" w:w="80"/>
              <w:left w:type="dxa" w:w="100"/>
              <w:bottom w:type="dxa" w:w="80"/>
              <w:right w:type="dxa" w:w="100"/>
            </w:tcMar>
          </w:tcPr>
          <w:p>
            <w:r>
              <w:rPr>
                <w:sz w:val="20"/>
                <w:szCs w:val="20"/>
              </w:rPr>
              <w:t xml:space="preserve">Storage</w:t>
            </w:r>
          </w:p>
        </w:tc>
        <w:tc>
          <w:tcPr>
            <w:tcW w:type="dxa" w:w="4900"/>
            <w:tcMar>
              <w:top w:type="dxa" w:w="80"/>
              <w:left w:type="dxa" w:w="100"/>
              <w:bottom w:type="dxa" w:w="80"/>
              <w:right w:type="dxa" w:w="100"/>
            </w:tcMar>
          </w:tcPr>
          <w:p>
            <w:r>
              <w:rPr>
                <w:sz w:val="20"/>
                <w:szCs w:val="20"/>
              </w:rPr>
              <w:t xml:space="preserve">Negligible (&lt; 1GB for 4–5 card documents' chunks + embeddings)</w:t>
            </w:r>
          </w:p>
        </w:tc>
      </w:tr>
      <w:tr>
        <w:trPr>
          <w:tblHeader w:val="false"/>
        </w:trPr>
        <w:tc>
          <w:tcPr>
            <w:tcW w:type="dxa" w:w="4900"/>
            <w:tcMar>
              <w:top w:type="dxa" w:w="80"/>
              <w:left w:type="dxa" w:w="100"/>
              <w:bottom w:type="dxa" w:w="80"/>
              <w:right w:type="dxa" w:w="100"/>
            </w:tcMar>
          </w:tcPr>
          <w:p>
            <w:r>
              <w:rPr>
                <w:sz w:val="20"/>
                <w:szCs w:val="20"/>
              </w:rPr>
              <w:t xml:space="preserve">Timeline</w:t>
            </w:r>
          </w:p>
        </w:tc>
        <w:tc>
          <w:tcPr>
            <w:tcW w:type="dxa" w:w="4900"/>
            <w:tcMar>
              <w:top w:type="dxa" w:w="80"/>
              <w:left w:type="dxa" w:w="100"/>
              <w:bottom w:type="dxa" w:w="80"/>
              <w:right w:type="dxa" w:w="100"/>
            </w:tcMar>
          </w:tcPr>
          <w:p>
            <w:r>
              <w:rPr>
                <w:sz w:val="20"/>
                <w:szCs w:val="20"/>
              </w:rPr>
              <w:t xml:space="preserve">14–16 weeks per Section 21</w:t>
            </w:r>
          </w:p>
        </w:tc>
      </w:tr>
      <w:tr>
        <w:trPr>
          <w:tblHeader w:val="false"/>
        </w:trPr>
        <w:tc>
          <w:tcPr>
            <w:tcW w:type="dxa" w:w="4900"/>
            <w:tcMar>
              <w:top w:type="dxa" w:w="80"/>
              <w:left w:type="dxa" w:w="100"/>
              <w:bottom w:type="dxa" w:w="80"/>
              <w:right w:type="dxa" w:w="100"/>
            </w:tcMar>
          </w:tcPr>
          <w:p>
            <w:r>
              <w:rPr>
                <w:sz w:val="20"/>
                <w:szCs w:val="20"/>
              </w:rPr>
              <w:t xml:space="preserve">Budget (total, capstone)</w:t>
            </w:r>
          </w:p>
        </w:tc>
        <w:tc>
          <w:tcPr>
            <w:tcW w:type="dxa" w:w="4900"/>
            <w:tcMar>
              <w:top w:type="dxa" w:w="80"/>
              <w:left w:type="dxa" w:w="100"/>
              <w:bottom w:type="dxa" w:w="80"/>
              <w:right w:type="dxa" w:w="100"/>
            </w:tcMar>
          </w:tcPr>
          <w:p>
            <w:r>
              <w:rPr>
                <w:sz w:val="20"/>
                <w:szCs w:val="20"/>
              </w:rPr>
              <w:t xml:space="preserve">Under $200 realistically, dominated by LLM API usage during heavy testing/evaluation cycles</w:t>
            </w:r>
          </w:p>
        </w:tc>
      </w:tr>
    </w:tbl>
    <w:p>
      <w:pPr>
        <w:spacing w:after="200"/>
      </w:pPr>
    </w:p>
    <w:p>
      <w:pPr>
        <w:pStyle w:val="Heading1"/>
        <w:pageBreakBefore/>
        <w:spacing w:after="180" w:before="360"/>
      </w:pPr>
      <w:bookmarkStart w:name="sec22" w:id="1"/>
      <w:r>
        <w:t xml:space="preserve">23. Future Scope</w:t>
      </w:r>
      <w:bookmarkEnd w:id="1"/>
    </w:p>
    <w:p>
      <w:pPr>
        <w:pStyle w:val="ListParagraph"/>
        <w:numPr>
          <w:ilvl w:val="0"/>
          <w:numId w:val="1"/>
        </w:numPr>
        <w:spacing w:after="80" w:line="290"/>
      </w:pPr>
      <w:r>
        <w:rPr>
          <w:b/>
          <w:bCs/>
        </w:rPr>
        <w:t xml:space="preserve">Multi-bank integration</w:t>
      </w:r>
      <w:r>
        <w:t xml:space="preserve"> — expand corpus beyond 4–5 manually curated cards; requires a human-review step on structured extraction (confidence_score-gated) to scale safely.</w:t>
      </w:r>
    </w:p>
    <w:p>
      <w:pPr>
        <w:pStyle w:val="ListParagraph"/>
        <w:numPr>
          <w:ilvl w:val="0"/>
          <w:numId w:val="1"/>
        </w:numPr>
        <w:spacing w:after="80" w:line="290"/>
      </w:pPr>
      <w:r>
        <w:rPr>
          <w:b/>
          <w:bCs/>
        </w:rPr>
        <w:t xml:space="preserve">Live APIs</w:t>
      </w:r>
      <w:r>
        <w:t xml:space="preserve"> — if/when issuers expose reward-balance APIs, replace user-declared spend with authoritative data (Account Aggregator framework, in the Indian context, is a plausible future integration point).</w:t>
      </w:r>
    </w:p>
    <w:p>
      <w:pPr>
        <w:pStyle w:val="ListParagraph"/>
        <w:numPr>
          <w:ilvl w:val="0"/>
          <w:numId w:val="1"/>
        </w:numPr>
        <w:spacing w:after="80" w:line="290"/>
      </w:pPr>
      <w:r>
        <w:rPr>
          <w:b/>
          <w:bCs/>
        </w:rPr>
        <w:t xml:space="preserve">OCR</w:t>
      </w:r>
      <w:r>
        <w:t xml:space="preserve"> — for scanned (non-text-layer) T&amp;C documents.</w:t>
      </w:r>
    </w:p>
    <w:p>
      <w:pPr>
        <w:pStyle w:val="ListParagraph"/>
        <w:numPr>
          <w:ilvl w:val="0"/>
          <w:numId w:val="1"/>
        </w:numPr>
        <w:spacing w:after="80" w:line="290"/>
      </w:pPr>
      <w:r>
        <w:rPr>
          <w:b/>
          <w:bCs/>
        </w:rPr>
        <w:t xml:space="preserve">Mobile app</w:t>
      </w:r>
      <w:r>
        <w:t xml:space="preserve"> — native wrapper around the existing FastAPI backend.</w:t>
      </w:r>
    </w:p>
    <w:p>
      <w:pPr>
        <w:pStyle w:val="ListParagraph"/>
        <w:numPr>
          <w:ilvl w:val="0"/>
          <w:numId w:val="1"/>
        </w:numPr>
        <w:spacing w:after="80" w:line="290"/>
      </w:pPr>
      <w:r>
        <w:rPr>
          <w:b/>
          <w:bCs/>
        </w:rPr>
        <w:t xml:space="preserve">Voice assistant</w:t>
      </w:r>
      <w:r>
        <w:t xml:space="preserve"> — natural extension given the conversational agent core.</w:t>
      </w:r>
    </w:p>
    <w:p>
      <w:pPr>
        <w:pStyle w:val="ListParagraph"/>
        <w:numPr>
          <w:ilvl w:val="0"/>
          <w:numId w:val="1"/>
        </w:numPr>
        <w:spacing w:after="80" w:line="290"/>
      </w:pPr>
      <w:r>
        <w:rPr>
          <w:b/>
          <w:bCs/>
        </w:rPr>
        <w:t xml:space="preserve">Financial planning</w:t>
      </w:r>
      <w:r>
        <w:t xml:space="preserve"> — broader budgeting/spend-optimization beyond just card selection (explicitly out of current scope, Section 3.7).</w:t>
      </w:r>
    </w:p>
    <w:p>
      <w:pPr>
        <w:pStyle w:val="ListParagraph"/>
        <w:numPr>
          <w:ilvl w:val="0"/>
          <w:numId w:val="1"/>
        </w:numPr>
        <w:spacing w:after="80" w:line="290"/>
      </w:pPr>
      <w:r>
        <w:rPr>
          <w:b/>
          <w:bCs/>
        </w:rPr>
        <w:t xml:space="preserve">AI personalization</w:t>
      </w:r>
      <w:r>
        <w:t xml:space="preserve"> — learned point-valuation from actual user redemption behavior rather than a static default.</w:t>
      </w:r>
    </w:p>
    <w:p>
      <w:pPr>
        <w:pStyle w:val="ListParagraph"/>
        <w:numPr>
          <w:ilvl w:val="0"/>
          <w:numId w:val="1"/>
        </w:numPr>
        <w:spacing w:after="80" w:line="290"/>
      </w:pPr>
      <w:r>
        <w:rPr>
          <w:b/>
          <w:bCs/>
        </w:rPr>
        <w:t xml:space="preserve">Autonomous optimization</w:t>
      </w:r>
      <w:r>
        <w:t xml:space="preserve"> — a much later-stage, higher-trust-required capability (e.g., auto-suggesting or even auto-executing transfers) that should only be considered after extensive track record of the recommendation-only system, given the irreversibility risk discussed throughout this document.</w:t>
      </w:r>
    </w:p>
    <w:p>
      <w:pPr>
        <w:pStyle w:val="Heading1"/>
        <w:pageBreakBefore/>
        <w:spacing w:after="180" w:before="360"/>
      </w:pPr>
      <w:bookmarkStart w:name="sec23" w:id="1"/>
      <w:r>
        <w:t xml:space="preserve">24. SWOT Analysis</w:t>
      </w:r>
      <w:bookmarkEnd w:id="1"/>
    </w:p>
    <w:tbl>
      <w:tblPr>
        <w:tblW w:type="dxa" w:w="9800"/>
        <w:tblBorders>
          <w:top w:val="single" w:color="BFBFBF" w:sz="2"/>
          <w:left w:val="single" w:color="BFBFBF" w:sz="2"/>
          <w:bottom w:val="single" w:color="BFBFBF" w:sz="2"/>
          <w:right w:val="single" w:color="BFBFBF" w:sz="2"/>
          <w:insideH w:val="single" w:color="D9D9D9" w:sz="2"/>
          <w:insideV w:val="single" w:color="D9D9D9" w:sz="2"/>
        </w:tblBorders>
      </w:tblPr>
      <w:tblGrid>
        <w:gridCol w:w="100"/>
        <w:gridCol w:w="100"/>
      </w:tblGrid>
      <w:tr>
        <w:trPr>
          <w:tblHeader/>
        </w:trPr>
        <w:tc>
          <w:tcPr>
            <w:tcW w:type="dxa" w:w="4900"/>
            <w:shd w:fill="1F4E79" w:color="auto" w:val="clear"/>
            <w:tcMar>
              <w:top w:type="dxa" w:w="80"/>
              <w:left w:type="dxa" w:w="100"/>
              <w:bottom w:type="dxa" w:w="80"/>
              <w:right w:type="dxa" w:w="100"/>
            </w:tcMar>
          </w:tcPr>
          <w:p>
            <w:r>
              <w:rPr>
                <w:b/>
                <w:bCs/>
                <w:color w:val="FFFFFF"/>
                <w:sz w:val="20"/>
                <w:szCs w:val="20"/>
              </w:rPr>
              <w:t xml:space="preserve"/>
            </w:r>
          </w:p>
        </w:tc>
        <w:tc>
          <w:tcPr>
            <w:tcW w:type="dxa" w:w="4900"/>
            <w:shd w:fill="1F4E79" w:color="auto" w:val="clear"/>
            <w:tcMar>
              <w:top w:type="dxa" w:w="80"/>
              <w:left w:type="dxa" w:w="100"/>
              <w:bottom w:type="dxa" w:w="80"/>
              <w:right w:type="dxa" w:w="100"/>
            </w:tcMar>
          </w:tcPr>
          <w:p>
            <w:r>
              <w:rPr>
                <w:b/>
                <w:bCs/>
                <w:color w:val="FFFFFF"/>
                <w:sz w:val="20"/>
                <w:szCs w:val="20"/>
              </w:rPr>
              <w:t xml:space="preserve"/>
            </w:r>
          </w:p>
        </w:tc>
      </w:tr>
      <w:tr>
        <w:trPr>
          <w:tblHeader w:val="false"/>
        </w:trPr>
        <w:tc>
          <w:tcPr>
            <w:tcW w:type="dxa" w:w="4900"/>
            <w:tcMar>
              <w:top w:type="dxa" w:w="80"/>
              <w:left w:type="dxa" w:w="100"/>
              <w:bottom w:type="dxa" w:w="80"/>
              <w:right w:type="dxa" w:w="100"/>
            </w:tcMar>
          </w:tcPr>
          <w:p>
            <w:r>
              <w:rPr>
                <w:b/>
                <w:bCs/>
                <w:sz w:val="20"/>
                <w:szCs w:val="20"/>
              </w:rPr>
              <w:t xml:space="preserve">Strengths</w:t>
            </w:r>
          </w:p>
        </w:tc>
        <w:tc>
          <w:tcPr>
            <w:tcW w:type="dxa" w:w="4900"/>
            <w:tcMar>
              <w:top w:type="dxa" w:w="80"/>
              <w:left w:type="dxa" w:w="100"/>
              <w:bottom w:type="dxa" w:w="80"/>
              <w:right w:type="dxa" w:w="100"/>
            </w:tcMar>
          </w:tcPr>
          <w:p>
            <w:r>
              <w:rPr>
                <w:sz w:val="20"/>
                <w:szCs w:val="20"/>
              </w:rPr>
              <w:t xml:space="preserve">Grounded, explainable, cites sources; clear separation of reasoning (LLM) vs. facts (RAG) vs. arithmetic (tool); human-approval gate for irreversible actions is a genuine trust differentiator</w:t>
            </w:r>
          </w:p>
        </w:tc>
      </w:tr>
      <w:tr>
        <w:trPr>
          <w:tblHeader w:val="false"/>
        </w:trPr>
        <w:tc>
          <w:tcPr>
            <w:tcW w:type="dxa" w:w="4900"/>
            <w:tcMar>
              <w:top w:type="dxa" w:w="80"/>
              <w:left w:type="dxa" w:w="100"/>
              <w:bottom w:type="dxa" w:w="80"/>
              <w:right w:type="dxa" w:w="100"/>
            </w:tcMar>
          </w:tcPr>
          <w:p>
            <w:r>
              <w:rPr>
                <w:b/>
                <w:bCs/>
                <w:sz w:val="20"/>
                <w:szCs w:val="20"/>
              </w:rPr>
              <w:t xml:space="preserve">Weaknesses</w:t>
            </w:r>
          </w:p>
        </w:tc>
        <w:tc>
          <w:tcPr>
            <w:tcW w:type="dxa" w:w="4900"/>
            <w:tcMar>
              <w:top w:type="dxa" w:w="80"/>
              <w:left w:type="dxa" w:w="100"/>
              <w:bottom w:type="dxa" w:w="80"/>
              <w:right w:type="dxa" w:w="100"/>
            </w:tcMar>
          </w:tcPr>
          <w:p>
            <w:r>
              <w:rPr>
                <w:sz w:val="20"/>
                <w:szCs w:val="20"/>
              </w:rPr>
              <w:t xml:space="preserve">Data maintenance burden (manual curation of 4–5 cards is fine at MVP, brittle at scale); no live issuer data; single-team bandwidth limits breadth</w:t>
            </w:r>
          </w:p>
        </w:tc>
      </w:tr>
      <w:tr>
        <w:trPr>
          <w:tblHeader w:val="false"/>
        </w:trPr>
        <w:tc>
          <w:tcPr>
            <w:tcW w:type="dxa" w:w="4900"/>
            <w:tcMar>
              <w:top w:type="dxa" w:w="80"/>
              <w:left w:type="dxa" w:w="100"/>
              <w:bottom w:type="dxa" w:w="80"/>
              <w:right w:type="dxa" w:w="100"/>
            </w:tcMar>
          </w:tcPr>
          <w:p>
            <w:r>
              <w:rPr>
                <w:b/>
                <w:bCs/>
                <w:sz w:val="20"/>
                <w:szCs w:val="20"/>
              </w:rPr>
              <w:t xml:space="preserve">Opportunities</w:t>
            </w:r>
          </w:p>
        </w:tc>
        <w:tc>
          <w:tcPr>
            <w:tcW w:type="dxa" w:w="4900"/>
            <w:tcMar>
              <w:top w:type="dxa" w:w="80"/>
              <w:left w:type="dxa" w:w="100"/>
              <w:bottom w:type="dxa" w:w="80"/>
              <w:right w:type="dxa" w:w="100"/>
            </w:tcMar>
          </w:tcPr>
          <w:p>
            <w:r>
              <w:rPr>
                <w:sz w:val="20"/>
                <w:szCs w:val="20"/>
              </w:rPr>
              <w:t xml:space="preserve">Large, underserved market gap between static comparison sites and pure trackers (Section 4); strong academic/portfolio narrative; plausible monetization path</w:t>
            </w:r>
          </w:p>
        </w:tc>
      </w:tr>
      <w:tr>
        <w:trPr>
          <w:tblHeader w:val="false"/>
        </w:trPr>
        <w:tc>
          <w:tcPr>
            <w:tcW w:type="dxa" w:w="4900"/>
            <w:tcMar>
              <w:top w:type="dxa" w:w="80"/>
              <w:left w:type="dxa" w:w="100"/>
              <w:bottom w:type="dxa" w:w="80"/>
              <w:right w:type="dxa" w:w="100"/>
            </w:tcMar>
          </w:tcPr>
          <w:p>
            <w:r>
              <w:rPr>
                <w:b/>
                <w:bCs/>
                <w:sz w:val="20"/>
                <w:szCs w:val="20"/>
              </w:rPr>
              <w:t xml:space="preserve">Threats</w:t>
            </w:r>
          </w:p>
        </w:tc>
        <w:tc>
          <w:tcPr>
            <w:tcW w:type="dxa" w:w="4900"/>
            <w:tcMar>
              <w:top w:type="dxa" w:w="80"/>
              <w:left w:type="dxa" w:w="100"/>
              <w:bottom w:type="dxa" w:w="80"/>
              <w:right w:type="dxa" w:w="100"/>
            </w:tcMar>
          </w:tcPr>
          <w:p>
            <w:r>
              <w:rPr>
                <w:sz w:val="20"/>
                <w:szCs w:val="20"/>
              </w:rPr>
              <w:t xml:space="preserve">Issuer terms change unpredictably (staleness risk); regulatory reclassification risk if positioning drifts toward "advice"; competitive response from well-funded incumbents (Cred) entering this exact niche</w:t>
            </w:r>
          </w:p>
        </w:tc>
      </w:tr>
    </w:tbl>
    <w:p>
      <w:pPr>
        <w:spacing w:after="200"/>
      </w:pPr>
    </w:p>
    <w:p>
      <w:pPr>
        <w:pStyle w:val="Heading1"/>
        <w:pageBreakBefore/>
        <w:spacing w:after="180" w:before="360"/>
      </w:pPr>
      <w:bookmarkStart w:name="sec24" w:id="1"/>
      <w:r>
        <w:t xml:space="preserve">25. Conclusion</w:t>
      </w:r>
      <w:bookmarkEnd w:id="1"/>
    </w:p>
    <w:p>
      <w:pPr>
        <w:spacing w:after="160" w:line="300"/>
      </w:pPr>
      <w:r>
        <w:t xml:space="preserve">This project demonstrates that a genuinely useful, trustworthy financial assistant does not require a bigger or smarter model — it requires disciplined separation of concerns: the LLM reasons and explains, the vector store supplies facts, a deterministic tool supplies arithmetic, and a code-level guardrail — not just a prompt — enforces that the final answer never drifts from what was actually retrieved and computed. That discipline is what turns "a chatbot that talks about credit cards" into a decision-support system that a cautious user could actually trust with a real, irreversible financial choice.</w:t>
      </w:r>
    </w:p>
    <w:p>
      <w:pPr>
        <w:spacing w:after="160" w:line="300"/>
      </w:pPr>
      <w:r>
        <w:rPr>
          <w:b/>
          <w:bCs/>
        </w:rPr>
        <w:t xml:space="preserve">Business value:</w:t>
      </w:r>
      <w:r>
        <w:t xml:space="preserve"> a defensible, trust-first wedge into a large personal-finance category currently served only by static comparison content or generic trackers. </w:t>
      </w:r>
      <w:r>
        <w:rPr>
          <w:b/>
          <w:bCs/>
        </w:rPr>
        <w:t xml:space="preserve">Technical value:</w:t>
      </w:r>
      <w:r>
        <w:t xml:space="preserve"> a complete, coherent reference implementation of 2025–2026-era applied LLM system design — RAG, agents, tool use, memory, guardrails, human-in-the-loop, and evaluation — anchored to one real problem rather than fragmented demos. </w:t>
      </w:r>
      <w:r>
        <w:rPr>
          <w:b/>
          <w:bCs/>
        </w:rPr>
        <w:t xml:space="preserve">Research contribution:</w:t>
      </w:r>
      <w:r>
        <w:t xml:space="preserve"> a reusable evaluation pattern for "grounded financial calculation" tasks, an underexplored subclass of RAG evaluation relative to open-domain QA. </w:t>
      </w:r>
      <w:r>
        <w:rPr>
          <w:b/>
          <w:bCs/>
        </w:rPr>
        <w:t xml:space="preserve">Academic contribution:</w:t>
      </w:r>
      <w:r>
        <w:t xml:space="preserve"> a capstone that maps directly onto standard systems-design and evaluation rubrics while remaining scoped enough (per the staged roadmap in Section 21) to be realistically completed. </w:t>
      </w:r>
      <w:r>
        <w:rPr>
          <w:b/>
          <w:bCs/>
        </w:rPr>
        <w:t xml:space="preserve">Future potential:</w:t>
      </w:r>
      <w:r>
        <w:t xml:space="preserve"> every future-scope item in Section 23 extends the existing architecture rather than requiring a rebuild — the sign of a design that was done right the first time.</w:t>
      </w:r>
    </w:p>
    <w:p>
      <w:pPr>
        <w:pStyle w:val="Heading1"/>
        <w:pageBreakBefore/>
        <w:spacing w:after="180" w:before="360"/>
      </w:pPr>
      <w:bookmarkStart w:name="sec25" w:id="1"/>
      <w:r>
        <w:t xml:space="preserve">26. Scorecard &amp; Strategic Recommendations</w:t>
      </w:r>
      <w:bookmarkEnd w:id="1"/>
    </w:p>
    <w:tbl>
      <w:tblPr>
        <w:tblW w:type="dxa" w:w="9800"/>
        <w:tblBorders>
          <w:top w:val="single" w:color="BFBFBF" w:sz="2"/>
          <w:left w:val="single" w:color="BFBFBF" w:sz="2"/>
          <w:bottom w:val="single" w:color="BFBFBF" w:sz="2"/>
          <w:right w:val="single" w:color="BFBFBF" w:sz="2"/>
          <w:insideH w:val="single" w:color="D9D9D9" w:sz="2"/>
          <w:insideV w:val="single" w:color="D9D9D9" w:sz="2"/>
        </w:tblBorders>
      </w:tblPr>
      <w:tblGrid>
        <w:gridCol w:w="100"/>
        <w:gridCol w:w="100"/>
        <w:gridCol w:w="100"/>
      </w:tblGrid>
      <w:tr>
        <w:trPr>
          <w:tblHeader/>
        </w:trPr>
        <w:tc>
          <w:tcPr>
            <w:tcW w:type="dxa" w:w="3266"/>
            <w:shd w:fill="1F4E79" w:color="auto" w:val="clear"/>
            <w:tcMar>
              <w:top w:type="dxa" w:w="80"/>
              <w:left w:type="dxa" w:w="100"/>
              <w:bottom w:type="dxa" w:w="80"/>
              <w:right w:type="dxa" w:w="100"/>
            </w:tcMar>
          </w:tcPr>
          <w:p>
            <w:r>
              <w:rPr>
                <w:b/>
                <w:bCs/>
                <w:color w:val="FFFFFF"/>
                <w:sz w:val="20"/>
                <w:szCs w:val="20"/>
              </w:rPr>
              <w:t xml:space="preserve">Dimension</w:t>
            </w:r>
          </w:p>
        </w:tc>
        <w:tc>
          <w:tcPr>
            <w:tcW w:type="dxa" w:w="3266"/>
            <w:shd w:fill="1F4E79" w:color="auto" w:val="clear"/>
            <w:tcMar>
              <w:top w:type="dxa" w:w="80"/>
              <w:left w:type="dxa" w:w="100"/>
              <w:bottom w:type="dxa" w:w="80"/>
              <w:right w:type="dxa" w:w="100"/>
            </w:tcMar>
          </w:tcPr>
          <w:p>
            <w:r>
              <w:rPr>
                <w:b/>
                <w:bCs/>
                <w:color w:val="FFFFFF"/>
                <w:sz w:val="20"/>
                <w:szCs w:val="20"/>
              </w:rPr>
              <w:t xml:space="preserve">Score (/10)</w:t>
            </w:r>
          </w:p>
        </w:tc>
        <w:tc>
          <w:tcPr>
            <w:tcW w:type="dxa" w:w="3266"/>
            <w:shd w:fill="1F4E79" w:color="auto" w:val="clear"/>
            <w:tcMar>
              <w:top w:type="dxa" w:w="80"/>
              <w:left w:type="dxa" w:w="100"/>
              <w:bottom w:type="dxa" w:w="80"/>
              <w:right w:type="dxa" w:w="100"/>
            </w:tcMar>
          </w:tcPr>
          <w:p>
            <w:r>
              <w:rPr>
                <w:b/>
                <w:bCs/>
                <w:color w:val="FFFFFF"/>
                <w:sz w:val="20"/>
                <w:szCs w:val="20"/>
              </w:rPr>
              <w:t xml:space="preserve">Rationale</w:t>
            </w:r>
          </w:p>
        </w:tc>
      </w:tr>
      <w:tr>
        <w:trPr>
          <w:tblHeader w:val="false"/>
        </w:trPr>
        <w:tc>
          <w:tcPr>
            <w:tcW w:type="dxa" w:w="3266"/>
            <w:tcMar>
              <w:top w:type="dxa" w:w="80"/>
              <w:left w:type="dxa" w:w="100"/>
              <w:bottom w:type="dxa" w:w="80"/>
              <w:right w:type="dxa" w:w="100"/>
            </w:tcMar>
          </w:tcPr>
          <w:p>
            <w:r>
              <w:rPr>
                <w:sz w:val="20"/>
                <w:szCs w:val="20"/>
              </w:rPr>
              <w:t xml:space="preserve">Overall feasibility</w:t>
            </w:r>
          </w:p>
        </w:tc>
        <w:tc>
          <w:tcPr>
            <w:tcW w:type="dxa" w:w="3266"/>
            <w:tcMar>
              <w:top w:type="dxa" w:w="80"/>
              <w:left w:type="dxa" w:w="100"/>
              <w:bottom w:type="dxa" w:w="80"/>
              <w:right w:type="dxa" w:w="100"/>
            </w:tcMar>
          </w:tcPr>
          <w:p>
            <w:r>
              <w:rPr>
                <w:sz w:val="20"/>
                <w:szCs w:val="20"/>
              </w:rPr>
              <w:t xml:space="preserve">9</w:t>
            </w:r>
          </w:p>
        </w:tc>
        <w:tc>
          <w:tcPr>
            <w:tcW w:type="dxa" w:w="3266"/>
            <w:tcMar>
              <w:top w:type="dxa" w:w="80"/>
              <w:left w:type="dxa" w:w="100"/>
              <w:bottom w:type="dxa" w:w="80"/>
              <w:right w:type="dxa" w:w="100"/>
            </w:tcMar>
          </w:tcPr>
          <w:p>
            <w:r>
              <w:rPr>
                <w:sz w:val="20"/>
                <w:szCs w:val="20"/>
              </w:rPr>
              <w:t xml:space="preserve">All components are mature, well-documented patterns; scope is realistic if staged</w:t>
            </w:r>
          </w:p>
        </w:tc>
      </w:tr>
      <w:tr>
        <w:trPr>
          <w:tblHeader w:val="false"/>
        </w:trPr>
        <w:tc>
          <w:tcPr>
            <w:tcW w:type="dxa" w:w="3266"/>
            <w:tcMar>
              <w:top w:type="dxa" w:w="80"/>
              <w:left w:type="dxa" w:w="100"/>
              <w:bottom w:type="dxa" w:w="80"/>
              <w:right w:type="dxa" w:w="100"/>
            </w:tcMar>
          </w:tcPr>
          <w:p>
            <w:r>
              <w:rPr>
                <w:sz w:val="20"/>
                <w:szCs w:val="20"/>
              </w:rPr>
              <w:t xml:space="preserve">Technical complexity</w:t>
            </w:r>
          </w:p>
        </w:tc>
        <w:tc>
          <w:tcPr>
            <w:tcW w:type="dxa" w:w="3266"/>
            <w:tcMar>
              <w:top w:type="dxa" w:w="80"/>
              <w:left w:type="dxa" w:w="100"/>
              <w:bottom w:type="dxa" w:w="80"/>
              <w:right w:type="dxa" w:w="100"/>
            </w:tcMar>
          </w:tcPr>
          <w:p>
            <w:r>
              <w:rPr>
                <w:sz w:val="20"/>
                <w:szCs w:val="20"/>
              </w:rPr>
              <w:t xml:space="preserve">7</w:t>
            </w:r>
          </w:p>
        </w:tc>
        <w:tc>
          <w:tcPr>
            <w:tcW w:type="dxa" w:w="3266"/>
            <w:tcMar>
              <w:top w:type="dxa" w:w="80"/>
              <w:left w:type="dxa" w:w="100"/>
              <w:bottom w:type="dxa" w:w="80"/>
              <w:right w:type="dxa" w:w="100"/>
            </w:tcMar>
          </w:tcPr>
          <w:p>
            <w:r>
              <w:rPr>
                <w:sz w:val="20"/>
                <w:szCs w:val="20"/>
              </w:rPr>
              <w:t xml:space="preserve">Genuinely non-trivial (multi-node agent, guardrails, human-in-the-loop) without requiring novel research</w:t>
            </w:r>
          </w:p>
        </w:tc>
      </w:tr>
      <w:tr>
        <w:trPr>
          <w:tblHeader w:val="false"/>
        </w:trPr>
        <w:tc>
          <w:tcPr>
            <w:tcW w:type="dxa" w:w="3266"/>
            <w:tcMar>
              <w:top w:type="dxa" w:w="80"/>
              <w:left w:type="dxa" w:w="100"/>
              <w:bottom w:type="dxa" w:w="80"/>
              <w:right w:type="dxa" w:w="100"/>
            </w:tcMar>
          </w:tcPr>
          <w:p>
            <w:r>
              <w:rPr>
                <w:sz w:val="20"/>
                <w:szCs w:val="20"/>
              </w:rPr>
              <w:t xml:space="preserve">Innovation</w:t>
            </w:r>
          </w:p>
        </w:tc>
        <w:tc>
          <w:tcPr>
            <w:tcW w:type="dxa" w:w="3266"/>
            <w:tcMar>
              <w:top w:type="dxa" w:w="80"/>
              <w:left w:type="dxa" w:w="100"/>
              <w:bottom w:type="dxa" w:w="80"/>
              <w:right w:type="dxa" w:w="100"/>
            </w:tcMar>
          </w:tcPr>
          <w:p>
            <w:r>
              <w:rPr>
                <w:sz w:val="20"/>
                <w:szCs w:val="20"/>
              </w:rPr>
              <w:t xml:space="preserve">6</w:t>
            </w:r>
          </w:p>
        </w:tc>
        <w:tc>
          <w:tcPr>
            <w:tcW w:type="dxa" w:w="3266"/>
            <w:tcMar>
              <w:top w:type="dxa" w:w="80"/>
              <w:left w:type="dxa" w:w="100"/>
              <w:bottom w:type="dxa" w:w="80"/>
              <w:right w:type="dxa" w:w="100"/>
            </w:tcMar>
          </w:tcPr>
          <w:p>
            <w:r>
              <w:rPr>
                <w:sz w:val="20"/>
                <w:szCs w:val="20"/>
              </w:rPr>
              <w:t xml:space="preserve">Individual components are established; the domain-specific guardrail/approval design is the novel contribution, not the tech stack itself</w:t>
            </w:r>
          </w:p>
        </w:tc>
      </w:tr>
      <w:tr>
        <w:trPr>
          <w:tblHeader w:val="false"/>
        </w:trPr>
        <w:tc>
          <w:tcPr>
            <w:tcW w:type="dxa" w:w="3266"/>
            <w:tcMar>
              <w:top w:type="dxa" w:w="80"/>
              <w:left w:type="dxa" w:w="100"/>
              <w:bottom w:type="dxa" w:w="80"/>
              <w:right w:type="dxa" w:w="100"/>
            </w:tcMar>
          </w:tcPr>
          <w:p>
            <w:r>
              <w:rPr>
                <w:sz w:val="20"/>
                <w:szCs w:val="20"/>
              </w:rPr>
              <w:t xml:space="preserve">Resume impact</w:t>
            </w:r>
          </w:p>
        </w:tc>
        <w:tc>
          <w:tcPr>
            <w:tcW w:type="dxa" w:w="3266"/>
            <w:tcMar>
              <w:top w:type="dxa" w:w="80"/>
              <w:left w:type="dxa" w:w="100"/>
              <w:bottom w:type="dxa" w:w="80"/>
              <w:right w:type="dxa" w:w="100"/>
            </w:tcMar>
          </w:tcPr>
          <w:p>
            <w:r>
              <w:rPr>
                <w:sz w:val="20"/>
                <w:szCs w:val="20"/>
              </w:rPr>
              <w:t xml:space="preserve">8</w:t>
            </w:r>
          </w:p>
        </w:tc>
        <w:tc>
          <w:tcPr>
            <w:tcW w:type="dxa" w:w="3266"/>
            <w:tcMar>
              <w:top w:type="dxa" w:w="80"/>
              <w:left w:type="dxa" w:w="100"/>
              <w:bottom w:type="dxa" w:w="80"/>
              <w:right w:type="dxa" w:w="100"/>
            </w:tcMar>
          </w:tcPr>
          <w:p>
            <w:r>
              <w:rPr>
                <w:sz w:val="20"/>
                <w:szCs w:val="20"/>
              </w:rPr>
              <w:t xml:space="preserve">Demonstrates the full modern applied-AI stack on a relatable, explainable use case interviewers can reason about without domain expertise</w:t>
            </w:r>
          </w:p>
        </w:tc>
      </w:tr>
      <w:tr>
        <w:trPr>
          <w:tblHeader w:val="false"/>
        </w:trPr>
        <w:tc>
          <w:tcPr>
            <w:tcW w:type="dxa" w:w="3266"/>
            <w:tcMar>
              <w:top w:type="dxa" w:w="80"/>
              <w:left w:type="dxa" w:w="100"/>
              <w:bottom w:type="dxa" w:w="80"/>
              <w:right w:type="dxa" w:w="100"/>
            </w:tcMar>
          </w:tcPr>
          <w:p>
            <w:r>
              <w:rPr>
                <w:sz w:val="20"/>
                <w:szCs w:val="20"/>
              </w:rPr>
              <w:t xml:space="preserve">Interview impact</w:t>
            </w:r>
          </w:p>
        </w:tc>
        <w:tc>
          <w:tcPr>
            <w:tcW w:type="dxa" w:w="3266"/>
            <w:tcMar>
              <w:top w:type="dxa" w:w="80"/>
              <w:left w:type="dxa" w:w="100"/>
              <w:bottom w:type="dxa" w:w="80"/>
              <w:right w:type="dxa" w:w="100"/>
            </w:tcMar>
          </w:tcPr>
          <w:p>
            <w:r>
              <w:rPr>
                <w:sz w:val="20"/>
                <w:szCs w:val="20"/>
              </w:rPr>
              <w:t xml:space="preserve">8</w:t>
            </w:r>
          </w:p>
        </w:tc>
        <w:tc>
          <w:tcPr>
            <w:tcW w:type="dxa" w:w="3266"/>
            <w:tcMar>
              <w:top w:type="dxa" w:w="80"/>
              <w:left w:type="dxa" w:w="100"/>
              <w:bottom w:type="dxa" w:w="80"/>
              <w:right w:type="dxa" w:w="100"/>
            </w:tcMar>
          </w:tcPr>
          <w:p>
            <w:r>
              <w:rPr>
                <w:sz w:val="20"/>
                <w:szCs w:val="20"/>
              </w:rPr>
              <w:t xml:space="preserve">The "irreversibility-gated human approval" design is a strong, specific, defensible talking point that goes beyond "I built a RAG chatbot"</w:t>
            </w:r>
          </w:p>
        </w:tc>
      </w:tr>
      <w:tr>
        <w:trPr>
          <w:tblHeader w:val="false"/>
        </w:trPr>
        <w:tc>
          <w:tcPr>
            <w:tcW w:type="dxa" w:w="3266"/>
            <w:tcMar>
              <w:top w:type="dxa" w:w="80"/>
              <w:left w:type="dxa" w:w="100"/>
              <w:bottom w:type="dxa" w:w="80"/>
              <w:right w:type="dxa" w:w="100"/>
            </w:tcMar>
          </w:tcPr>
          <w:p>
            <w:r>
              <w:rPr>
                <w:sz w:val="20"/>
                <w:szCs w:val="20"/>
              </w:rPr>
              <w:t xml:space="preserve">Portfolio impact</w:t>
            </w:r>
          </w:p>
        </w:tc>
        <w:tc>
          <w:tcPr>
            <w:tcW w:type="dxa" w:w="3266"/>
            <w:tcMar>
              <w:top w:type="dxa" w:w="80"/>
              <w:left w:type="dxa" w:w="100"/>
              <w:bottom w:type="dxa" w:w="80"/>
              <w:right w:type="dxa" w:w="100"/>
            </w:tcMar>
          </w:tcPr>
          <w:p>
            <w:r>
              <w:rPr>
                <w:sz w:val="20"/>
                <w:szCs w:val="20"/>
              </w:rPr>
              <w:t xml:space="preserve">8</w:t>
            </w:r>
          </w:p>
        </w:tc>
        <w:tc>
          <w:tcPr>
            <w:tcW w:type="dxa" w:w="3266"/>
            <w:tcMar>
              <w:top w:type="dxa" w:w="80"/>
              <w:left w:type="dxa" w:w="100"/>
              <w:bottom w:type="dxa" w:w="80"/>
              <w:right w:type="dxa" w:w="100"/>
            </w:tcMar>
          </w:tcPr>
          <w:p>
            <w:r>
              <w:rPr>
                <w:sz w:val="20"/>
                <w:szCs w:val="20"/>
              </w:rPr>
              <w:t xml:space="preserve">Visually demonstrable (Streamlit demo, traced agent runs), and the GitHub repo structure (Section source doc) is inherently well-organized</w:t>
            </w:r>
          </w:p>
        </w:tc>
      </w:tr>
    </w:tbl>
    <w:p>
      <w:pPr>
        <w:spacing w:after="200"/>
      </w:pPr>
    </w:p>
    <w:p>
      <w:pPr>
        <w:pStyle w:val="Heading2"/>
        <w:spacing w:after="140" w:before="260"/>
      </w:pPr>
      <w:r>
        <w:t xml:space="preserve">Making it production-ready</w:t>
      </w:r>
    </w:p>
    <w:p>
      <w:pPr>
        <w:pStyle w:val="ListParagraph"/>
        <w:numPr>
          <w:ilvl w:val="0"/>
          <w:numId w:val="1"/>
        </w:numPr>
        <w:spacing w:after="80" w:line="290"/>
      </w:pPr>
      <w:r>
        <w:t xml:space="preserve">Replace manual PDF curation with a semi-automated extraction + human-review workflow (confidence-score gated) before scaling past 5 cards.</w:t>
      </w:r>
    </w:p>
    <w:p>
      <w:pPr>
        <w:pStyle w:val="ListParagraph"/>
        <w:numPr>
          <w:ilvl w:val="0"/>
          <w:numId w:val="1"/>
        </w:numPr>
        <w:spacing w:after="80" w:line="290"/>
      </w:pPr>
      <w:r>
        <w:t xml:space="preserve">Add authoritative data sources (Account Aggregator / issuer APIs) as they become available, reducing reliance on self-declared spend.</w:t>
      </w:r>
    </w:p>
    <w:p>
      <w:pPr>
        <w:pStyle w:val="ListParagraph"/>
        <w:numPr>
          <w:ilvl w:val="0"/>
          <w:numId w:val="1"/>
        </w:numPr>
        <w:spacing w:after="80" w:line="290"/>
      </w:pPr>
      <w:r>
        <w:t xml:space="preserve">Move from pgvector to a dedicated vector service only if/when corpus size or query concurrency demands it — don't pre-optimize.</w:t>
      </w:r>
    </w:p>
    <w:p>
      <w:pPr>
        <w:pStyle w:val="ListParagraph"/>
        <w:numPr>
          <w:ilvl w:val="0"/>
          <w:numId w:val="1"/>
        </w:numPr>
        <w:spacing w:after="80" w:line="290"/>
      </w:pPr>
      <w:r>
        <w:t xml:space="preserve">Add a formal legal review of disclaimer language before any public launch.</w:t>
      </w:r>
    </w:p>
    <w:p>
      <w:pPr>
        <w:pStyle w:val="Heading2"/>
        <w:spacing w:after="140" w:before="260"/>
      </w:pPr>
      <w:r>
        <w:t xml:space="preserve">Making it research-paper worthy</w:t>
      </w:r>
    </w:p>
    <w:p>
      <w:pPr>
        <w:pStyle w:val="ListParagraph"/>
        <w:numPr>
          <w:ilvl w:val="0"/>
          <w:numId w:val="1"/>
        </w:numPr>
        <w:spacing w:after="80" w:line="290"/>
      </w:pPr>
      <w:r>
        <w:t xml:space="preserve">Formalize and publish the "grounded financial calculation" evaluation harness (Section 20) as a reusable benchmark contribution — this is the most publishable artifact in the project.</w:t>
      </w:r>
    </w:p>
    <w:p>
      <w:pPr>
        <w:pStyle w:val="ListParagraph"/>
        <w:numPr>
          <w:ilvl w:val="0"/>
          <w:numId w:val="1"/>
        </w:numPr>
        <w:spacing w:after="80" w:line="290"/>
      </w:pPr>
      <w:r>
        <w:t xml:space="preserve">Run a systematic ablation: guardrail-node-on vs. off, structured-extraction vs. raw-RAG-only, to quantify the hallucination-rate improvement each architectural layer contributes.</w:t>
      </w:r>
    </w:p>
    <w:p>
      <w:pPr>
        <w:pStyle w:val="Heading2"/>
        <w:spacing w:after="140" w:before="260"/>
      </w:pPr>
      <w:r>
        <w:t xml:space="preserve">Making it startup-worthy</w:t>
      </w:r>
    </w:p>
    <w:p>
      <w:pPr>
        <w:pStyle w:val="ListParagraph"/>
        <w:numPr>
          <w:ilvl w:val="0"/>
          <w:numId w:val="1"/>
        </w:numPr>
        <w:spacing w:after="80" w:line="290"/>
      </w:pPr>
      <w:r>
        <w:t xml:space="preserve">Validate willingness-to-pay for a "reward concierge" tier (multi-card, transfer-optimization) distinct from a free single-card-lookup tier.</w:t>
      </w:r>
    </w:p>
    <w:p>
      <w:pPr>
        <w:pStyle w:val="ListParagraph"/>
        <w:numPr>
          <w:ilvl w:val="0"/>
          <w:numId w:val="1"/>
        </w:numPr>
        <w:spacing w:after="80" w:line="290"/>
      </w:pPr>
      <w:r>
        <w:t xml:space="preserve">Treat the compliance framing (Section 18) as a product feature, not a legal afterthought — "we never guess" is a marketable trust claim, not just a risk mitigation.</w:t>
      </w:r>
    </w:p>
    <w:p>
      <w:pPr>
        <w:pStyle w:val="Heading2"/>
        <w:spacing w:after="140" w:before="260"/>
      </w:pPr>
      <w:r>
        <w:t xml:space="preserve">Making it GitHub-exemplary</w:t>
      </w:r>
    </w:p>
    <w:p>
      <w:pPr>
        <w:pStyle w:val="ListParagraph"/>
        <w:numPr>
          <w:ilvl w:val="0"/>
          <w:numId w:val="1"/>
        </w:numPr>
        <w:spacing w:after="80" w:line="290"/>
      </w:pPr>
      <w:r>
        <w:t xml:space="preserve">Publish the golden evaluation dataset and evaluation scripts alongside the code, not just the agent implementation — this is what separates a demo repo from a reference-quality one.</w:t>
      </w:r>
    </w:p>
    <w:p>
      <w:pPr>
        <w:pStyle w:val="ListParagraph"/>
        <w:numPr>
          <w:ilvl w:val="0"/>
          <w:numId w:val="1"/>
        </w:numPr>
        <w:spacing w:after="80" w:line="290"/>
      </w:pPr>
      <w:r>
        <w:t xml:space="preserve">Include the architecture diagrams (Section 11) directly in the README, and record the traced-agent-run demo video (Section 21, Phase 3) as the top of the README, not buried in docs.</w:t>
      </w:r>
    </w:p>
    <w:p>
      <w:pPr>
        <w:spacing w:after="160" w:before="300"/>
      </w:pPr>
      <w:r>
        <w:rPr>
          <w:i/>
          <w:iCs/>
          <w:color w:val="595959"/>
        </w:rPr>
        <w:t xml:space="preserve">End of document. Sections can be expanded individually — e.g., a fuller feature-by-feature breakdown (Section 9) for all 19 functional requirements, or a fully fleshed-out prompt library (Section 13) — on request.</w:t>
      </w:r>
    </w:p>
    <w:sectPr>
      <w:headerReference w:type="default" r:id="rId7"/>
      <w:headerReference w:type="first" r:id="rId8"/>
      <w:footerReference w:type="default" r:id="rId9"/>
      <w:footerReference w:type="first" r:id="rId10"/>
      <w:pgSz w:w="12240" w:h="15840" w:orient="portrait"/>
      <w:pgMar w:top="1080" w:right="1200" w:bottom="1080" w:left="12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Intelligent Credit Card &amp; Rewards Optimization Agent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pPr>
    <w:rPr>
      <w:rFonts w:ascii="Calibri" w:cs="Calibri" w:eastAsia="Calibri" w:hAnsi="Calibri"/>
      <w:b/>
      <w:bCs/>
      <w:color w:val="1F4E79"/>
      <w:sz w:val="44"/>
      <w:szCs w:val="44"/>
    </w:rPr>
  </w:style>
  <w:style w:type="paragraph" w:styleId="Heading1">
    <w:name w:val="Heading 1"/>
    <w:basedOn w:val="Normal"/>
    <w:next w:val="Normal"/>
    <w:pPr>
      <w:pBdr>
        <w:bottom w:val="single" w:color="1F4E79" w:sz="6"/>
      </w:pBdr>
      <w:spacing w:after="180" w:before="360"/>
    </w:pPr>
    <w:rPr>
      <w:rFonts w:ascii="Calibri" w:cs="Calibri" w:eastAsia="Calibri" w:hAnsi="Calibri"/>
      <w:b/>
      <w:bCs/>
      <w:color w:val="1F4E79"/>
      <w:sz w:val="30"/>
      <w:szCs w:val="30"/>
    </w:rPr>
  </w:style>
  <w:style w:type="paragraph" w:styleId="Heading2">
    <w:name w:val="Heading 2"/>
    <w:basedOn w:val="Normal"/>
    <w:next w:val="Normal"/>
    <w:pPr>
      <w:spacing w:after="140" w:before="260"/>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253d1349b1692facc8f8ce7cb3950f4adaab87be.png"/><Relationship Id="rId12" Type="http://schemas.openxmlformats.org/officeDocument/2006/relationships/image" Target="media/924e37dc6eca4c78dab57acadedf77e55b011814.png"/><Relationship Id="rId13" Type="http://schemas.openxmlformats.org/officeDocument/2006/relationships/image" Target="media/e4bfd495a62f5dd26b6127f8a4b7d4e8d314a3e4.png"/><Relationship Id="rId14" Type="http://schemas.openxmlformats.org/officeDocument/2006/relationships/image" Target="media/154daa44ad3f2692276e82e73c2bd4495aaf9f8c.png"/><Relationship Id="rId15" Type="http://schemas.openxmlformats.org/officeDocument/2006/relationships/image" Target="media/87633c1e08bb88995c4b6295f08abfbac6e5025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2026-07-01T07:25:11.230Z</dcterms:created>
  <dcterms:modified xsi:type="dcterms:W3CDTF">2026-07-01T07:25:11.231Z</dcterms:modified>
</cp:coreProperties>
</file>

<file path=docProps/custom.xml><?xml version="1.0" encoding="utf-8"?>
<Properties xmlns="http://schemas.openxmlformats.org/officeDocument/2006/custom-properties" xmlns:vt="http://schemas.openxmlformats.org/officeDocument/2006/docPropsVTypes"/>
</file>