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1F4E79"/>
          <w:sz w:val="56"/>
          <w:szCs w:val="56"/>
        </w:rPr>
        <w:t xml:space="preserve">Intelligent Credit Card &amp; Rewards Optimization Agent</w:t>
      </w:r>
    </w:p>
    <w:p>
      <w:pPr>
        <w:spacing w:after="800"/>
        <w:jc w:val="center"/>
      </w:pPr>
      <w:r>
        <w:rPr>
          <w:i/>
          <w:iCs/>
          <w:color w:val="595959"/>
          <w:sz w:val="30"/>
          <w:szCs w:val="30"/>
        </w:rPr>
        <w:t xml:space="preserve">Engineering Implementation Guide</w:t>
      </w:r>
    </w:p>
    <w:p>
      <w:pPr>
        <w:spacing w:after="120"/>
        <w:jc w:val="center"/>
      </w:pPr>
      <w:r>
        <w:rPr>
          <w:b/>
          <w:bCs/>
        </w:rPr>
        <w:t xml:space="preserve">Document class: </w:t>
      </w:r>
      <w:r>
        <w:t xml:space="preserve">Senior Engineering Design Document</w:t>
      </w:r>
    </w:p>
    <w:p>
      <w:pPr>
        <w:spacing w:after="120"/>
        <w:jc w:val="center"/>
      </w:pPr>
      <w:r>
        <w:rPr>
          <w:b/>
          <w:bCs/>
        </w:rPr>
        <w:t xml:space="preserve">Audience: </w:t>
      </w:r>
      <w:r>
        <w:t xml:space="preserve">Development team, tech lead, engineering manager, future maintainers</w:t>
      </w:r>
    </w:p>
    <w:p>
      <w:pPr>
        <w:spacing w:after="120"/>
        <w:jc w:val="center"/>
      </w:pPr>
      <w:r>
        <w:rPr>
          <w:b/>
          <w:bCs/>
        </w:rPr>
        <w:t xml:space="preserve">Companion document: </w:t>
      </w:r>
      <w:r>
        <w:rPr>
          <w:i/>
          <w:iCs/>
        </w:rPr>
        <w:t xml:space="preserve">Intelligent Credit Card &amp; Rewards Agent — Solution Architecture &amp; Product Documentation</w:t>
      </w:r>
    </w:p>
    <w:p>
      <w:pPr>
        <w:spacing w:after="3200"/>
        <w:jc w:val="center"/>
      </w:pPr>
      <w:r>
        <w:rPr>
          <w:color w:val="595959"/>
        </w:rPr>
        <w:t xml:space="preserve">Version 1.0  |  Status: Draft for Review</w:t>
      </w:r>
    </w:p>
    <w:p>
      <w:r>
        <w:br w:type="page"/>
      </w:r>
    </w:p>
    <w:p>
      <w:pPr>
        <w:spacing w:after="300"/>
      </w:pPr>
      <w:r>
        <w:rPr>
          <w:b/>
          <w:bCs/>
          <w:color w:val="1F4E79"/>
          <w:sz w:val="36"/>
          <w:szCs w:val="36"/>
        </w:rPr>
        <w:t xml:space="preserve">Table of Contents</w:t>
      </w:r>
    </w:p>
    <w:p>
      <w:pPr>
        <w:spacing w:after="140"/>
      </w:pPr>
      <w:hyperlink w:history="1" w:anchor="sec0">
        <w:r>
          <w:rPr>
            <w:color w:val="2E75B6"/>
            <w:u w:val="single"/>
          </w:rPr>
          <w:t xml:space="preserve">1. Project Understanding</w:t>
        </w:r>
      </w:hyperlink>
    </w:p>
    <w:p>
      <w:pPr>
        <w:spacing w:after="140"/>
      </w:pPr>
      <w:hyperlink w:history="1" w:anchor="sec1">
        <w:r>
          <w:rPr>
            <w:color w:val="2E75B6"/>
            <w:u w:val="single"/>
          </w:rPr>
          <w:t xml:space="preserve">2. Development Strategy</w:t>
        </w:r>
      </w:hyperlink>
    </w:p>
    <w:p>
      <w:pPr>
        <w:spacing w:after="140"/>
      </w:pPr>
      <w:hyperlink w:history="1" w:anchor="sec2">
        <w:r>
          <w:rPr>
            <w:color w:val="2E75B6"/>
            <w:u w:val="single"/>
          </w:rPr>
          <w:t xml:space="preserve">3. Overall Development Workflow</w:t>
        </w:r>
      </w:hyperlink>
    </w:p>
    <w:p>
      <w:pPr>
        <w:spacing w:after="140"/>
      </w:pPr>
      <w:hyperlink w:history="1" w:anchor="sec3">
        <w:r>
          <w:rPr>
            <w:color w:val="2E75B6"/>
            <w:u w:val="single"/>
          </w:rPr>
          <w:t xml:space="preserve">4. Environment Setup</w:t>
        </w:r>
      </w:hyperlink>
    </w:p>
    <w:p>
      <w:pPr>
        <w:spacing w:after="140"/>
      </w:pPr>
      <w:hyperlink w:history="1" w:anchor="sec4">
        <w:r>
          <w:rPr>
            <w:color w:val="2E75B6"/>
            <w:u w:val="single"/>
          </w:rPr>
          <w:t xml:space="preserve">5. Folder Structure</w:t>
        </w:r>
      </w:hyperlink>
    </w:p>
    <w:p>
      <w:pPr>
        <w:spacing w:after="140"/>
      </w:pPr>
      <w:hyperlink w:history="1" w:anchor="sec5">
        <w:r>
          <w:rPr>
            <w:color w:val="2E75B6"/>
            <w:u w:val="single"/>
          </w:rPr>
          <w:t xml:space="preserve">6. Database Implementation Workflow</w:t>
        </w:r>
      </w:hyperlink>
    </w:p>
    <w:p>
      <w:pPr>
        <w:spacing w:after="140"/>
      </w:pPr>
      <w:hyperlink w:history="1" w:anchor="sec6">
        <w:r>
          <w:rPr>
            <w:color w:val="2E75B6"/>
            <w:u w:val="single"/>
          </w:rPr>
          <w:t xml:space="preserve">7. Data Collection Workflow</w:t>
        </w:r>
      </w:hyperlink>
    </w:p>
    <w:p>
      <w:pPr>
        <w:spacing w:after="140"/>
      </w:pPr>
      <w:hyperlink w:history="1" w:anchor="sec7">
        <w:r>
          <w:rPr>
            <w:color w:val="2E75B6"/>
            <w:u w:val="single"/>
          </w:rPr>
          <w:t xml:space="preserve">8. PDF Processing Workflow</w:t>
        </w:r>
      </w:hyperlink>
    </w:p>
    <w:p>
      <w:pPr>
        <w:spacing w:after="140"/>
      </w:pPr>
      <w:hyperlink w:history="1" w:anchor="sec8">
        <w:r>
          <w:rPr>
            <w:color w:val="2E75B6"/>
            <w:u w:val="single"/>
          </w:rPr>
          <w:t xml:space="preserve">9. Embedding Pipeline</w:t>
        </w:r>
      </w:hyperlink>
    </w:p>
    <w:p>
      <w:pPr>
        <w:spacing w:after="140"/>
      </w:pPr>
      <w:hyperlink w:history="1" w:anchor="sec9">
        <w:r>
          <w:rPr>
            <w:color w:val="2E75B6"/>
            <w:u w:val="single"/>
          </w:rPr>
          <w:t xml:space="preserve">10. Vector Database Workflow</w:t>
        </w:r>
      </w:hyperlink>
    </w:p>
    <w:p>
      <w:pPr>
        <w:spacing w:after="140"/>
      </w:pPr>
      <w:hyperlink w:history="1" w:anchor="sec10">
        <w:r>
          <w:rPr>
            <w:color w:val="2E75B6"/>
            <w:u w:val="single"/>
          </w:rPr>
          <w:t xml:space="preserve">11. Structured Data Extraction</w:t>
        </w:r>
      </w:hyperlink>
    </w:p>
    <w:p>
      <w:pPr>
        <w:spacing w:after="140"/>
      </w:pPr>
      <w:hyperlink w:history="1" w:anchor="sec11">
        <w:r>
          <w:rPr>
            <w:color w:val="2E75B6"/>
            <w:u w:val="single"/>
          </w:rPr>
          <w:t xml:space="preserve">12. Backend Development Workflow</w:t>
        </w:r>
      </w:hyperlink>
    </w:p>
    <w:p>
      <w:pPr>
        <w:spacing w:after="140"/>
      </w:pPr>
      <w:hyperlink w:history="1" w:anchor="sec12">
        <w:r>
          <w:rPr>
            <w:color w:val="2E75B6"/>
            <w:u w:val="single"/>
          </w:rPr>
          <w:t xml:space="preserve">13. AI Agent Development Workflow</w:t>
        </w:r>
      </w:hyperlink>
    </w:p>
    <w:p>
      <w:pPr>
        <w:spacing w:after="140"/>
      </w:pPr>
      <w:hyperlink w:history="1" w:anchor="sec13">
        <w:r>
          <w:rPr>
            <w:color w:val="2E75B6"/>
            <w:u w:val="single"/>
          </w:rPr>
          <w:t xml:space="preserve">14. LangGraph Workflow</w:t>
        </w:r>
      </w:hyperlink>
    </w:p>
    <w:p>
      <w:pPr>
        <w:spacing w:after="140"/>
      </w:pPr>
      <w:hyperlink w:history="1" w:anchor="sec14">
        <w:r>
          <w:rPr>
            <w:color w:val="2E75B6"/>
            <w:u w:val="single"/>
          </w:rPr>
          <w:t xml:space="preserve">15. Prompt Engineering Workflow</w:t>
        </w:r>
      </w:hyperlink>
    </w:p>
    <w:p>
      <w:pPr>
        <w:spacing w:after="140"/>
      </w:pPr>
      <w:hyperlink w:history="1" w:anchor="sec15">
        <w:r>
          <w:rPr>
            <w:color w:val="2E75B6"/>
            <w:u w:val="single"/>
          </w:rPr>
          <w:t xml:space="preserve">16. API Development Workflow</w:t>
        </w:r>
      </w:hyperlink>
    </w:p>
    <w:p>
      <w:pPr>
        <w:spacing w:after="140"/>
      </w:pPr>
      <w:hyperlink w:history="1" w:anchor="sec16">
        <w:r>
          <w:rPr>
            <w:color w:val="2E75B6"/>
            <w:u w:val="single"/>
          </w:rPr>
          <w:t xml:space="preserve">17. Frontend Development Workflow</w:t>
        </w:r>
      </w:hyperlink>
    </w:p>
    <w:p>
      <w:pPr>
        <w:spacing w:after="140"/>
      </w:pPr>
      <w:hyperlink w:history="1" w:anchor="sec17">
        <w:r>
          <w:rPr>
            <w:color w:val="2E75B6"/>
            <w:u w:val="single"/>
          </w:rPr>
          <w:t xml:space="preserve">18. Testing Workflow</w:t>
        </w:r>
      </w:hyperlink>
    </w:p>
    <w:p>
      <w:pPr>
        <w:spacing w:after="140"/>
      </w:pPr>
      <w:hyperlink w:history="1" w:anchor="sec18">
        <w:r>
          <w:rPr>
            <w:color w:val="2E75B6"/>
            <w:u w:val="single"/>
          </w:rPr>
          <w:t xml:space="preserve">19. Monitoring Workflow</w:t>
        </w:r>
      </w:hyperlink>
    </w:p>
    <w:p>
      <w:pPr>
        <w:spacing w:after="140"/>
      </w:pPr>
      <w:hyperlink w:history="1" w:anchor="sec19">
        <w:r>
          <w:rPr>
            <w:color w:val="2E75B6"/>
            <w:u w:val="single"/>
          </w:rPr>
          <w:t xml:space="preserve">20. Deployment Workflow</w:t>
        </w:r>
      </w:hyperlink>
    </w:p>
    <w:p>
      <w:pPr>
        <w:spacing w:after="140"/>
      </w:pPr>
      <w:hyperlink w:history="1" w:anchor="sec20">
        <w:r>
          <w:rPr>
            <w:color w:val="2E75B6"/>
            <w:u w:val="single"/>
          </w:rPr>
          <w:t xml:space="preserve">21. Development Timeline</w:t>
        </w:r>
      </w:hyperlink>
    </w:p>
    <w:p>
      <w:pPr>
        <w:spacing w:after="140"/>
      </w:pPr>
      <w:hyperlink w:history="1" w:anchor="sec21">
        <w:r>
          <w:rPr>
            <w:color w:val="2E75B6"/>
            <w:u w:val="single"/>
          </w:rPr>
          <w:t xml:space="preserve">22. Coding Standards</w:t>
        </w:r>
      </w:hyperlink>
    </w:p>
    <w:p>
      <w:pPr>
        <w:spacing w:after="140"/>
      </w:pPr>
      <w:hyperlink w:history="1" w:anchor="sec22">
        <w:r>
          <w:rPr>
            <w:color w:val="2E75B6"/>
            <w:u w:val="single"/>
          </w:rPr>
          <w:t xml:space="preserve">23. Suggestions &amp; Best Practices</w:t>
        </w:r>
      </w:hyperlink>
    </w:p>
    <w:p>
      <w:pPr>
        <w:spacing w:after="140"/>
      </w:pPr>
      <w:hyperlink w:history="1" w:anchor="sec23">
        <w:r>
          <w:rPr>
            <w:color w:val="2E75B6"/>
            <w:u w:val="single"/>
          </w:rPr>
          <w:t xml:space="preserve">24. Common Pitfalls</w:t>
        </w:r>
      </w:hyperlink>
    </w:p>
    <w:p>
      <w:pPr>
        <w:spacing w:after="140"/>
      </w:pPr>
      <w:hyperlink w:history="1" w:anchor="sec24">
        <w:r>
          <w:rPr>
            <w:color w:val="2E75B6"/>
            <w:u w:val="single"/>
          </w:rPr>
          <w:t xml:space="preserve">25. Final Technical Recommendations</w:t>
        </w:r>
      </w:hyperlink>
    </w:p>
    <w:p>
      <w:r>
        <w:br w:type="page"/>
      </w:r>
    </w:p>
    <w:p>
      <w:pPr>
        <w:pStyle w:val="Heading1"/>
        <w:pageBreakBefore/>
        <w:spacing w:after="180" w:before="360"/>
      </w:pPr>
      <w:bookmarkStart w:name="sec0" w:id="1"/>
      <w:r>
        <w:t xml:space="preserve">1. Project Understanding</w:t>
      </w:r>
      <w:bookmarkEnd w:id="1"/>
    </w:p>
    <w:p>
      <w:pPr>
        <w:pStyle w:val="Heading2"/>
        <w:spacing w:after="140" w:before="260"/>
      </w:pPr>
      <w:r>
        <w:t xml:space="preserve">1.1 The Problem, Restated as an Engineering Brief</w:t>
      </w:r>
    </w:p>
    <w:p>
      <w:pPr>
        <w:spacing w:after="160" w:line="300"/>
      </w:pPr>
      <w:r>
        <w:t xml:space="preserve">We are building a system that takes a natural-language spending scenario, retrieves the governing reward rules for the user's owned cards from a corpus of issuer documents, performs a deterministic calculation, and returns a cited, explainable recommendation — refusing to guess when evidence is weak, and requiring explicit human confirmation before any irreversible action (point transfer) is finalized.</w:t>
      </w:r>
    </w:p>
    <w:p>
      <w:pPr>
        <w:spacing w:after="160" w:line="300"/>
      </w:pPr>
      <w:r>
        <w:t xml:space="preserve">As a Tech Lead, I want the team to internalize one governing constraint before writing a single line of code: </w:t>
      </w:r>
      <w:r>
        <w:rPr>
          <w:b/>
          <w:bCs/>
        </w:rPr>
        <w:t xml:space="preserve">this is a system where the cost of a confident wrong answer is real money for the user.</w:t>
      </w:r>
      <w:r>
        <w:t xml:space="preserve"> Every subsequent architectural decision in this document — the RAG layer, the separation of the calculator from the LLM, the guardrail node, the human-approval gate — is a direct consequence of that constraint, not an independent feature to be built in isolation.</w:t>
      </w:r>
    </w:p>
    <w:p>
      <w:pPr>
        <w:pStyle w:val="Heading2"/>
        <w:spacing w:after="140" w:before="260"/>
      </w:pPr>
      <w:r>
        <w:t xml:space="preserve">1.2 Why the Proposed Architecture Is Suitable</w:t>
      </w:r>
    </w:p>
    <w:p>
      <w:pPr>
        <w:spacing w:after="160" w:line="300"/>
      </w:pPr>
      <w:r>
        <w:t xml:space="preserve">The companion architecture document specifies RAG + LangGraph agent + tool-calling + guardrails + human-in-the-loop. From an engineering-feasibility standpoint, this is the right shape because it maps cleanly onto three orthogonal concerns that must </w:t>
      </w:r>
      <w:r>
        <w:rPr>
          <w:b/>
          <w:bCs/>
        </w:rPr>
        <w:t xml:space="preserve">never leak into each other</w:t>
      </w:r>
      <w:r>
        <w:t xml:space="preserve">:</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Concern</w:t>
            </w:r>
          </w:p>
        </w:tc>
        <w:tc>
          <w:tcPr>
            <w:tcW w:type="dxa" w:w="3266"/>
            <w:shd w:fill="1F4E79" w:color="auto" w:val="clear"/>
            <w:tcMar>
              <w:top w:type="dxa" w:w="80"/>
              <w:left w:type="dxa" w:w="100"/>
              <w:bottom w:type="dxa" w:w="80"/>
              <w:right w:type="dxa" w:w="100"/>
            </w:tcMar>
          </w:tcPr>
          <w:p>
            <w:r>
              <w:rPr>
                <w:b/>
                <w:bCs/>
                <w:color w:val="FFFFFF"/>
                <w:sz w:val="20"/>
                <w:szCs w:val="20"/>
              </w:rPr>
              <w:t xml:space="preserve">Owned by</w:t>
            </w:r>
          </w:p>
        </w:tc>
        <w:tc>
          <w:tcPr>
            <w:tcW w:type="dxa" w:w="3266"/>
            <w:shd w:fill="1F4E79" w:color="auto" w:val="clear"/>
            <w:tcMar>
              <w:top w:type="dxa" w:w="80"/>
              <w:left w:type="dxa" w:w="100"/>
              <w:bottom w:type="dxa" w:w="80"/>
              <w:right w:type="dxa" w:w="100"/>
            </w:tcMar>
          </w:tcPr>
          <w:p>
            <w:r>
              <w:rPr>
                <w:b/>
                <w:bCs/>
                <w:color w:val="FFFFFF"/>
                <w:sz w:val="20"/>
                <w:szCs w:val="20"/>
              </w:rPr>
              <w:t xml:space="preserve">Why it must stay separate</w:t>
            </w:r>
          </w:p>
        </w:tc>
      </w:tr>
      <w:tr>
        <w:trPr>
          <w:tblHeader w:val="false"/>
        </w:trPr>
        <w:tc>
          <w:tcPr>
            <w:tcW w:type="dxa" w:w="3266"/>
            <w:tcMar>
              <w:top w:type="dxa" w:w="80"/>
              <w:left w:type="dxa" w:w="100"/>
              <w:bottom w:type="dxa" w:w="80"/>
              <w:right w:type="dxa" w:w="100"/>
            </w:tcMar>
          </w:tcPr>
          <w:p>
            <w:r>
              <w:rPr>
                <w:sz w:val="20"/>
                <w:szCs w:val="20"/>
              </w:rPr>
              <w:t xml:space="preserve">Facts (what does the card's T&amp;C actually say)</w:t>
            </w:r>
          </w:p>
        </w:tc>
        <w:tc>
          <w:tcPr>
            <w:tcW w:type="dxa" w:w="3266"/>
            <w:tcMar>
              <w:top w:type="dxa" w:w="80"/>
              <w:left w:type="dxa" w:w="100"/>
              <w:bottom w:type="dxa" w:w="80"/>
              <w:right w:type="dxa" w:w="100"/>
            </w:tcMar>
          </w:tcPr>
          <w:p>
            <w:r>
              <w:rPr>
                <w:sz w:val="20"/>
                <w:szCs w:val="20"/>
              </w:rPr>
              <w:t xml:space="preserve">Retrieval layer (RAG)</w:t>
            </w:r>
          </w:p>
        </w:tc>
        <w:tc>
          <w:tcPr>
            <w:tcW w:type="dxa" w:w="3266"/>
            <w:tcMar>
              <w:top w:type="dxa" w:w="80"/>
              <w:left w:type="dxa" w:w="100"/>
              <w:bottom w:type="dxa" w:w="80"/>
              <w:right w:type="dxa" w:w="100"/>
            </w:tcMar>
          </w:tcPr>
          <w:p>
            <w:r>
              <w:rPr>
                <w:sz w:val="20"/>
                <w:szCs w:val="20"/>
              </w:rPr>
              <w:t xml:space="preserve">Facts change over time and must be sourced, versioned, and citable — not memorized by the LLM</w:t>
            </w:r>
          </w:p>
        </w:tc>
      </w:tr>
      <w:tr>
        <w:trPr>
          <w:tblHeader w:val="false"/>
        </w:trPr>
        <w:tc>
          <w:tcPr>
            <w:tcW w:type="dxa" w:w="3266"/>
            <w:tcMar>
              <w:top w:type="dxa" w:w="80"/>
              <w:left w:type="dxa" w:w="100"/>
              <w:bottom w:type="dxa" w:w="80"/>
              <w:right w:type="dxa" w:w="100"/>
            </w:tcMar>
          </w:tcPr>
          <w:p>
            <w:r>
              <w:rPr>
                <w:sz w:val="20"/>
                <w:szCs w:val="20"/>
              </w:rPr>
              <w:t xml:space="preserve">Arithmetic (what is the reward worth)</w:t>
            </w:r>
          </w:p>
        </w:tc>
        <w:tc>
          <w:tcPr>
            <w:tcW w:type="dxa" w:w="3266"/>
            <w:tcMar>
              <w:top w:type="dxa" w:w="80"/>
              <w:left w:type="dxa" w:w="100"/>
              <w:bottom w:type="dxa" w:w="80"/>
              <w:right w:type="dxa" w:w="100"/>
            </w:tcMar>
          </w:tcPr>
          <w:p>
            <w:r>
              <w:rPr>
                <w:sz w:val="20"/>
                <w:szCs w:val="20"/>
              </w:rPr>
              <w:t xml:space="preserve">Calculator tool (deterministic code)</w:t>
            </w:r>
          </w:p>
        </w:tc>
        <w:tc>
          <w:tcPr>
            <w:tcW w:type="dxa" w:w="3266"/>
            <w:tcMar>
              <w:top w:type="dxa" w:w="80"/>
              <w:left w:type="dxa" w:w="100"/>
              <w:bottom w:type="dxa" w:w="80"/>
              <w:right w:type="dxa" w:w="100"/>
            </w:tcMar>
          </w:tcPr>
          <w:p>
            <w:r>
              <w:rPr>
                <w:sz w:val="20"/>
                <w:szCs w:val="20"/>
              </w:rPr>
              <w:t xml:space="preserve">LLMs are unreliable at multi-step arithmetic; a bug in a hand-written function is debuggable, a bug in an LLM's mental math is not</w:t>
            </w:r>
          </w:p>
        </w:tc>
      </w:tr>
      <w:tr>
        <w:trPr>
          <w:tblHeader w:val="false"/>
        </w:trPr>
        <w:tc>
          <w:tcPr>
            <w:tcW w:type="dxa" w:w="3266"/>
            <w:tcMar>
              <w:top w:type="dxa" w:w="80"/>
              <w:left w:type="dxa" w:w="100"/>
              <w:bottom w:type="dxa" w:w="80"/>
              <w:right w:type="dxa" w:w="100"/>
            </w:tcMar>
          </w:tcPr>
          <w:p>
            <w:r>
              <w:rPr>
                <w:sz w:val="20"/>
                <w:szCs w:val="20"/>
              </w:rPr>
              <w:t xml:space="preserve">Judgment (what should the user do, and how do we explain it)</w:t>
            </w:r>
          </w:p>
        </w:tc>
        <w:tc>
          <w:tcPr>
            <w:tcW w:type="dxa" w:w="3266"/>
            <w:tcMar>
              <w:top w:type="dxa" w:w="80"/>
              <w:left w:type="dxa" w:w="100"/>
              <w:bottom w:type="dxa" w:w="80"/>
              <w:right w:type="dxa" w:w="100"/>
            </w:tcMar>
          </w:tcPr>
          <w:p>
            <w:r>
              <w:rPr>
                <w:sz w:val="20"/>
                <w:szCs w:val="20"/>
              </w:rPr>
              <w:t xml:space="preserve">LLM + guardrail node</w:t>
            </w:r>
          </w:p>
        </w:tc>
        <w:tc>
          <w:tcPr>
            <w:tcW w:type="dxa" w:w="3266"/>
            <w:tcMar>
              <w:top w:type="dxa" w:w="80"/>
              <w:left w:type="dxa" w:w="100"/>
              <w:bottom w:type="dxa" w:w="80"/>
              <w:right w:type="dxa" w:w="100"/>
            </w:tcMar>
          </w:tcPr>
          <w:p>
            <w:r>
              <w:rPr>
                <w:sz w:val="20"/>
                <w:szCs w:val="20"/>
              </w:rPr>
              <w:t xml:space="preserve">This is the only part of the system where natural-language generation is actually the right tool</w:t>
            </w:r>
          </w:p>
        </w:tc>
      </w:tr>
    </w:tbl>
    <w:p>
      <w:pPr>
        <w:spacing w:after="200"/>
      </w:pPr>
    </w:p>
    <w:p>
      <w:pPr>
        <w:spacing w:after="160" w:line="300"/>
      </w:pPr>
      <w:r>
        <w:t xml:space="preserve">A team that blurs these boundaries — e.g., asking the LLM to "retrieve and calculate in one prompt" — will ship a system that is fast to demo and impossible to debug or trust in week 3. This document is written to prevent that outcome.</w:t>
      </w:r>
    </w:p>
    <w:p>
      <w:pPr>
        <w:pStyle w:val="Heading2"/>
        <w:spacing w:after="140" w:before="260"/>
      </w:pPr>
      <w:r>
        <w:t xml:space="preserve">1.3 Overall Engineering Approach</w:t>
      </w:r>
    </w:p>
    <w:p>
      <w:pPr>
        <w:spacing w:after="160" w:line="300"/>
      </w:pPr>
      <w:r>
        <w:t xml:space="preserve">We will build in </w:t>
      </w:r>
      <w:r>
        <w:rPr>
          <w:b/>
          <w:bCs/>
        </w:rPr>
        <w:t xml:space="preserve">thin vertical slices that each produce a demoable, evaluable increment</w:t>
      </w:r>
      <w:r>
        <w:t xml:space="preserve">, not in horizontal layers that only come together at the end (see Section 2 for the full argument). Every phase in Section 3 ends with something a non-engineer could watch work.</w:t>
      </w:r>
    </w:p>
    <w:p>
      <w:pPr>
        <w:pStyle w:val="Heading2"/>
        <w:spacing w:after="140" w:before="260"/>
      </w:pPr>
      <w:r>
        <w:t xml:space="preserve">1.4 Expected Challenges</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Challenge</w:t>
            </w:r>
          </w:p>
        </w:tc>
        <w:tc>
          <w:tcPr>
            <w:tcW w:type="dxa" w:w="3266"/>
            <w:shd w:fill="1F4E79" w:color="auto" w:val="clear"/>
            <w:tcMar>
              <w:top w:type="dxa" w:w="80"/>
              <w:left w:type="dxa" w:w="100"/>
              <w:bottom w:type="dxa" w:w="80"/>
              <w:right w:type="dxa" w:w="100"/>
            </w:tcMar>
          </w:tcPr>
          <w:p>
            <w:r>
              <w:rPr>
                <w:b/>
                <w:bCs/>
                <w:color w:val="FFFFFF"/>
                <w:sz w:val="20"/>
                <w:szCs w:val="20"/>
              </w:rPr>
              <w:t xml:space="preserve">Why it will happen</w:t>
            </w:r>
          </w:p>
        </w:tc>
        <w:tc>
          <w:tcPr>
            <w:tcW w:type="dxa" w:w="3266"/>
            <w:shd w:fill="1F4E79" w:color="auto" w:val="clear"/>
            <w:tcMar>
              <w:top w:type="dxa" w:w="80"/>
              <w:left w:type="dxa" w:w="100"/>
              <w:bottom w:type="dxa" w:w="80"/>
              <w:right w:type="dxa" w:w="100"/>
            </w:tcMar>
          </w:tcPr>
          <w:p>
            <w:r>
              <w:rPr>
                <w:b/>
                <w:bCs/>
                <w:color w:val="FFFFFF"/>
                <w:sz w:val="20"/>
                <w:szCs w:val="20"/>
              </w:rPr>
              <w:t xml:space="preserve">When it will bite</w:t>
            </w:r>
          </w:p>
        </w:tc>
      </w:tr>
      <w:tr>
        <w:trPr>
          <w:tblHeader w:val="false"/>
        </w:trPr>
        <w:tc>
          <w:tcPr>
            <w:tcW w:type="dxa" w:w="3266"/>
            <w:tcMar>
              <w:top w:type="dxa" w:w="80"/>
              <w:left w:type="dxa" w:w="100"/>
              <w:bottom w:type="dxa" w:w="80"/>
              <w:right w:type="dxa" w:w="100"/>
            </w:tcMar>
          </w:tcPr>
          <w:p>
            <w:r>
              <w:rPr>
                <w:sz w:val="20"/>
                <w:szCs w:val="20"/>
              </w:rPr>
              <w:t xml:space="preserve">Retrieval returning the right card's rule vs. a plausible-sounding wrong-card rule</w:t>
            </w:r>
          </w:p>
        </w:tc>
        <w:tc>
          <w:tcPr>
            <w:tcW w:type="dxa" w:w="3266"/>
            <w:tcMar>
              <w:top w:type="dxa" w:w="80"/>
              <w:left w:type="dxa" w:w="100"/>
              <w:bottom w:type="dxa" w:w="80"/>
              <w:right w:type="dxa" w:w="100"/>
            </w:tcMar>
          </w:tcPr>
          <w:p>
            <w:r>
              <w:rPr>
                <w:sz w:val="20"/>
                <w:szCs w:val="20"/>
              </w:rPr>
              <w:t xml:space="preserve">Embedding similarity doesn't respect card boundaries by default</w:t>
            </w:r>
          </w:p>
        </w:tc>
        <w:tc>
          <w:tcPr>
            <w:tcW w:type="dxa" w:w="3266"/>
            <w:tcMar>
              <w:top w:type="dxa" w:w="80"/>
              <w:left w:type="dxa" w:w="100"/>
              <w:bottom w:type="dxa" w:w="80"/>
              <w:right w:type="dxa" w:w="100"/>
            </w:tcMar>
          </w:tcPr>
          <w:p>
            <w:r>
              <w:rPr>
                <w:sz w:val="20"/>
                <w:szCs w:val="20"/>
              </w:rPr>
              <w:t xml:space="preserve">As soon as you load more than 2 cards</w:t>
            </w:r>
          </w:p>
        </w:tc>
      </w:tr>
      <w:tr>
        <w:trPr>
          <w:tblHeader w:val="false"/>
        </w:trPr>
        <w:tc>
          <w:tcPr>
            <w:tcW w:type="dxa" w:w="3266"/>
            <w:tcMar>
              <w:top w:type="dxa" w:w="80"/>
              <w:left w:type="dxa" w:w="100"/>
              <w:bottom w:type="dxa" w:w="80"/>
              <w:right w:type="dxa" w:w="100"/>
            </w:tcMar>
          </w:tcPr>
          <w:p>
            <w:r>
              <w:rPr>
                <w:sz w:val="20"/>
                <w:szCs w:val="20"/>
              </w:rPr>
              <w:t xml:space="preserve">Arithmetic drift if the LLM is ever allowed to "help" with a calculation</w:t>
            </w:r>
          </w:p>
        </w:tc>
        <w:tc>
          <w:tcPr>
            <w:tcW w:type="dxa" w:w="3266"/>
            <w:tcMar>
              <w:top w:type="dxa" w:w="80"/>
              <w:left w:type="dxa" w:w="100"/>
              <w:bottom w:type="dxa" w:w="80"/>
              <w:right w:type="dxa" w:w="100"/>
            </w:tcMar>
          </w:tcPr>
          <w:p>
            <w:r>
              <w:rPr>
                <w:sz w:val="20"/>
                <w:szCs w:val="20"/>
              </w:rPr>
              <w:t xml:space="preserve">Autoregressive generation is not arithmetic</w:t>
            </w:r>
          </w:p>
        </w:tc>
        <w:tc>
          <w:tcPr>
            <w:tcW w:type="dxa" w:w="3266"/>
            <w:tcMar>
              <w:top w:type="dxa" w:w="80"/>
              <w:left w:type="dxa" w:w="100"/>
              <w:bottom w:type="dxa" w:w="80"/>
              <w:right w:type="dxa" w:w="100"/>
            </w:tcMar>
          </w:tcPr>
          <w:p>
            <w:r>
              <w:rPr>
                <w:sz w:val="20"/>
                <w:szCs w:val="20"/>
              </w:rPr>
              <w:t xml:space="preserve">The first time someone removes the calculator tool "to simplify the prompt"</w:t>
            </w:r>
          </w:p>
        </w:tc>
      </w:tr>
      <w:tr>
        <w:trPr>
          <w:tblHeader w:val="false"/>
        </w:trPr>
        <w:tc>
          <w:tcPr>
            <w:tcW w:type="dxa" w:w="3266"/>
            <w:tcMar>
              <w:top w:type="dxa" w:w="80"/>
              <w:left w:type="dxa" w:w="100"/>
              <w:bottom w:type="dxa" w:w="80"/>
              <w:right w:type="dxa" w:w="100"/>
            </w:tcMar>
          </w:tcPr>
          <w:p>
            <w:r>
              <w:rPr>
                <w:sz w:val="20"/>
                <w:szCs w:val="20"/>
              </w:rPr>
              <w:t xml:space="preserve">Chunking that splits a reward rate from its cap/exclusion clause</w:t>
            </w:r>
          </w:p>
        </w:tc>
        <w:tc>
          <w:tcPr>
            <w:tcW w:type="dxa" w:w="3266"/>
            <w:tcMar>
              <w:top w:type="dxa" w:w="80"/>
              <w:left w:type="dxa" w:w="100"/>
              <w:bottom w:type="dxa" w:w="80"/>
              <w:right w:type="dxa" w:w="100"/>
            </w:tcMar>
          </w:tcPr>
          <w:p>
            <w:r>
              <w:rPr>
                <w:sz w:val="20"/>
                <w:szCs w:val="20"/>
              </w:rPr>
              <w:t xml:space="preserve">Naive fixed-length chunking ignores document structure</w:t>
            </w:r>
          </w:p>
        </w:tc>
        <w:tc>
          <w:tcPr>
            <w:tcW w:type="dxa" w:w="3266"/>
            <w:tcMar>
              <w:top w:type="dxa" w:w="80"/>
              <w:left w:type="dxa" w:w="100"/>
              <w:bottom w:type="dxa" w:w="80"/>
              <w:right w:type="dxa" w:w="100"/>
            </w:tcMar>
          </w:tcPr>
          <w:p>
            <w:r>
              <w:rPr>
                <w:sz w:val="20"/>
                <w:szCs w:val="20"/>
              </w:rPr>
              <w:t xml:space="preserve">Silent — will not show up until an evaluation run specifically checks for it</w:t>
            </w:r>
          </w:p>
        </w:tc>
      </w:tr>
      <w:tr>
        <w:trPr>
          <w:tblHeader w:val="false"/>
        </w:trPr>
        <w:tc>
          <w:tcPr>
            <w:tcW w:type="dxa" w:w="3266"/>
            <w:tcMar>
              <w:top w:type="dxa" w:w="80"/>
              <w:left w:type="dxa" w:w="100"/>
              <w:bottom w:type="dxa" w:w="80"/>
              <w:right w:type="dxa" w:w="100"/>
            </w:tcMar>
          </w:tcPr>
          <w:p>
            <w:r>
              <w:rPr>
                <w:sz w:val="20"/>
                <w:szCs w:val="20"/>
              </w:rPr>
              <w:t xml:space="preserve">Guardrail node becoming a rubber stamp</w:t>
            </w:r>
          </w:p>
        </w:tc>
        <w:tc>
          <w:tcPr>
            <w:tcW w:type="dxa" w:w="3266"/>
            <w:tcMar>
              <w:top w:type="dxa" w:w="80"/>
              <w:left w:type="dxa" w:w="100"/>
              <w:bottom w:type="dxa" w:w="80"/>
              <w:right w:type="dxa" w:w="100"/>
            </w:tcMar>
          </w:tcPr>
          <w:p>
            <w:r>
              <w:rPr>
                <w:sz w:val="20"/>
                <w:szCs w:val="20"/>
              </w:rPr>
              <w:t xml:space="preserve">Teams under deadline pressure weaken guardrails instead of fixing root causes</w:t>
            </w:r>
          </w:p>
        </w:tc>
        <w:tc>
          <w:tcPr>
            <w:tcW w:type="dxa" w:w="3266"/>
            <w:tcMar>
              <w:top w:type="dxa" w:w="80"/>
              <w:left w:type="dxa" w:w="100"/>
              <w:bottom w:type="dxa" w:w="80"/>
              <w:right w:type="dxa" w:w="100"/>
            </w:tcMar>
          </w:tcPr>
          <w:p>
            <w:r>
              <w:rPr>
                <w:sz w:val="20"/>
                <w:szCs w:val="20"/>
              </w:rPr>
              <w:t xml:space="preserve">Right before a demo, under time pressure — the exact wrong time</w:t>
            </w:r>
          </w:p>
        </w:tc>
      </w:tr>
      <w:tr>
        <w:trPr>
          <w:tblHeader w:val="false"/>
        </w:trPr>
        <w:tc>
          <w:tcPr>
            <w:tcW w:type="dxa" w:w="3266"/>
            <w:tcMar>
              <w:top w:type="dxa" w:w="80"/>
              <w:left w:type="dxa" w:w="100"/>
              <w:bottom w:type="dxa" w:w="80"/>
              <w:right w:type="dxa" w:w="100"/>
            </w:tcMar>
          </w:tcPr>
          <w:p>
            <w:r>
              <w:rPr>
                <w:sz w:val="20"/>
                <w:szCs w:val="20"/>
              </w:rPr>
              <w:t xml:space="preserve">Scope creep from the "Suggestions" list (Section 23)</w:t>
            </w:r>
          </w:p>
        </w:tc>
        <w:tc>
          <w:tcPr>
            <w:tcW w:type="dxa" w:w="3266"/>
            <w:tcMar>
              <w:top w:type="dxa" w:w="80"/>
              <w:left w:type="dxa" w:w="100"/>
              <w:bottom w:type="dxa" w:w="80"/>
              <w:right w:type="dxa" w:w="100"/>
            </w:tcMar>
          </w:tcPr>
          <w:p>
            <w:r>
              <w:rPr>
                <w:sz w:val="20"/>
                <w:szCs w:val="20"/>
              </w:rPr>
              <w:t xml:space="preserve">Every item is individually a good idea</w:t>
            </w:r>
          </w:p>
        </w:tc>
        <w:tc>
          <w:tcPr>
            <w:tcW w:type="dxa" w:w="3266"/>
            <w:tcMar>
              <w:top w:type="dxa" w:w="80"/>
              <w:left w:type="dxa" w:w="100"/>
              <w:bottom w:type="dxa" w:w="80"/>
              <w:right w:type="dxa" w:w="100"/>
            </w:tcMar>
          </w:tcPr>
          <w:p>
            <w:r>
              <w:rPr>
                <w:sz w:val="20"/>
                <w:szCs w:val="20"/>
              </w:rPr>
              <w:t xml:space="preserve">Any time before the MVP is stable</w:t>
            </w:r>
          </w:p>
        </w:tc>
      </w:tr>
    </w:tbl>
    <w:p>
      <w:pPr>
        <w:spacing w:after="200"/>
      </w:pPr>
    </w:p>
    <w:p>
      <w:pPr>
        <w:pStyle w:val="Heading1"/>
        <w:pageBreakBefore/>
        <w:spacing w:after="180" w:before="360"/>
      </w:pPr>
      <w:bookmarkStart w:name="sec1" w:id="1"/>
      <w:r>
        <w:t xml:space="preserve">2. Development Strategy</w:t>
      </w:r>
      <w:bookmarkEnd w:id="1"/>
    </w:p>
    <w:p>
      <w:pPr>
        <w:pStyle w:val="Heading2"/>
        <w:spacing w:after="140" w:before="260"/>
      </w:pPr>
      <w:r>
        <w:t xml:space="preserve">2.1 Options Considered</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Strategy</w:t>
            </w:r>
          </w:p>
        </w:tc>
        <w:tc>
          <w:tcPr>
            <w:tcW w:type="dxa" w:w="3266"/>
            <w:shd w:fill="1F4E79" w:color="auto" w:val="clear"/>
            <w:tcMar>
              <w:top w:type="dxa" w:w="80"/>
              <w:left w:type="dxa" w:w="100"/>
              <w:bottom w:type="dxa" w:w="80"/>
              <w:right w:type="dxa" w:w="100"/>
            </w:tcMar>
          </w:tcPr>
          <w:p>
            <w:r>
              <w:rPr>
                <w:b/>
                <w:bCs/>
                <w:color w:val="FFFFFF"/>
                <w:sz w:val="20"/>
                <w:szCs w:val="20"/>
              </w:rPr>
              <w:t xml:space="preserve">Description</w:t>
            </w:r>
          </w:p>
        </w:tc>
        <w:tc>
          <w:tcPr>
            <w:tcW w:type="dxa" w:w="3266"/>
            <w:shd w:fill="1F4E79" w:color="auto" w:val="clear"/>
            <w:tcMar>
              <w:top w:type="dxa" w:w="80"/>
              <w:left w:type="dxa" w:w="100"/>
              <w:bottom w:type="dxa" w:w="80"/>
              <w:right w:type="dxa" w:w="100"/>
            </w:tcMar>
          </w:tcPr>
          <w:p>
            <w:r>
              <w:rPr>
                <w:b/>
                <w:bCs/>
                <w:color w:val="FFFFFF"/>
                <w:sz w:val="20"/>
                <w:szCs w:val="20"/>
              </w:rPr>
              <w:t xml:space="preserve">Fit for this project</w:t>
            </w:r>
          </w:p>
        </w:tc>
      </w:tr>
      <w:tr>
        <w:trPr>
          <w:tblHeader w:val="false"/>
        </w:trPr>
        <w:tc>
          <w:tcPr>
            <w:tcW w:type="dxa" w:w="3266"/>
            <w:tcMar>
              <w:top w:type="dxa" w:w="80"/>
              <w:left w:type="dxa" w:w="100"/>
              <w:bottom w:type="dxa" w:w="80"/>
              <w:right w:type="dxa" w:w="100"/>
            </w:tcMar>
          </w:tcPr>
          <w:p>
            <w:r>
              <w:rPr>
                <w:b/>
                <w:bCs/>
                <w:sz w:val="20"/>
                <w:szCs w:val="20"/>
              </w:rPr>
              <w:t xml:space="preserve">Feature-first</w:t>
            </w:r>
          </w:p>
        </w:tc>
        <w:tc>
          <w:tcPr>
            <w:tcW w:type="dxa" w:w="3266"/>
            <w:tcMar>
              <w:top w:type="dxa" w:w="80"/>
              <w:left w:type="dxa" w:w="100"/>
              <w:bottom w:type="dxa" w:w="80"/>
              <w:right w:type="dxa" w:w="100"/>
            </w:tcMar>
          </w:tcPr>
          <w:p>
            <w:r>
              <w:rPr>
                <w:sz w:val="20"/>
                <w:szCs w:val="20"/>
              </w:rPr>
              <w:t xml:space="preserve">Build one user-facing feature completely (UI to DB) before starting the next</w:t>
            </w:r>
          </w:p>
        </w:tc>
        <w:tc>
          <w:tcPr>
            <w:tcW w:type="dxa" w:w="3266"/>
            <w:tcMar>
              <w:top w:type="dxa" w:w="80"/>
              <w:left w:type="dxa" w:w="100"/>
              <w:bottom w:type="dxa" w:w="80"/>
              <w:right w:type="dxa" w:w="100"/>
            </w:tcMar>
          </w:tcPr>
          <w:p>
            <w:r>
              <w:rPr>
                <w:sz w:val="20"/>
                <w:szCs w:val="20"/>
              </w:rPr>
              <w:t xml:space="preserve">Good instinct, but too coarse-grained for an agentic system — "recommendation" is not one feature, it's a pipeline</w:t>
            </w:r>
          </w:p>
        </w:tc>
      </w:tr>
      <w:tr>
        <w:trPr>
          <w:tblHeader w:val="false"/>
        </w:trPr>
        <w:tc>
          <w:tcPr>
            <w:tcW w:type="dxa" w:w="3266"/>
            <w:tcMar>
              <w:top w:type="dxa" w:w="80"/>
              <w:left w:type="dxa" w:w="100"/>
              <w:bottom w:type="dxa" w:w="80"/>
              <w:right w:type="dxa" w:w="100"/>
            </w:tcMar>
          </w:tcPr>
          <w:p>
            <w:r>
              <w:rPr>
                <w:b/>
                <w:bCs/>
                <w:sz w:val="20"/>
                <w:szCs w:val="20"/>
              </w:rPr>
              <w:t xml:space="preserve">Layer-first</w:t>
            </w:r>
          </w:p>
        </w:tc>
        <w:tc>
          <w:tcPr>
            <w:tcW w:type="dxa" w:w="3266"/>
            <w:tcMar>
              <w:top w:type="dxa" w:w="80"/>
              <w:left w:type="dxa" w:w="100"/>
              <w:bottom w:type="dxa" w:w="80"/>
              <w:right w:type="dxa" w:w="100"/>
            </w:tcMar>
          </w:tcPr>
          <w:p>
            <w:r>
              <w:rPr>
                <w:sz w:val="20"/>
                <w:szCs w:val="20"/>
              </w:rPr>
              <w:t xml:space="preserve">Build all of the DB layer, then all of the API layer, then all of the agent layer, then the UI</w:t>
            </w:r>
          </w:p>
        </w:tc>
        <w:tc>
          <w:tcPr>
            <w:tcW w:type="dxa" w:w="3266"/>
            <w:tcMar>
              <w:top w:type="dxa" w:w="80"/>
              <w:left w:type="dxa" w:w="100"/>
              <w:bottom w:type="dxa" w:w="80"/>
              <w:right w:type="dxa" w:w="100"/>
            </w:tcMar>
          </w:tcPr>
          <w:p>
            <w:r>
              <w:rPr>
                <w:sz w:val="20"/>
                <w:szCs w:val="20"/>
              </w:rPr>
              <w:t xml:space="preserve">Common but risky here: you cannot validate retrieval quality or agent behavior until every layer exists, meaning the first real signal on the hardest problem (RAG correctness) arrives last</w:t>
            </w:r>
          </w:p>
        </w:tc>
      </w:tr>
      <w:tr>
        <w:trPr>
          <w:tblHeader w:val="false"/>
        </w:trPr>
        <w:tc>
          <w:tcPr>
            <w:tcW w:type="dxa" w:w="3266"/>
            <w:tcMar>
              <w:top w:type="dxa" w:w="80"/>
              <w:left w:type="dxa" w:w="100"/>
              <w:bottom w:type="dxa" w:w="80"/>
              <w:right w:type="dxa" w:w="100"/>
            </w:tcMar>
          </w:tcPr>
          <w:p>
            <w:r>
              <w:rPr>
                <w:b/>
                <w:bCs/>
                <w:sz w:val="20"/>
                <w:szCs w:val="20"/>
              </w:rPr>
              <w:t xml:space="preserve">Domain-driven design (DDD)</w:t>
            </w:r>
          </w:p>
        </w:tc>
        <w:tc>
          <w:tcPr>
            <w:tcW w:type="dxa" w:w="3266"/>
            <w:tcMar>
              <w:top w:type="dxa" w:w="80"/>
              <w:left w:type="dxa" w:w="100"/>
              <w:bottom w:type="dxa" w:w="80"/>
              <w:right w:type="dxa" w:w="100"/>
            </w:tcMar>
          </w:tcPr>
          <w:p>
            <w:r>
              <w:rPr>
                <w:sz w:val="20"/>
                <w:szCs w:val="20"/>
              </w:rPr>
              <w:t xml:space="preserve">Organize around bounded contexts (Cards, Rewards, Recommendations, Users) with rich domain models</w:t>
            </w:r>
          </w:p>
        </w:tc>
        <w:tc>
          <w:tcPr>
            <w:tcW w:type="dxa" w:w="3266"/>
            <w:tcMar>
              <w:top w:type="dxa" w:w="80"/>
              <w:left w:type="dxa" w:w="100"/>
              <w:bottom w:type="dxa" w:w="80"/>
              <w:right w:type="dxa" w:w="100"/>
            </w:tcMar>
          </w:tcPr>
          <w:p>
            <w:r>
              <w:rPr>
                <w:sz w:val="20"/>
                <w:szCs w:val="20"/>
              </w:rPr>
              <w:t xml:space="preserve">Conceptually appealing, but heavyweight for a project of this scope — the domain is not complex enough to justify aggregate roots, domain events, and repositories-per-aggregate at MVP stage</w:t>
            </w:r>
          </w:p>
        </w:tc>
      </w:tr>
      <w:tr>
        <w:trPr>
          <w:tblHeader w:val="false"/>
        </w:trPr>
        <w:tc>
          <w:tcPr>
            <w:tcW w:type="dxa" w:w="3266"/>
            <w:tcMar>
              <w:top w:type="dxa" w:w="80"/>
              <w:left w:type="dxa" w:w="100"/>
              <w:bottom w:type="dxa" w:w="80"/>
              <w:right w:type="dxa" w:w="100"/>
            </w:tcMar>
          </w:tcPr>
          <w:p>
            <w:r>
              <w:rPr>
                <w:b/>
                <w:bCs/>
                <w:sz w:val="20"/>
                <w:szCs w:val="20"/>
              </w:rPr>
              <w:t xml:space="preserve">Vertical slice architecture</w:t>
            </w:r>
          </w:p>
        </w:tc>
        <w:tc>
          <w:tcPr>
            <w:tcW w:type="dxa" w:w="3266"/>
            <w:tcMar>
              <w:top w:type="dxa" w:w="80"/>
              <w:left w:type="dxa" w:w="100"/>
              <w:bottom w:type="dxa" w:w="80"/>
              <w:right w:type="dxa" w:w="100"/>
            </w:tcMar>
          </w:tcPr>
          <w:p>
            <w:r>
              <w:rPr>
                <w:sz w:val="20"/>
                <w:szCs w:val="20"/>
              </w:rPr>
              <w:t xml:space="preserve">Build one complete, thin, end-to-end path (e.g., "single-transaction recommendation") through every layer, then add the next slice</w:t>
            </w:r>
          </w:p>
        </w:tc>
        <w:tc>
          <w:tcPr>
            <w:tcW w:type="dxa" w:w="3266"/>
            <w:tcMar>
              <w:top w:type="dxa" w:w="80"/>
              <w:left w:type="dxa" w:w="100"/>
              <w:bottom w:type="dxa" w:w="80"/>
              <w:right w:type="dxa" w:w="100"/>
            </w:tcMar>
          </w:tcPr>
          <w:p>
            <w:r>
              <w:rPr>
                <w:b/>
                <w:bCs/>
                <w:sz w:val="20"/>
                <w:szCs w:val="20"/>
              </w:rPr>
              <w:t xml:space="preserve">Recommended</w:t>
            </w:r>
          </w:p>
        </w:tc>
      </w:tr>
    </w:tbl>
    <w:p>
      <w:pPr>
        <w:spacing w:after="200"/>
      </w:pPr>
    </w:p>
    <w:p>
      <w:pPr>
        <w:pStyle w:val="Heading2"/>
        <w:spacing w:after="140" w:before="260"/>
      </w:pPr>
      <w:r>
        <w:t xml:space="preserve">2.2 Recommendation: Vertical Slice Architecture, DDD-Informed Naming</w:t>
      </w:r>
    </w:p>
    <w:p>
      <w:pPr>
        <w:spacing w:after="160" w:line="300"/>
      </w:pPr>
      <w:r>
        <w:t xml:space="preserve">Build in </w:t>
      </w:r>
      <w:r>
        <w:rPr>
          <w:b/>
          <w:bCs/>
        </w:rPr>
        <w:t xml:space="preserve">vertical slices</w:t>
      </w:r>
      <w:r>
        <w:t xml:space="preserve"> — each slice is a complete path from API request to final answer for one use case (Stage 1: single-transaction recommendation; Stage 2: monthly optimization; Stage 3: transfer strategy with approval) — while borrowing DDD's </w:t>
      </w:r>
      <w:r>
        <w:rPr>
          <w:b/>
          <w:bCs/>
        </w:rPr>
        <w:t xml:space="preserve">naming and boundary discipline</w:t>
      </w:r>
      <w:r>
        <w:t xml:space="preserve"> (Cards, Rewards, Recommendations as named concepts in code) without adopting its full tactical pattern set (no aggregate roots, no domain events bus, at this scale).</w:t>
      </w:r>
    </w:p>
    <w:p>
      <w:pPr>
        <w:spacing w:after="160" w:line="300"/>
      </w:pPr>
      <w:r>
        <w:rPr>
          <w:b/>
          <w:bCs/>
        </w:rPr>
        <w:t xml:space="preserve">Why this wins for this specific project:</w:t>
      </w:r>
    </w:p>
    <w:p>
      <w:pPr>
        <w:pStyle w:val="ListParagraph"/>
        <w:numPr>
          <w:ilvl w:val="0"/>
          <w:numId w:val="2"/>
        </w:numPr>
        <w:spacing w:after="80" w:line="290"/>
      </w:pPr>
      <w:r>
        <w:rPr>
          <w:b/>
          <w:bCs/>
        </w:rPr>
        <w:t xml:space="preserve">Fastest path to your highest-risk unknown.</w:t>
      </w:r>
      <w:r>
        <w:t xml:space="preserve"> The riskiest unknown in this project is not "can we build a REST API" — it's "can retrieval + calculation reliably produce a correct, grounded answer." A vertical slice gets you a testable answer to that question in week 2, not week 8.</w:t>
      </w:r>
    </w:p>
    <w:p>
      <w:pPr>
        <w:pStyle w:val="ListParagraph"/>
        <w:numPr>
          <w:ilvl w:val="0"/>
          <w:numId w:val="2"/>
        </w:numPr>
        <w:spacing w:after="80" w:line="290"/>
      </w:pPr>
      <w:r>
        <w:rPr>
          <w:b/>
          <w:bCs/>
        </w:rPr>
        <w:t xml:space="preserve">Matches the staged roadmap already defined in the architecture document.</w:t>
      </w:r>
      <w:r>
        <w:t xml:space="preserve"> Stage 1 (MVP RAG), Stage 2 (orchestration/memory), Stage 3 (guardrails/approval) are already vertical slices in disguise — this strategy just names that explicitly and carries it into code organization.</w:t>
      </w:r>
    </w:p>
    <w:p>
      <w:pPr>
        <w:pStyle w:val="ListParagraph"/>
        <w:numPr>
          <w:ilvl w:val="0"/>
          <w:numId w:val="2"/>
        </w:numPr>
        <w:spacing w:after="80" w:line="290"/>
      </w:pPr>
      <w:r>
        <w:rPr>
          <w:b/>
          <w:bCs/>
        </w:rPr>
        <w:t xml:space="preserve">Every slice is independently demoable and evaluable.</w:t>
      </w:r>
      <w:r>
        <w:t xml:space="preserve"> This matters enormously for a capstone project, where "show me it working" moments are graded events, not just internal milestones.</w:t>
      </w:r>
    </w:p>
    <w:p>
      <w:pPr>
        <w:pStyle w:val="ListParagraph"/>
        <w:numPr>
          <w:ilvl w:val="0"/>
          <w:numId w:val="2"/>
        </w:numPr>
        <w:spacing w:after="80" w:line="290"/>
      </w:pPr>
      <w:r>
        <w:rPr>
          <w:b/>
          <w:bCs/>
        </w:rPr>
        <w:t xml:space="preserve">Avoids DDD overhead the team doesn't need yet.</w:t>
      </w:r>
      <w:r>
        <w:t xml:space="preserve"> A solo/small team maintaining aggregate roots and domain events for a system with six database tables is solving a problem it doesn't have.</w:t>
      </w:r>
    </w:p>
    <w:p>
      <w:pPr>
        <w:spacing w:after="160" w:line="300"/>
      </w:pPr>
      <w:r>
        <w:rPr>
          <w:b/>
          <w:bCs/>
        </w:rPr>
        <w:t xml:space="preserve">Trade-off to accept knowingly:</w:t>
      </w:r>
      <w:r>
        <w:t xml:space="preserve"> vertical slices can produce some duplicated logic across slices early on (e.g., card-lookup logic touched by both the single-transaction and monthly-optimization slices). The mitigation is not to prematurely abstract — extract shared logic into </w:t>
      </w:r>
      <w:r>
        <w:rPr>
          <w:rFonts w:ascii="Consolas" w:cs="Consolas" w:eastAsia="Consolas" w:hAnsi="Consolas"/>
          <w:shd w:fill="F0F0F0" w:val="clear"/>
        </w:rPr>
        <w:t xml:space="preserve">services/</w:t>
      </w:r>
      <w:r>
        <w:t xml:space="preserve"> only when the </w:t>
      </w:r>
      <w:r>
        <w:rPr>
          <w:i/>
          <w:iCs/>
        </w:rPr>
        <w:t xml:space="preserve">third</w:t>
      </w:r>
      <w:r>
        <w:t xml:space="preserve"> slice needs it (the standard "rule of three"), not the second.</w:t>
      </w:r>
    </w:p>
    <w:p>
      <w:pPr>
        <w:pStyle w:val="Heading1"/>
        <w:pageBreakBefore/>
        <w:spacing w:after="180" w:before="360"/>
      </w:pPr>
      <w:bookmarkStart w:name="sec2" w:id="1"/>
      <w:r>
        <w:t xml:space="preserve">3. Overall Development Workflow</w:t>
      </w:r>
      <w:bookmarkEnd w:id="1"/>
    </w:p>
    <w:p>
      <w:pPr>
        <w:spacing w:after="160" w:line="300"/>
      </w:pPr>
      <w:r>
        <w:t xml:space="preserve">Each phase below is a vertical slice per Section 2. Durations assume 1–2 developers at a capstone/early-stage pace (10–15 focused hours/week per person).</w:t>
      </w:r>
    </w:p>
    <w:p>
      <w:pPr>
        <w:pStyle w:val="Heading2"/>
        <w:spacing w:after="140" w:before="260"/>
      </w:pPr>
      <w:r>
        <w:t xml:space="preserve">Phase 0 — Foundation</w:t>
      </w:r>
    </w:p>
    <w:p>
      <w:pPr>
        <w:pStyle w:val="ListParagraph"/>
        <w:numPr>
          <w:ilvl w:val="0"/>
          <w:numId w:val="1"/>
        </w:numPr>
        <w:spacing w:after="80" w:line="290"/>
      </w:pPr>
      <w:r>
        <w:rPr>
          <w:b/>
          <w:bCs/>
        </w:rPr>
        <w:t xml:space="preserve">Objective:</w:t>
      </w:r>
      <w:r>
        <w:t xml:space="preserve"> Repository, environment, CI skeleton, and empty-but-running service exist.</w:t>
      </w:r>
    </w:p>
    <w:p>
      <w:pPr>
        <w:pStyle w:val="ListParagraph"/>
        <w:numPr>
          <w:ilvl w:val="0"/>
          <w:numId w:val="1"/>
        </w:numPr>
        <w:spacing w:after="80" w:line="290"/>
      </w:pPr>
      <w:r>
        <w:rPr>
          <w:b/>
          <w:bCs/>
        </w:rPr>
        <w:t xml:space="preserve">Deliverables:</w:t>
      </w:r>
      <w:r>
        <w:t xml:space="preserve"> Git repo with branching model live; </w:t>
      </w:r>
      <w:r>
        <w:rPr>
          <w:rFonts w:ascii="Consolas" w:cs="Consolas" w:eastAsia="Consolas" w:hAnsi="Consolas"/>
          <w:shd w:fill="F0F0F0" w:val="clear"/>
        </w:rPr>
        <w:t xml:space="preserve">docker-compose up</w:t>
      </w:r>
      <w:r>
        <w:t xml:space="preserve"> brings up an empty FastAPI app + Postgres; pre-commit hooks pass on an empty commit.</w:t>
      </w:r>
    </w:p>
    <w:p>
      <w:pPr>
        <w:pStyle w:val="ListParagraph"/>
        <w:numPr>
          <w:ilvl w:val="0"/>
          <w:numId w:val="1"/>
        </w:numPr>
        <w:spacing w:after="80" w:line="290"/>
      </w:pPr>
      <w:r>
        <w:rPr>
          <w:b/>
          <w:bCs/>
        </w:rPr>
        <w:t xml:space="preserve">Dependencies:</w:t>
      </w:r>
      <w:r>
        <w:t xml:space="preserve"> None.</w:t>
      </w:r>
    </w:p>
    <w:p>
      <w:pPr>
        <w:pStyle w:val="ListParagraph"/>
        <w:numPr>
          <w:ilvl w:val="0"/>
          <w:numId w:val="1"/>
        </w:numPr>
        <w:spacing w:after="80" w:line="290"/>
      </w:pPr>
      <w:r>
        <w:rPr>
          <w:b/>
          <w:bCs/>
        </w:rPr>
        <w:t xml:space="preserve">Acceptance criteria:</w:t>
      </w:r>
      <w:r>
        <w:t xml:space="preserve"> </w:t>
      </w:r>
      <w:r>
        <w:rPr>
          <w:rFonts w:ascii="Consolas" w:cs="Consolas" w:eastAsia="Consolas" w:hAnsi="Consolas"/>
          <w:shd w:fill="F0F0F0" w:val="clear"/>
        </w:rPr>
        <w:t xml:space="preserve">GET /health</w:t>
      </w:r>
      <w:r>
        <w:t xml:space="preserve"> returns 200 from a container; CI pipeline runs (even if it only lints).</w:t>
      </w:r>
    </w:p>
    <w:p>
      <w:pPr>
        <w:pStyle w:val="ListParagraph"/>
        <w:numPr>
          <w:ilvl w:val="0"/>
          <w:numId w:val="1"/>
        </w:numPr>
        <w:spacing w:after="80" w:line="290"/>
      </w:pPr>
      <w:r>
        <w:rPr>
          <w:b/>
          <w:bCs/>
        </w:rPr>
        <w:t xml:space="preserve">Risks:</w:t>
      </w:r>
      <w:r>
        <w:t xml:space="preserve"> Over-engineering the skeleton before there's a feature to justify it.</w:t>
      </w:r>
    </w:p>
    <w:p>
      <w:pPr>
        <w:pStyle w:val="ListParagraph"/>
        <w:numPr>
          <w:ilvl w:val="0"/>
          <w:numId w:val="1"/>
        </w:numPr>
        <w:spacing w:after="80" w:line="290"/>
      </w:pPr>
      <w:r>
        <w:rPr>
          <w:b/>
          <w:bCs/>
        </w:rPr>
        <w:t xml:space="preserve">Estimated duration:</w:t>
      </w:r>
      <w:r>
        <w:t xml:space="preserve"> 2–3 days.</w:t>
      </w:r>
    </w:p>
    <w:p>
      <w:pPr>
        <w:pStyle w:val="ListParagraph"/>
        <w:numPr>
          <w:ilvl w:val="0"/>
          <w:numId w:val="1"/>
        </w:numPr>
        <w:spacing w:after="80" w:line="290"/>
      </w:pPr>
      <w:r>
        <w:rPr>
          <w:b/>
          <w:bCs/>
        </w:rPr>
        <w:t xml:space="preserve">Expected output:</w:t>
      </w:r>
      <w:r>
        <w:t xml:space="preserve"> A boring, working "hello world" that the whole rest of the project builds on.</w:t>
      </w:r>
    </w:p>
    <w:p>
      <w:pPr>
        <w:pStyle w:val="Heading2"/>
        <w:spacing w:after="140" w:before="260"/>
      </w:pPr>
      <w:r>
        <w:t xml:space="preserve">Phase 1 — Vertical Slice: Single-Transaction Recommendation (MVP)</w:t>
      </w:r>
    </w:p>
    <w:p>
      <w:pPr>
        <w:pStyle w:val="ListParagraph"/>
        <w:numPr>
          <w:ilvl w:val="0"/>
          <w:numId w:val="1"/>
        </w:numPr>
        <w:spacing w:after="80" w:line="290"/>
      </w:pPr>
      <w:r>
        <w:rPr>
          <w:b/>
          <w:bCs/>
        </w:rPr>
        <w:t xml:space="preserve">Objective:</w:t>
      </w:r>
      <w:r>
        <w:t xml:space="preserve"> End-to-end path: ingest 4–5 card PDFs → chunk → embed → store → retrieve → calculate → return a cited answer, via CLI or a single API endpoint (UI optional at this stage).</w:t>
      </w:r>
    </w:p>
    <w:p>
      <w:pPr>
        <w:pStyle w:val="ListParagraph"/>
        <w:numPr>
          <w:ilvl w:val="0"/>
          <w:numId w:val="1"/>
        </w:numPr>
        <w:spacing w:after="80" w:line="290"/>
      </w:pPr>
      <w:r>
        <w:rPr>
          <w:b/>
          <w:bCs/>
        </w:rPr>
        <w:t xml:space="preserve">Deliverables:</w:t>
      </w:r>
      <w:r>
        <w:t xml:space="preserve"> Ingestion script; </w:t>
      </w:r>
      <w:r>
        <w:rPr>
          <w:rFonts w:ascii="Consolas" w:cs="Consolas" w:eastAsia="Consolas" w:hAnsi="Consolas"/>
          <w:shd w:fill="F0F0F0" w:val="clear"/>
        </w:rPr>
        <w:t xml:space="preserve">document_chunks</w:t>
      </w:r>
      <w:r>
        <w:t xml:space="preserve"> table populated; retriever function; calculator tool with unit tests; </w:t>
      </w:r>
      <w:r>
        <w:rPr>
          <w:rFonts w:ascii="Consolas" w:cs="Consolas" w:eastAsia="Consolas" w:hAnsi="Consolas"/>
          <w:shd w:fill="F0F0F0" w:val="clear"/>
        </w:rPr>
        <w:t xml:space="preserve">/recommend</w:t>
      </w:r>
      <w:r>
        <w:t xml:space="preserve"> endpoint (non-streaming is fine); 20 golden test questions (per the architecture doc).</w:t>
      </w:r>
    </w:p>
    <w:p>
      <w:pPr>
        <w:pStyle w:val="ListParagraph"/>
        <w:numPr>
          <w:ilvl w:val="0"/>
          <w:numId w:val="1"/>
        </w:numPr>
        <w:spacing w:after="80" w:line="290"/>
      </w:pPr>
      <w:r>
        <w:rPr>
          <w:b/>
          <w:bCs/>
        </w:rPr>
        <w:t xml:space="preserve">Dependencies:</w:t>
      </w:r>
      <w:r>
        <w:t xml:space="preserve"> Phase 0.</w:t>
      </w:r>
    </w:p>
    <w:p>
      <w:pPr>
        <w:pStyle w:val="ListParagraph"/>
        <w:numPr>
          <w:ilvl w:val="0"/>
          <w:numId w:val="1"/>
        </w:numPr>
        <w:spacing w:after="80" w:line="290"/>
      </w:pPr>
      <w:r>
        <w:rPr>
          <w:b/>
          <w:bCs/>
        </w:rPr>
        <w:t xml:space="preserve">Acceptance criteria:</w:t>
      </w:r>
      <w:r>
        <w:t xml:space="preserve"> All 20 golden questions produce a plausible, cited answer; calculator has 100% unit test pass rate on hand-computed expected values; retrieval precision@5 ≥ 0.75 on the golden set.</w:t>
      </w:r>
    </w:p>
    <w:p>
      <w:pPr>
        <w:pStyle w:val="ListParagraph"/>
        <w:numPr>
          <w:ilvl w:val="0"/>
          <w:numId w:val="1"/>
        </w:numPr>
        <w:spacing w:after="80" w:line="290"/>
      </w:pPr>
      <w:r>
        <w:rPr>
          <w:b/>
          <w:bCs/>
        </w:rPr>
        <w:t xml:space="preserve">Risks:</w:t>
      </w:r>
      <w:r>
        <w:t xml:space="preserve"> Underestimating chunking quality issues (see Section 8) — budget explicit time to </w:t>
      </w:r>
      <w:r>
        <w:rPr>
          <w:i/>
          <w:iCs/>
        </w:rPr>
        <w:t xml:space="preserve">inspect</w:t>
      </w:r>
      <w:r>
        <w:t xml:space="preserve"> chunks manually, not just trust the pipeline ran without error.</w:t>
      </w:r>
    </w:p>
    <w:p>
      <w:pPr>
        <w:pStyle w:val="ListParagraph"/>
        <w:numPr>
          <w:ilvl w:val="0"/>
          <w:numId w:val="1"/>
        </w:numPr>
        <w:spacing w:after="80" w:line="290"/>
      </w:pPr>
      <w:r>
        <w:rPr>
          <w:b/>
          <w:bCs/>
        </w:rPr>
        <w:t xml:space="preserve">Estimated duration:</w:t>
      </w:r>
      <w:r>
        <w:t xml:space="preserve"> 3–4 weeks.</w:t>
      </w:r>
    </w:p>
    <w:p>
      <w:pPr>
        <w:pStyle w:val="ListParagraph"/>
        <w:numPr>
          <w:ilvl w:val="0"/>
          <w:numId w:val="1"/>
        </w:numPr>
        <w:spacing w:after="80" w:line="290"/>
      </w:pPr>
      <w:r>
        <w:rPr>
          <w:b/>
          <w:bCs/>
        </w:rPr>
        <w:t xml:space="preserve">Expected output:</w:t>
      </w:r>
      <w:r>
        <w:t xml:space="preserve"> A CLI or minimal API that correctly answers "I'm spending ₹50,000 on flights, which card?" with citations.</w:t>
      </w:r>
    </w:p>
    <w:p>
      <w:pPr>
        <w:pStyle w:val="Heading2"/>
        <w:spacing w:after="140" w:before="260"/>
      </w:pPr>
      <w:r>
        <w:t xml:space="preserve">Phase 2 — Vertical Slice: Orchestration, Memory, Monthly Optimization</w:t>
      </w:r>
    </w:p>
    <w:p>
      <w:pPr>
        <w:pStyle w:val="ListParagraph"/>
        <w:numPr>
          <w:ilvl w:val="0"/>
          <w:numId w:val="1"/>
        </w:numPr>
        <w:spacing w:after="80" w:line="290"/>
      </w:pPr>
      <w:r>
        <w:rPr>
          <w:b/>
          <w:bCs/>
        </w:rPr>
        <w:t xml:space="preserve">Objective:</w:t>
      </w:r>
      <w:r>
        <w:t xml:space="preserve"> Replace the single-shot pipeline with a LangGraph agent; add conversation memory; add the monthly-spend-optimization use case (which requires classifying spend into categories and comparing across cards).</w:t>
      </w:r>
    </w:p>
    <w:p>
      <w:pPr>
        <w:pStyle w:val="ListParagraph"/>
        <w:numPr>
          <w:ilvl w:val="0"/>
          <w:numId w:val="1"/>
        </w:numPr>
        <w:spacing w:after="80" w:line="290"/>
      </w:pPr>
      <w:r>
        <w:rPr>
          <w:b/>
          <w:bCs/>
        </w:rPr>
        <w:t xml:space="preserve">Deliverables:</w:t>
      </w:r>
      <w:r>
        <w:t xml:space="preserve"> LangGraph graph with Intent Classification, Retrieval, Rule Validation, Calculation, Comparison nodes; </w:t>
      </w:r>
      <w:r>
        <w:rPr>
          <w:rFonts w:ascii="Consolas" w:cs="Consolas" w:eastAsia="Consolas" w:hAnsi="Consolas"/>
          <w:shd w:fill="F0F0F0" w:val="clear"/>
        </w:rPr>
        <w:t xml:space="preserve">user_profiles</w:t>
      </w:r>
      <w:r>
        <w:t xml:space="preserve"> table; spend-category classifier; expanded golden set (40+ questions covering both use cases).</w:t>
      </w:r>
    </w:p>
    <w:p>
      <w:pPr>
        <w:pStyle w:val="ListParagraph"/>
        <w:numPr>
          <w:ilvl w:val="0"/>
          <w:numId w:val="1"/>
        </w:numPr>
        <w:spacing w:after="80" w:line="290"/>
      </w:pPr>
      <w:r>
        <w:rPr>
          <w:b/>
          <w:bCs/>
        </w:rPr>
        <w:t xml:space="preserve">Dependencies:</w:t>
      </w:r>
      <w:r>
        <w:t xml:space="preserve"> Phase 1's retriever and calculator, reused as LangGraph tools.</w:t>
      </w:r>
    </w:p>
    <w:p>
      <w:pPr>
        <w:pStyle w:val="ListParagraph"/>
        <w:numPr>
          <w:ilvl w:val="0"/>
          <w:numId w:val="1"/>
        </w:numPr>
        <w:spacing w:after="80" w:line="290"/>
      </w:pPr>
      <w:r>
        <w:rPr>
          <w:b/>
          <w:bCs/>
        </w:rPr>
        <w:t xml:space="preserve">Acceptance criteria:</w:t>
      </w:r>
      <w:r>
        <w:t xml:space="preserve"> Multi-turn conversations correctly retain stated preferences within a session; monthly-optimization queries correctly allocate spend across ≥3 cards with cited rules per category.</w:t>
      </w:r>
    </w:p>
    <w:p>
      <w:pPr>
        <w:pStyle w:val="ListParagraph"/>
        <w:numPr>
          <w:ilvl w:val="0"/>
          <w:numId w:val="1"/>
        </w:numPr>
        <w:spacing w:after="80" w:line="290"/>
      </w:pPr>
      <w:r>
        <w:rPr>
          <w:b/>
          <w:bCs/>
        </w:rPr>
        <w:t xml:space="preserve">Risks:</w:t>
      </w:r>
      <w:r>
        <w:t xml:space="preserve"> Scope creep — resist adding transfer-strategy logic here; that's Phase 3.</w:t>
      </w:r>
    </w:p>
    <w:p>
      <w:pPr>
        <w:pStyle w:val="ListParagraph"/>
        <w:numPr>
          <w:ilvl w:val="0"/>
          <w:numId w:val="1"/>
        </w:numPr>
        <w:spacing w:after="80" w:line="290"/>
      </w:pPr>
      <w:r>
        <w:rPr>
          <w:b/>
          <w:bCs/>
        </w:rPr>
        <w:t xml:space="preserve">Estimated duration:</w:t>
      </w:r>
      <w:r>
        <w:t xml:space="preserve"> 3–4 weeks.</w:t>
      </w:r>
    </w:p>
    <w:p>
      <w:pPr>
        <w:pStyle w:val="ListParagraph"/>
        <w:numPr>
          <w:ilvl w:val="0"/>
          <w:numId w:val="1"/>
        </w:numPr>
        <w:spacing w:after="80" w:line="290"/>
      </w:pPr>
      <w:r>
        <w:rPr>
          <w:b/>
          <w:bCs/>
        </w:rPr>
        <w:t xml:space="preserve">Expected output:</w:t>
      </w:r>
      <w:r>
        <w:t xml:space="preserve"> A conversational agent that handles both single-transaction and monthly-optimization queries with memory.</w:t>
      </w:r>
    </w:p>
    <w:p>
      <w:pPr>
        <w:pStyle w:val="Heading2"/>
        <w:spacing w:after="140" w:before="260"/>
      </w:pPr>
      <w:r>
        <w:t xml:space="preserve">Phase 3 — Vertical Slice: Guardrails, Human Approval, Transfer Strategy, UI</w:t>
      </w:r>
    </w:p>
    <w:p>
      <w:pPr>
        <w:pStyle w:val="ListParagraph"/>
        <w:numPr>
          <w:ilvl w:val="0"/>
          <w:numId w:val="1"/>
        </w:numPr>
        <w:spacing w:after="80" w:line="290"/>
      </w:pPr>
      <w:r>
        <w:rPr>
          <w:b/>
          <w:bCs/>
        </w:rPr>
        <w:t xml:space="preserve">Objective:</w:t>
      </w:r>
      <w:r>
        <w:t xml:space="preserve"> Add the Guardrail Node, the Human Approval interrupt/resume flow, the transfer-strategy use case, and a Streamlit UI wrapping the API.</w:t>
      </w:r>
    </w:p>
    <w:p>
      <w:pPr>
        <w:pStyle w:val="ListParagraph"/>
        <w:numPr>
          <w:ilvl w:val="0"/>
          <w:numId w:val="1"/>
        </w:numPr>
        <w:spacing w:after="80" w:line="290"/>
      </w:pPr>
      <w:r>
        <w:rPr>
          <w:b/>
          <w:bCs/>
        </w:rPr>
        <w:t xml:space="preserve">Deliverables:</w:t>
      </w:r>
      <w:r>
        <w:t xml:space="preserve"> Guardrail Node with unit tests independent of LLM output; Human Approval node using LangGraph interrupt/resume; </w:t>
      </w:r>
      <w:r>
        <w:rPr>
          <w:rFonts w:ascii="Consolas" w:cs="Consolas" w:eastAsia="Consolas" w:hAnsi="Consolas"/>
          <w:shd w:fill="F0F0F0" w:val="clear"/>
        </w:rPr>
        <w:t xml:space="preserve">/transfer/evaluate</w:t>
      </w:r>
      <w:r>
        <w:t xml:space="preserve"> and </w:t>
      </w:r>
      <w:r>
        <w:rPr>
          <w:rFonts w:ascii="Consolas" w:cs="Consolas" w:eastAsia="Consolas" w:hAnsi="Consolas"/>
          <w:shd w:fill="F0F0F0" w:val="clear"/>
        </w:rPr>
        <w:t xml:space="preserve">/transfer/confirm</w:t>
      </w:r>
      <w:r>
        <w:t xml:space="preserve"> endpoints; Streamlit UI with confirm/cancel buttons; monitoring via LangSmith or Phoenix.</w:t>
      </w:r>
    </w:p>
    <w:p>
      <w:pPr>
        <w:pStyle w:val="ListParagraph"/>
        <w:numPr>
          <w:ilvl w:val="0"/>
          <w:numId w:val="1"/>
        </w:numPr>
        <w:spacing w:after="80" w:line="290"/>
      </w:pPr>
      <w:r>
        <w:rPr>
          <w:b/>
          <w:bCs/>
        </w:rPr>
        <w:t xml:space="preserve">Dependencies:</w:t>
      </w:r>
      <w:r>
        <w:t xml:space="preserve"> Phase 2's full agent graph.</w:t>
      </w:r>
    </w:p>
    <w:p>
      <w:pPr>
        <w:pStyle w:val="ListParagraph"/>
        <w:numPr>
          <w:ilvl w:val="0"/>
          <w:numId w:val="1"/>
        </w:numPr>
        <w:spacing w:after="80" w:line="290"/>
      </w:pPr>
      <w:r>
        <w:rPr>
          <w:b/>
          <w:bCs/>
        </w:rPr>
        <w:t xml:space="preserve">Acceptance criteria:</w:t>
      </w:r>
      <w:r>
        <w:t xml:space="preserve"> No transfer calculation is ever finalized without an explicit approval step observed in a trace; guardrail node blocks at least one deliberately-injected "invented rule" test case in a red-team test; full demo flow (ingest → query → clarify → approve → recommend) runs live without manual intervention.</w:t>
      </w:r>
    </w:p>
    <w:p>
      <w:pPr>
        <w:pStyle w:val="ListParagraph"/>
        <w:numPr>
          <w:ilvl w:val="0"/>
          <w:numId w:val="1"/>
        </w:numPr>
        <w:spacing w:after="80" w:line="290"/>
      </w:pPr>
      <w:r>
        <w:rPr>
          <w:b/>
          <w:bCs/>
        </w:rPr>
        <w:t xml:space="preserve">Risks:</w:t>
      </w:r>
      <w:r>
        <w:t xml:space="preserve"> Guardrail rules becoming either too strict (excessive refusals) or too lax (rubber-stamping) — calibrate against the golden set, not by feel.</w:t>
      </w:r>
    </w:p>
    <w:p>
      <w:pPr>
        <w:pStyle w:val="ListParagraph"/>
        <w:numPr>
          <w:ilvl w:val="0"/>
          <w:numId w:val="1"/>
        </w:numPr>
        <w:spacing w:after="80" w:line="290"/>
      </w:pPr>
      <w:r>
        <w:rPr>
          <w:b/>
          <w:bCs/>
        </w:rPr>
        <w:t xml:space="preserve">Estimated duration:</w:t>
      </w:r>
      <w:r>
        <w:t xml:space="preserve"> 3–4 weeks.</w:t>
      </w:r>
    </w:p>
    <w:p>
      <w:pPr>
        <w:pStyle w:val="ListParagraph"/>
        <w:numPr>
          <w:ilvl w:val="0"/>
          <w:numId w:val="1"/>
        </w:numPr>
        <w:spacing w:after="80" w:line="290"/>
      </w:pPr>
      <w:r>
        <w:rPr>
          <w:b/>
          <w:bCs/>
        </w:rPr>
        <w:t xml:space="preserve">Expected output:</w:t>
      </w:r>
      <w:r>
        <w:t xml:space="preserve"> The full demoable system described in the architecture document's Section 18 (Capstone Demo Flow).</w:t>
      </w:r>
    </w:p>
    <w:p>
      <w:pPr>
        <w:pStyle w:val="Heading2"/>
        <w:spacing w:after="140" w:before="260"/>
      </w:pPr>
      <w:r>
        <w:t xml:space="preserve">Phase 4 — Evaluation, Hardening, Documentation, Buffer</w:t>
      </w:r>
    </w:p>
    <w:p>
      <w:pPr>
        <w:pStyle w:val="ListParagraph"/>
        <w:numPr>
          <w:ilvl w:val="0"/>
          <w:numId w:val="1"/>
        </w:numPr>
        <w:spacing w:after="80" w:line="290"/>
      </w:pPr>
      <w:r>
        <w:rPr>
          <w:b/>
          <w:bCs/>
        </w:rPr>
        <w:t xml:space="preserve">Objective:</w:t>
      </w:r>
      <w:r>
        <w:t xml:space="preserve"> Run the full evaluation harness (Section 18 of this doc), fix regressions, write the final report, record the demo.</w:t>
      </w:r>
    </w:p>
    <w:p>
      <w:pPr>
        <w:pStyle w:val="ListParagraph"/>
        <w:numPr>
          <w:ilvl w:val="0"/>
          <w:numId w:val="1"/>
        </w:numPr>
        <w:spacing w:after="80" w:line="290"/>
      </w:pPr>
      <w:r>
        <w:rPr>
          <w:b/>
          <w:bCs/>
        </w:rPr>
        <w:t xml:space="preserve">Deliverables:</w:t>
      </w:r>
      <w:r>
        <w:t xml:space="preserve"> Evaluation report; README; architecture diagrams; demo video.</w:t>
      </w:r>
    </w:p>
    <w:p>
      <w:pPr>
        <w:pStyle w:val="ListParagraph"/>
        <w:numPr>
          <w:ilvl w:val="0"/>
          <w:numId w:val="1"/>
        </w:numPr>
        <w:spacing w:after="80" w:line="290"/>
      </w:pPr>
      <w:r>
        <w:rPr>
          <w:b/>
          <w:bCs/>
        </w:rPr>
        <w:t xml:space="preserve">Dependencies:</w:t>
      </w:r>
      <w:r>
        <w:t xml:space="preserve"> Phase 3.</w:t>
      </w:r>
    </w:p>
    <w:p>
      <w:pPr>
        <w:pStyle w:val="ListParagraph"/>
        <w:numPr>
          <w:ilvl w:val="0"/>
          <w:numId w:val="1"/>
        </w:numPr>
        <w:spacing w:after="80" w:line="290"/>
      </w:pPr>
      <w:r>
        <w:rPr>
          <w:b/>
          <w:bCs/>
        </w:rPr>
        <w:t xml:space="preserve">Acceptance criteria:</w:t>
      </w:r>
      <w:r>
        <w:t xml:space="preserve"> Hallucination rate on golden set = 0%; calculation accuracy = 100%; README allows a stranger to run the project from a clean clone in under 30 minutes.</w:t>
      </w:r>
    </w:p>
    <w:p>
      <w:pPr>
        <w:pStyle w:val="ListParagraph"/>
        <w:numPr>
          <w:ilvl w:val="0"/>
          <w:numId w:val="1"/>
        </w:numPr>
        <w:spacing w:after="80" w:line="290"/>
      </w:pPr>
      <w:r>
        <w:rPr>
          <w:b/>
          <w:bCs/>
        </w:rPr>
        <w:t xml:space="preserve">Risks:</w:t>
      </w:r>
      <w:r>
        <w:t xml:space="preserve"> Treating this phase as optional under time pressure — it is not; an ungraded, unevaluated system is a demo, not an engineering deliverable.</w:t>
      </w:r>
    </w:p>
    <w:p>
      <w:pPr>
        <w:pStyle w:val="ListParagraph"/>
        <w:numPr>
          <w:ilvl w:val="0"/>
          <w:numId w:val="1"/>
        </w:numPr>
        <w:spacing w:after="80" w:line="290"/>
      </w:pPr>
      <w:r>
        <w:rPr>
          <w:b/>
          <w:bCs/>
        </w:rPr>
        <w:t xml:space="preserve">Estimated duration:</w:t>
      </w:r>
      <w:r>
        <w:t xml:space="preserve"> 1–2 weeks.</w:t>
      </w:r>
    </w:p>
    <w:p>
      <w:pPr>
        <w:pStyle w:val="ListParagraph"/>
        <w:numPr>
          <w:ilvl w:val="0"/>
          <w:numId w:val="1"/>
        </w:numPr>
        <w:spacing w:after="80" w:line="290"/>
      </w:pPr>
      <w:r>
        <w:rPr>
          <w:b/>
          <w:bCs/>
        </w:rPr>
        <w:t xml:space="preserve">Expected output:</w:t>
      </w:r>
      <w:r>
        <w:t xml:space="preserve"> A submittable, portfolio-ready capstone.</w:t>
      </w:r>
    </w:p>
    <w:p>
      <w:pPr>
        <w:pStyle w:val="Heading1"/>
        <w:pageBreakBefore/>
        <w:spacing w:after="180" w:before="360"/>
      </w:pPr>
      <w:bookmarkStart w:name="sec3" w:id="1"/>
      <w:r>
        <w:t xml:space="preserve">4. Environment Setup</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Decision</w:t>
            </w:r>
          </w:p>
        </w:tc>
        <w:tc>
          <w:tcPr>
            <w:tcW w:type="dxa" w:w="3266"/>
            <w:shd w:fill="1F4E79" w:color="auto" w:val="clear"/>
            <w:tcMar>
              <w:top w:type="dxa" w:w="80"/>
              <w:left w:type="dxa" w:w="100"/>
              <w:bottom w:type="dxa" w:w="80"/>
              <w:right w:type="dxa" w:w="100"/>
            </w:tcMar>
          </w:tcPr>
          <w:p>
            <w:r>
              <w:rPr>
                <w:b/>
                <w:bCs/>
                <w:color w:val="FFFFFF"/>
                <w:sz w:val="20"/>
                <w:szCs w:val="20"/>
              </w:rPr>
              <w:t xml:space="preserve">Recommendation</w:t>
            </w:r>
          </w:p>
        </w:tc>
        <w:tc>
          <w:tcPr>
            <w:tcW w:type="dxa" w:w="3266"/>
            <w:shd w:fill="1F4E79" w:color="auto" w:val="clear"/>
            <w:tcMar>
              <w:top w:type="dxa" w:w="80"/>
              <w:left w:type="dxa" w:w="100"/>
              <w:bottom w:type="dxa" w:w="80"/>
              <w:right w:type="dxa" w:w="100"/>
            </w:tcMar>
          </w:tcPr>
          <w:p>
            <w:r>
              <w:rPr>
                <w:b/>
                <w:bCs/>
                <w:color w:val="FFFFFF"/>
                <w:sz w:val="20"/>
                <w:szCs w:val="20"/>
              </w:rPr>
              <w:t xml:space="preserve">Why</w:t>
            </w:r>
          </w:p>
        </w:tc>
      </w:tr>
      <w:tr>
        <w:trPr>
          <w:tblHeader w:val="false"/>
        </w:trPr>
        <w:tc>
          <w:tcPr>
            <w:tcW w:type="dxa" w:w="3266"/>
            <w:tcMar>
              <w:top w:type="dxa" w:w="80"/>
              <w:left w:type="dxa" w:w="100"/>
              <w:bottom w:type="dxa" w:w="80"/>
              <w:right w:type="dxa" w:w="100"/>
            </w:tcMar>
          </w:tcPr>
          <w:p>
            <w:r>
              <w:rPr>
                <w:sz w:val="20"/>
                <w:szCs w:val="20"/>
              </w:rPr>
              <w:t xml:space="preserve">Python version</w:t>
            </w:r>
          </w:p>
        </w:tc>
        <w:tc>
          <w:tcPr>
            <w:tcW w:type="dxa" w:w="3266"/>
            <w:tcMar>
              <w:top w:type="dxa" w:w="80"/>
              <w:left w:type="dxa" w:w="100"/>
              <w:bottom w:type="dxa" w:w="80"/>
              <w:right w:type="dxa" w:w="100"/>
            </w:tcMar>
          </w:tcPr>
          <w:p>
            <w:r>
              <w:rPr>
                <w:b/>
                <w:bCs/>
                <w:sz w:val="20"/>
                <w:szCs w:val="20"/>
              </w:rPr>
              <w:t xml:space="preserve">3.11 or 3.12</w:t>
            </w:r>
          </w:p>
        </w:tc>
        <w:tc>
          <w:tcPr>
            <w:tcW w:type="dxa" w:w="3266"/>
            <w:tcMar>
              <w:top w:type="dxa" w:w="80"/>
              <w:left w:type="dxa" w:w="100"/>
              <w:bottom w:type="dxa" w:w="80"/>
              <w:right w:type="dxa" w:w="100"/>
            </w:tcMar>
          </w:tcPr>
          <w:p>
            <w:r>
              <w:rPr>
                <w:sz w:val="20"/>
                <w:szCs w:val="20"/>
              </w:rPr>
              <w:t xml:space="preserve">Mature async support, broad compatibility with LangChain/LangGraph as of 2026, meaningfully faster than 3.9/3.10</w:t>
            </w:r>
          </w:p>
        </w:tc>
      </w:tr>
      <w:tr>
        <w:trPr>
          <w:tblHeader w:val="false"/>
        </w:trPr>
        <w:tc>
          <w:tcPr>
            <w:tcW w:type="dxa" w:w="3266"/>
            <w:tcMar>
              <w:top w:type="dxa" w:w="80"/>
              <w:left w:type="dxa" w:w="100"/>
              <w:bottom w:type="dxa" w:w="80"/>
              <w:right w:type="dxa" w:w="100"/>
            </w:tcMar>
          </w:tcPr>
          <w:p>
            <w:r>
              <w:rPr>
                <w:sz w:val="20"/>
                <w:szCs w:val="20"/>
              </w:rPr>
              <w:t xml:space="preserve">Virtual environment</w:t>
            </w:r>
          </w:p>
        </w:tc>
        <w:tc>
          <w:tcPr>
            <w:tcW w:type="dxa" w:w="3266"/>
            <w:tcMar>
              <w:top w:type="dxa" w:w="80"/>
              <w:left w:type="dxa" w:w="100"/>
              <w:bottom w:type="dxa" w:w="80"/>
              <w:right w:type="dxa" w:w="100"/>
            </w:tcMar>
          </w:tcPr>
          <w:p>
            <w:r>
              <w:rPr>
                <w:rFonts w:ascii="Consolas" w:cs="Consolas" w:eastAsia="Consolas" w:hAnsi="Consolas"/>
                <w:b/>
                <w:bCs/>
                <w:sz w:val="20"/>
                <w:szCs w:val="20"/>
                <w:shd w:fill="F0F0F0" w:val="clear"/>
              </w:rPr>
              <w:t xml:space="preserve">venv</w:t>
            </w:r>
            <w:r>
              <w:rPr>
                <w:b/>
                <w:bCs/>
                <w:sz w:val="20"/>
                <w:szCs w:val="20"/>
              </w:rPr>
              <w:t xml:space="preserve"> + </w:t>
            </w:r>
            <w:r>
              <w:rPr>
                <w:rFonts w:ascii="Consolas" w:cs="Consolas" w:eastAsia="Consolas" w:hAnsi="Consolas"/>
                <w:b/>
                <w:bCs/>
                <w:sz w:val="20"/>
                <w:szCs w:val="20"/>
                <w:shd w:fill="F0F0F0" w:val="clear"/>
              </w:rPr>
              <w:t xml:space="preserve">pip-tools</w:t>
            </w:r>
            <w:r>
              <w:rPr>
                <w:sz w:val="20"/>
                <w:szCs w:val="20"/>
              </w:rPr>
              <w:t xml:space="preserve">, or </w:t>
            </w:r>
            <w:r>
              <w:rPr>
                <w:rFonts w:ascii="Consolas" w:cs="Consolas" w:eastAsia="Consolas" w:hAnsi="Consolas"/>
                <w:b/>
                <w:bCs/>
                <w:sz w:val="20"/>
                <w:szCs w:val="20"/>
                <w:shd w:fill="F0F0F0" w:val="clear"/>
              </w:rPr>
              <w:t xml:space="preserve">uv</w:t>
            </w:r>
            <w:r>
              <w:rPr>
                <w:sz w:val="20"/>
                <w:szCs w:val="20"/>
              </w:rPr>
              <w:t xml:space="preserve"> if the team is comfortable with it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venv</w:t>
            </w:r>
            <w:r>
              <w:rPr>
                <w:sz w:val="20"/>
                <w:szCs w:val="20"/>
              </w:rPr>
              <w:t xml:space="preserve"> is zero-dependency and universally understood; </w:t>
            </w:r>
            <w:r>
              <w:rPr>
                <w:rFonts w:ascii="Consolas" w:cs="Consolas" w:eastAsia="Consolas" w:hAnsi="Consolas"/>
                <w:sz w:val="20"/>
                <w:szCs w:val="20"/>
                <w:shd w:fill="F0F0F0" w:val="clear"/>
              </w:rPr>
              <w:t xml:space="preserve">uv</w:t>
            </w:r>
            <w:r>
              <w:rPr>
                <w:sz w:val="20"/>
                <w:szCs w:val="20"/>
              </w:rPr>
              <w:t xml:space="preserve"> is materially faster for a small team willing to adopt a newer tool — recommend </w:t>
            </w:r>
            <w:r>
              <w:rPr>
                <w:rFonts w:ascii="Consolas" w:cs="Consolas" w:eastAsia="Consolas" w:hAnsi="Consolas"/>
                <w:sz w:val="20"/>
                <w:szCs w:val="20"/>
                <w:shd w:fill="F0F0F0" w:val="clear"/>
              </w:rPr>
              <w:t xml:space="preserve">uv</w:t>
            </w:r>
            <w:r>
              <w:rPr>
                <w:sz w:val="20"/>
                <w:szCs w:val="20"/>
              </w:rPr>
              <w:t xml:space="preserve"> if starting fresh in 2026, </w:t>
            </w:r>
            <w:r>
              <w:rPr>
                <w:rFonts w:ascii="Consolas" w:cs="Consolas" w:eastAsia="Consolas" w:hAnsi="Consolas"/>
                <w:sz w:val="20"/>
                <w:szCs w:val="20"/>
                <w:shd w:fill="F0F0F0" w:val="clear"/>
              </w:rPr>
              <w:t xml:space="preserve">venv</w:t>
            </w:r>
            <w:r>
              <w:rPr>
                <w:sz w:val="20"/>
                <w:szCs w:val="20"/>
              </w:rPr>
              <w:t xml:space="preserve"> if optimizing for reviewer/grader familiarity</w:t>
            </w:r>
          </w:p>
        </w:tc>
      </w:tr>
      <w:tr>
        <w:trPr>
          <w:tblHeader w:val="false"/>
        </w:trPr>
        <w:tc>
          <w:tcPr>
            <w:tcW w:type="dxa" w:w="3266"/>
            <w:tcMar>
              <w:top w:type="dxa" w:w="80"/>
              <w:left w:type="dxa" w:w="100"/>
              <w:bottom w:type="dxa" w:w="80"/>
              <w:right w:type="dxa" w:w="100"/>
            </w:tcMar>
          </w:tcPr>
          <w:p>
            <w:r>
              <w:rPr>
                <w:sz w:val="20"/>
                <w:szCs w:val="20"/>
              </w:rPr>
              <w:t xml:space="preserve">Dependency management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requirements.in</w:t>
            </w:r>
            <w:r>
              <w:rPr>
                <w:sz w:val="20"/>
                <w:szCs w:val="20"/>
              </w:rPr>
              <w:t xml:space="preserve"> → compiled to pinned </w:t>
            </w:r>
            <w:r>
              <w:rPr>
                <w:rFonts w:ascii="Consolas" w:cs="Consolas" w:eastAsia="Consolas" w:hAnsi="Consolas"/>
                <w:sz w:val="20"/>
                <w:szCs w:val="20"/>
                <w:shd w:fill="F0F0F0" w:val="clear"/>
              </w:rPr>
              <w:t xml:space="preserve">requirements.txt</w:t>
            </w:r>
            <w:r>
              <w:rPr>
                <w:sz w:val="20"/>
                <w:szCs w:val="20"/>
              </w:rPr>
              <w:t xml:space="preserve"> via </w:t>
            </w:r>
            <w:r>
              <w:rPr>
                <w:rFonts w:ascii="Consolas" w:cs="Consolas" w:eastAsia="Consolas" w:hAnsi="Consolas"/>
                <w:sz w:val="20"/>
                <w:szCs w:val="20"/>
                <w:shd w:fill="F0F0F0" w:val="clear"/>
              </w:rPr>
              <w:t xml:space="preserve">pip-compile</w:t>
            </w:r>
            <w:r>
              <w:rPr>
                <w:sz w:val="20"/>
                <w:szCs w:val="20"/>
              </w:rPr>
              <w:t xml:space="preserve"> (or </w:t>
            </w:r>
            <w:r>
              <w:rPr>
                <w:rFonts w:ascii="Consolas" w:cs="Consolas" w:eastAsia="Consolas" w:hAnsi="Consolas"/>
                <w:sz w:val="20"/>
                <w:szCs w:val="20"/>
                <w:shd w:fill="F0F0F0" w:val="clear"/>
              </w:rPr>
              <w:t xml:space="preserve">uv pip compile</w:t>
            </w:r>
            <w:r>
              <w:rPr>
                <w:sz w:val="20"/>
                <w:szCs w:val="20"/>
              </w:rPr>
              <w:t xml:space="preserve">)</w:t>
            </w:r>
          </w:p>
        </w:tc>
        <w:tc>
          <w:tcPr>
            <w:tcW w:type="dxa" w:w="3266"/>
            <w:tcMar>
              <w:top w:type="dxa" w:w="80"/>
              <w:left w:type="dxa" w:w="100"/>
              <w:bottom w:type="dxa" w:w="80"/>
              <w:right w:type="dxa" w:w="100"/>
            </w:tcMar>
          </w:tcPr>
          <w:p>
            <w:r>
              <w:rPr>
                <w:sz w:val="20"/>
                <w:szCs w:val="20"/>
              </w:rPr>
              <w:t xml:space="preserve">Pinned, reproducible builds; separates "what I want" from "what got resolved"</w:t>
            </w:r>
          </w:p>
        </w:tc>
      </w:tr>
      <w:tr>
        <w:trPr>
          <w:tblHeader w:val="false"/>
        </w:trPr>
        <w:tc>
          <w:tcPr>
            <w:tcW w:type="dxa" w:w="3266"/>
            <w:tcMar>
              <w:top w:type="dxa" w:w="80"/>
              <w:left w:type="dxa" w:w="100"/>
              <w:bottom w:type="dxa" w:w="80"/>
              <w:right w:type="dxa" w:w="100"/>
            </w:tcMar>
          </w:tcPr>
          <w:p>
            <w:r>
              <w:rPr>
                <w:sz w:val="20"/>
                <w:szCs w:val="20"/>
              </w:rPr>
              <w:t xml:space="preserve">IDE</w:t>
            </w:r>
          </w:p>
        </w:tc>
        <w:tc>
          <w:tcPr>
            <w:tcW w:type="dxa" w:w="3266"/>
            <w:tcMar>
              <w:top w:type="dxa" w:w="80"/>
              <w:left w:type="dxa" w:w="100"/>
              <w:bottom w:type="dxa" w:w="80"/>
              <w:right w:type="dxa" w:w="100"/>
            </w:tcMar>
          </w:tcPr>
          <w:p>
            <w:r>
              <w:rPr>
                <w:sz w:val="20"/>
                <w:szCs w:val="20"/>
              </w:rPr>
              <w:t xml:space="preserve">VS Code with Python, Pylance, Ruff, and Docker extensions</w:t>
            </w:r>
          </w:p>
        </w:tc>
        <w:tc>
          <w:tcPr>
            <w:tcW w:type="dxa" w:w="3266"/>
            <w:tcMar>
              <w:top w:type="dxa" w:w="80"/>
              <w:left w:type="dxa" w:w="100"/>
              <w:bottom w:type="dxa" w:w="80"/>
              <w:right w:type="dxa" w:w="100"/>
            </w:tcMar>
          </w:tcPr>
          <w:p>
            <w:r>
              <w:rPr>
                <w:sz w:val="20"/>
                <w:szCs w:val="20"/>
              </w:rPr>
              <w:t xml:space="preserve">Best-in-class free tooling; consistent across team members regardless of OS</w:t>
            </w:r>
          </w:p>
        </w:tc>
      </w:tr>
      <w:tr>
        <w:trPr>
          <w:tblHeader w:val="false"/>
        </w:trPr>
        <w:tc>
          <w:tcPr>
            <w:tcW w:type="dxa" w:w="3266"/>
            <w:tcMar>
              <w:top w:type="dxa" w:w="80"/>
              <w:left w:type="dxa" w:w="100"/>
              <w:bottom w:type="dxa" w:w="80"/>
              <w:right w:type="dxa" w:w="100"/>
            </w:tcMar>
          </w:tcPr>
          <w:p>
            <w:r>
              <w:rPr>
                <w:sz w:val="20"/>
                <w:szCs w:val="20"/>
              </w:rPr>
              <w:t xml:space="preserve">Docker setup</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docker-compose.yml</w:t>
            </w:r>
            <w:r>
              <w:rPr>
                <w:sz w:val="20"/>
                <w:szCs w:val="20"/>
              </w:rPr>
              <w:t xml:space="preserve"> with </w:t>
            </w:r>
            <w:r>
              <w:rPr>
                <w:rFonts w:ascii="Consolas" w:cs="Consolas" w:eastAsia="Consolas" w:hAnsi="Consolas"/>
                <w:sz w:val="20"/>
                <w:szCs w:val="20"/>
                <w:shd w:fill="F0F0F0" w:val="clear"/>
              </w:rPr>
              <w:t xml:space="preserve">app</w:t>
            </w:r>
            <w:r>
              <w:rPr>
                <w:sz w:val="20"/>
                <w:szCs w:val="20"/>
              </w:rPr>
              <w:t xml:space="preserve">, </w:t>
            </w:r>
            <w:r>
              <w:rPr>
                <w:rFonts w:ascii="Consolas" w:cs="Consolas" w:eastAsia="Consolas" w:hAnsi="Consolas"/>
                <w:sz w:val="20"/>
                <w:szCs w:val="20"/>
                <w:shd w:fill="F0F0F0" w:val="clear"/>
              </w:rPr>
              <w:t xml:space="preserve">db</w:t>
            </w:r>
            <w:r>
              <w:rPr>
                <w:sz w:val="20"/>
                <w:szCs w:val="20"/>
              </w:rPr>
              <w:t xml:space="preserve"> (Postgres+pgvector), and optionally </w:t>
            </w:r>
            <w:r>
              <w:rPr>
                <w:rFonts w:ascii="Consolas" w:cs="Consolas" w:eastAsia="Consolas" w:hAnsi="Consolas"/>
                <w:sz w:val="20"/>
                <w:szCs w:val="20"/>
                <w:shd w:fill="F0F0F0" w:val="clear"/>
              </w:rPr>
              <w:t xml:space="preserve">ui</w:t>
            </w:r>
            <w:r>
              <w:rPr>
                <w:sz w:val="20"/>
                <w:szCs w:val="20"/>
              </w:rPr>
              <w:t xml:space="preserve"> services</w:t>
            </w:r>
          </w:p>
        </w:tc>
        <w:tc>
          <w:tcPr>
            <w:tcW w:type="dxa" w:w="3266"/>
            <w:tcMar>
              <w:top w:type="dxa" w:w="80"/>
              <w:left w:type="dxa" w:w="100"/>
              <w:bottom w:type="dxa" w:w="80"/>
              <w:right w:type="dxa" w:w="100"/>
            </w:tcMar>
          </w:tcPr>
          <w:p>
            <w:r>
              <w:rPr>
                <w:sz w:val="20"/>
                <w:szCs w:val="20"/>
              </w:rPr>
              <w:t xml:space="preserve">Matches the deployment architecture in the companion document; makes onboarding a one-command operation</w:t>
            </w:r>
          </w:p>
        </w:tc>
      </w:tr>
      <w:tr>
        <w:trPr>
          <w:tblHeader w:val="false"/>
        </w:trPr>
        <w:tc>
          <w:tcPr>
            <w:tcW w:type="dxa" w:w="3266"/>
            <w:tcMar>
              <w:top w:type="dxa" w:w="80"/>
              <w:left w:type="dxa" w:w="100"/>
              <w:bottom w:type="dxa" w:w="80"/>
              <w:right w:type="dxa" w:w="100"/>
            </w:tcMar>
          </w:tcPr>
          <w:p>
            <w:r>
              <w:rPr>
                <w:sz w:val="20"/>
                <w:szCs w:val="20"/>
              </w:rPr>
              <w:t xml:space="preserve">Git strategy</w:t>
            </w:r>
          </w:p>
        </w:tc>
        <w:tc>
          <w:tcPr>
            <w:tcW w:type="dxa" w:w="3266"/>
            <w:tcMar>
              <w:top w:type="dxa" w:w="80"/>
              <w:left w:type="dxa" w:w="100"/>
              <w:bottom w:type="dxa" w:w="80"/>
              <w:right w:type="dxa" w:w="100"/>
            </w:tcMar>
          </w:tcPr>
          <w:p>
            <w:r>
              <w:rPr>
                <w:sz w:val="20"/>
                <w:szCs w:val="20"/>
              </w:rPr>
              <w:t xml:space="preserve">Trunk-based development with short-lived feature branches</w:t>
            </w:r>
          </w:p>
        </w:tc>
        <w:tc>
          <w:tcPr>
            <w:tcW w:type="dxa" w:w="3266"/>
            <w:tcMar>
              <w:top w:type="dxa" w:w="80"/>
              <w:left w:type="dxa" w:w="100"/>
              <w:bottom w:type="dxa" w:w="80"/>
              <w:right w:type="dxa" w:w="100"/>
            </w:tcMar>
          </w:tcPr>
          <w:p>
            <w:r>
              <w:rPr>
                <w:sz w:val="20"/>
                <w:szCs w:val="20"/>
              </w:rPr>
              <w:t xml:space="preserve">At small team scale, long-lived branches (GitFlow) create more merge pain than they prevent; trunk-based with feature flags (Section 23) for anything risky</w:t>
            </w:r>
          </w:p>
        </w:tc>
      </w:tr>
      <w:tr>
        <w:trPr>
          <w:tblHeader w:val="false"/>
        </w:trPr>
        <w:tc>
          <w:tcPr>
            <w:tcW w:type="dxa" w:w="3266"/>
            <w:tcMar>
              <w:top w:type="dxa" w:w="80"/>
              <w:left w:type="dxa" w:w="100"/>
              <w:bottom w:type="dxa" w:w="80"/>
              <w:right w:type="dxa" w:w="100"/>
            </w:tcMar>
          </w:tcPr>
          <w:p>
            <w:r>
              <w:rPr>
                <w:sz w:val="20"/>
                <w:szCs w:val="20"/>
              </w:rPr>
              <w:t xml:space="preserve">Branching model</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main</w:t>
            </w:r>
            <w:r>
              <w:rPr>
                <w:sz w:val="20"/>
                <w:szCs w:val="20"/>
              </w:rPr>
              <w:t xml:space="preserve"> (always deployable) + </w:t>
            </w:r>
            <w:r>
              <w:rPr>
                <w:rFonts w:ascii="Consolas" w:cs="Consolas" w:eastAsia="Consolas" w:hAnsi="Consolas"/>
                <w:sz w:val="20"/>
                <w:szCs w:val="20"/>
                <w:shd w:fill="F0F0F0" w:val="clear"/>
              </w:rPr>
              <w:t xml:space="preserve">feature/&lt;slice-name&gt;</w:t>
            </w:r>
            <w:r>
              <w:rPr>
                <w:sz w:val="20"/>
                <w:szCs w:val="20"/>
              </w:rPr>
              <w:t xml:space="preserve"> branches merged via PR</w:t>
            </w:r>
          </w:p>
        </w:tc>
        <w:tc>
          <w:tcPr>
            <w:tcW w:type="dxa" w:w="3266"/>
            <w:tcMar>
              <w:top w:type="dxa" w:w="80"/>
              <w:left w:type="dxa" w:w="100"/>
              <w:bottom w:type="dxa" w:w="80"/>
              <w:right w:type="dxa" w:w="100"/>
            </w:tcMar>
          </w:tcPr>
          <w:p>
            <w:r>
              <w:rPr>
                <w:sz w:val="20"/>
                <w:szCs w:val="20"/>
              </w:rPr>
              <w:t xml:space="preserve">Matches the vertical-slice strategy: one branch per slice, not per layer</w:t>
            </w:r>
          </w:p>
        </w:tc>
      </w:tr>
      <w:tr>
        <w:trPr>
          <w:tblHeader w:val="false"/>
        </w:trPr>
        <w:tc>
          <w:tcPr>
            <w:tcW w:type="dxa" w:w="3266"/>
            <w:tcMar>
              <w:top w:type="dxa" w:w="80"/>
              <w:left w:type="dxa" w:w="100"/>
              <w:bottom w:type="dxa" w:w="80"/>
              <w:right w:type="dxa" w:w="100"/>
            </w:tcMar>
          </w:tcPr>
          <w:p>
            <w:r>
              <w:rPr>
                <w:sz w:val="20"/>
                <w:szCs w:val="20"/>
              </w:rPr>
              <w:t xml:space="preserve">Environment variables</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.env</w:t>
            </w:r>
            <w:r>
              <w:rPr>
                <w:sz w:val="20"/>
                <w:szCs w:val="20"/>
              </w:rPr>
              <w:t xml:space="preserve"> (gitignored) + </w:t>
            </w:r>
            <w:r>
              <w:rPr>
                <w:rFonts w:ascii="Consolas" w:cs="Consolas" w:eastAsia="Consolas" w:hAnsi="Consolas"/>
                <w:sz w:val="20"/>
                <w:szCs w:val="20"/>
                <w:shd w:fill="F0F0F0" w:val="clear"/>
              </w:rPr>
              <w:t xml:space="preserve">.env.example</w:t>
            </w:r>
            <w:r>
              <w:rPr>
                <w:sz w:val="20"/>
                <w:szCs w:val="20"/>
              </w:rPr>
              <w:t xml:space="preserve"> (committed)</w:t>
            </w:r>
          </w:p>
        </w:tc>
        <w:tc>
          <w:tcPr>
            <w:tcW w:type="dxa" w:w="3266"/>
            <w:tcMar>
              <w:top w:type="dxa" w:w="80"/>
              <w:left w:type="dxa" w:w="100"/>
              <w:bottom w:type="dxa" w:w="80"/>
              <w:right w:type="dxa" w:w="100"/>
            </w:tcMar>
          </w:tcPr>
          <w:p>
            <w:r>
              <w:rPr>
                <w:sz w:val="20"/>
                <w:szCs w:val="20"/>
              </w:rPr>
              <w:t xml:space="preserve">Standard 12-factor practice; </w:t>
            </w:r>
            <w:r>
              <w:rPr>
                <w:rFonts w:ascii="Consolas" w:cs="Consolas" w:eastAsia="Consolas" w:hAnsi="Consolas"/>
                <w:sz w:val="20"/>
                <w:szCs w:val="20"/>
                <w:shd w:fill="F0F0F0" w:val="clear"/>
              </w:rPr>
              <w:t xml:space="preserve">.env.example</w:t>
            </w:r>
            <w:r>
              <w:rPr>
                <w:sz w:val="20"/>
                <w:szCs w:val="20"/>
              </w:rPr>
              <w:t xml:space="preserve"> documents required config without leaking secrets</w:t>
            </w:r>
          </w:p>
        </w:tc>
      </w:tr>
      <w:tr>
        <w:trPr>
          <w:tblHeader w:val="false"/>
        </w:trPr>
        <w:tc>
          <w:tcPr>
            <w:tcW w:type="dxa" w:w="3266"/>
            <w:tcMar>
              <w:top w:type="dxa" w:w="80"/>
              <w:left w:type="dxa" w:w="100"/>
              <w:bottom w:type="dxa" w:w="80"/>
              <w:right w:type="dxa" w:w="100"/>
            </w:tcMar>
          </w:tcPr>
          <w:p>
            <w:r>
              <w:rPr>
                <w:sz w:val="20"/>
                <w:szCs w:val="20"/>
              </w:rPr>
              <w:t xml:space="preserve">Secrets management</w:t>
            </w:r>
          </w:p>
        </w:tc>
        <w:tc>
          <w:tcPr>
            <w:tcW w:type="dxa" w:w="3266"/>
            <w:tcMar>
              <w:top w:type="dxa" w:w="80"/>
              <w:left w:type="dxa" w:w="100"/>
              <w:bottom w:type="dxa" w:w="80"/>
              <w:right w:type="dxa" w:w="100"/>
            </w:tcMar>
          </w:tcPr>
          <w:p>
            <w:r>
              <w:rPr>
                <w:sz w:val="20"/>
                <w:szCs w:val="20"/>
              </w:rPr>
              <w:t xml:space="preserve">Local: </w:t>
            </w:r>
            <w:r>
              <w:rPr>
                <w:rFonts w:ascii="Consolas" w:cs="Consolas" w:eastAsia="Consolas" w:hAnsi="Consolas"/>
                <w:sz w:val="20"/>
                <w:szCs w:val="20"/>
                <w:shd w:fill="F0F0F0" w:val="clear"/>
              </w:rPr>
              <w:t xml:space="preserve">.env</w:t>
            </w:r>
            <w:r>
              <w:rPr>
                <w:sz w:val="20"/>
                <w:szCs w:val="20"/>
              </w:rPr>
              <w:t xml:space="preserve"> via </w:t>
            </w:r>
            <w:r>
              <w:rPr>
                <w:rFonts w:ascii="Consolas" w:cs="Consolas" w:eastAsia="Consolas" w:hAnsi="Consolas"/>
                <w:sz w:val="20"/>
                <w:szCs w:val="20"/>
                <w:shd w:fill="F0F0F0" w:val="clear"/>
              </w:rPr>
              <w:t xml:space="preserve">python-dotenv</w:t>
            </w:r>
            <w:r>
              <w:rPr>
                <w:sz w:val="20"/>
                <w:szCs w:val="20"/>
              </w:rPr>
              <w:t xml:space="preserve">. Deployed: platform secret manager (e.g., cloud provider's secret store) injected as environment variables</w:t>
            </w:r>
          </w:p>
        </w:tc>
        <w:tc>
          <w:tcPr>
            <w:tcW w:type="dxa" w:w="3266"/>
            <w:tcMar>
              <w:top w:type="dxa" w:w="80"/>
              <w:left w:type="dxa" w:w="100"/>
              <w:bottom w:type="dxa" w:w="80"/>
              <w:right w:type="dxa" w:w="100"/>
            </w:tcMar>
          </w:tcPr>
          <w:p>
            <w:r>
              <w:rPr>
                <w:sz w:val="20"/>
                <w:szCs w:val="20"/>
              </w:rPr>
              <w:t xml:space="preserve">Never commit secrets; never pass secrets as CLI arguments (they leak into shell history and process lists)</w:t>
            </w:r>
          </w:p>
        </w:tc>
      </w:tr>
      <w:tr>
        <w:trPr>
          <w:tblHeader w:val="false"/>
        </w:trPr>
        <w:tc>
          <w:tcPr>
            <w:tcW w:type="dxa" w:w="3266"/>
            <w:tcMar>
              <w:top w:type="dxa" w:w="80"/>
              <w:left w:type="dxa" w:w="100"/>
              <w:bottom w:type="dxa" w:w="80"/>
              <w:right w:type="dxa" w:w="100"/>
            </w:tcMar>
          </w:tcPr>
          <w:p>
            <w:r>
              <w:rPr>
                <w:sz w:val="20"/>
                <w:szCs w:val="20"/>
              </w:rPr>
              <w:t xml:space="preserve">Pre-commit hooks</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pre-commit</w:t>
            </w:r>
            <w:r>
              <w:rPr>
                <w:sz w:val="20"/>
                <w:szCs w:val="20"/>
              </w:rPr>
              <w:t xml:space="preserve"> framework running Ruff (lint+format) and </w:t>
            </w:r>
            <w:r>
              <w:rPr>
                <w:rFonts w:ascii="Consolas" w:cs="Consolas" w:eastAsia="Consolas" w:hAnsi="Consolas"/>
                <w:sz w:val="20"/>
                <w:szCs w:val="20"/>
                <w:shd w:fill="F0F0F0" w:val="clear"/>
              </w:rPr>
              <w:t xml:space="preserve">mypy</w:t>
            </w:r>
            <w:r>
              <w:rPr>
                <w:sz w:val="20"/>
                <w:szCs w:val="20"/>
              </w:rPr>
              <w:t xml:space="preserve"> (type check) on every commit</w:t>
            </w:r>
          </w:p>
        </w:tc>
        <w:tc>
          <w:tcPr>
            <w:tcW w:type="dxa" w:w="3266"/>
            <w:tcMar>
              <w:top w:type="dxa" w:w="80"/>
              <w:left w:type="dxa" w:w="100"/>
              <w:bottom w:type="dxa" w:w="80"/>
              <w:right w:type="dxa" w:w="100"/>
            </w:tcMar>
          </w:tcPr>
          <w:p>
            <w:r>
              <w:rPr>
                <w:sz w:val="20"/>
                <w:szCs w:val="20"/>
              </w:rPr>
              <w:t xml:space="preserve">Catches issues before they reach CI, which is faster feedback for the developer</w:t>
            </w:r>
          </w:p>
        </w:tc>
      </w:tr>
      <w:tr>
        <w:trPr>
          <w:tblHeader w:val="false"/>
        </w:trPr>
        <w:tc>
          <w:tcPr>
            <w:tcW w:type="dxa" w:w="3266"/>
            <w:tcMar>
              <w:top w:type="dxa" w:w="80"/>
              <w:left w:type="dxa" w:w="100"/>
              <w:bottom w:type="dxa" w:w="80"/>
              <w:right w:type="dxa" w:w="100"/>
            </w:tcMar>
          </w:tcPr>
          <w:p>
            <w:r>
              <w:rPr>
                <w:sz w:val="20"/>
                <w:szCs w:val="20"/>
              </w:rPr>
              <w:t xml:space="preserve">Linting/Formatting</w:t>
            </w:r>
          </w:p>
        </w:tc>
        <w:tc>
          <w:tcPr>
            <w:tcW w:type="dxa" w:w="3266"/>
            <w:tcMar>
              <w:top w:type="dxa" w:w="80"/>
              <w:left w:type="dxa" w:w="100"/>
              <w:bottom w:type="dxa" w:w="80"/>
              <w:right w:type="dxa" w:w="100"/>
            </w:tcMar>
          </w:tcPr>
          <w:p>
            <w:r>
              <w:rPr>
                <w:b/>
                <w:bCs/>
                <w:sz w:val="20"/>
                <w:szCs w:val="20"/>
              </w:rPr>
              <w:t xml:space="preserve">Ruff</w:t>
            </w:r>
            <w:r>
              <w:rPr>
                <w:sz w:val="20"/>
                <w:szCs w:val="20"/>
              </w:rPr>
              <w:t xml:space="preserve"> for both linting and formatting</w:t>
            </w:r>
          </w:p>
        </w:tc>
        <w:tc>
          <w:tcPr>
            <w:tcW w:type="dxa" w:w="3266"/>
            <w:tcMar>
              <w:top w:type="dxa" w:w="80"/>
              <w:left w:type="dxa" w:w="100"/>
              <w:bottom w:type="dxa" w:w="80"/>
              <w:right w:type="dxa" w:w="100"/>
            </w:tcMar>
          </w:tcPr>
          <w:p>
            <w:r>
              <w:rPr>
                <w:sz w:val="20"/>
                <w:szCs w:val="20"/>
              </w:rPr>
              <w:t xml:space="preserve">As of 2025–2026, Ruff has effectively superseded the separate flake8+black+isort combination for Python projects — one fast tool instead of three</w:t>
            </w:r>
          </w:p>
        </w:tc>
      </w:tr>
      <w:tr>
        <w:trPr>
          <w:tblHeader w:val="false"/>
        </w:trPr>
        <w:tc>
          <w:tcPr>
            <w:tcW w:type="dxa" w:w="3266"/>
            <w:tcMar>
              <w:top w:type="dxa" w:w="80"/>
              <w:left w:type="dxa" w:w="100"/>
              <w:bottom w:type="dxa" w:w="80"/>
              <w:right w:type="dxa" w:w="100"/>
            </w:tcMar>
          </w:tcPr>
          <w:p>
            <w:r>
              <w:rPr>
                <w:sz w:val="20"/>
                <w:szCs w:val="20"/>
              </w:rPr>
              <w:t xml:space="preserve">Type checking</w:t>
            </w:r>
          </w:p>
        </w:tc>
        <w:tc>
          <w:tcPr>
            <w:tcW w:type="dxa" w:w="3266"/>
            <w:tcMar>
              <w:top w:type="dxa" w:w="80"/>
              <w:left w:type="dxa" w:w="100"/>
              <w:bottom w:type="dxa" w:w="80"/>
              <w:right w:type="dxa" w:w="100"/>
            </w:tcMar>
          </w:tcPr>
          <w:p>
            <w:r>
              <w:rPr>
                <w:b/>
                <w:bCs/>
                <w:sz w:val="20"/>
                <w:szCs w:val="20"/>
              </w:rPr>
              <w:t xml:space="preserve">mypy</w:t>
            </w:r>
            <w:r>
              <w:rPr>
                <w:sz w:val="20"/>
                <w:szCs w:val="20"/>
              </w:rPr>
              <w:t xml:space="preserve"> in </w:t>
            </w:r>
            <w:r>
              <w:rPr>
                <w:rFonts w:ascii="Consolas" w:cs="Consolas" w:eastAsia="Consolas" w:hAnsi="Consolas"/>
                <w:sz w:val="20"/>
                <w:szCs w:val="20"/>
                <w:shd w:fill="F0F0F0" w:val="clear"/>
              </w:rPr>
              <w:t xml:space="preserve">--strict</w:t>
            </w:r>
            <w:r>
              <w:rPr>
                <w:sz w:val="20"/>
                <w:szCs w:val="20"/>
              </w:rPr>
              <w:t xml:space="preserve"> mode on </w:t>
            </w:r>
            <w:r>
              <w:rPr>
                <w:rFonts w:ascii="Consolas" w:cs="Consolas" w:eastAsia="Consolas" w:hAnsi="Consolas"/>
                <w:sz w:val="20"/>
                <w:szCs w:val="20"/>
                <w:shd w:fill="F0F0F0" w:val="clear"/>
              </w:rPr>
              <w:t xml:space="preserve">agents/</w:t>
            </w:r>
            <w:r>
              <w:rPr>
                <w:sz w:val="20"/>
                <w:szCs w:val="20"/>
              </w:rPr>
              <w:t xml:space="preserve">, </w:t>
            </w:r>
            <w:r>
              <w:rPr>
                <w:rFonts w:ascii="Consolas" w:cs="Consolas" w:eastAsia="Consolas" w:hAnsi="Consolas"/>
                <w:sz w:val="20"/>
                <w:szCs w:val="20"/>
                <w:shd w:fill="F0F0F0" w:val="clear"/>
              </w:rPr>
              <w:t xml:space="preserve">tools/</w:t>
            </w:r>
            <w:r>
              <w:rPr>
                <w:sz w:val="20"/>
                <w:szCs w:val="20"/>
              </w:rPr>
              <w:t xml:space="preserve">, and </w:t>
            </w:r>
            <w:r>
              <w:rPr>
                <w:rFonts w:ascii="Consolas" w:cs="Consolas" w:eastAsia="Consolas" w:hAnsi="Consolas"/>
                <w:sz w:val="20"/>
                <w:szCs w:val="20"/>
                <w:shd w:fill="F0F0F0" w:val="clear"/>
              </w:rPr>
              <w:t xml:space="preserve">database/models.py</w:t>
            </w:r>
            <w:r>
              <w:rPr>
                <w:sz w:val="20"/>
                <w:szCs w:val="20"/>
              </w:rPr>
              <w:t xml:space="preserve"> at minimum</w:t>
            </w:r>
          </w:p>
        </w:tc>
        <w:tc>
          <w:tcPr>
            <w:tcW w:type="dxa" w:w="3266"/>
            <w:tcMar>
              <w:top w:type="dxa" w:w="80"/>
              <w:left w:type="dxa" w:w="100"/>
              <w:bottom w:type="dxa" w:w="80"/>
              <w:right w:type="dxa" w:w="100"/>
            </w:tcMar>
          </w:tcPr>
          <w:p>
            <w:r>
              <w:rPr>
                <w:sz w:val="20"/>
                <w:szCs w:val="20"/>
              </w:rPr>
              <w:t xml:space="preserve">Type-checking the boundaries (tool inputs/outputs, DB models) catches the highest-value class of bugs for the least annotation effort; full-strict everywhere is a nice-to-have, not a blocker</w:t>
            </w:r>
          </w:p>
        </w:tc>
      </w:tr>
      <w:tr>
        <w:trPr>
          <w:tblHeader w:val="false"/>
        </w:trPr>
        <w:tc>
          <w:tcPr>
            <w:tcW w:type="dxa" w:w="3266"/>
            <w:tcMar>
              <w:top w:type="dxa" w:w="80"/>
              <w:left w:type="dxa" w:w="100"/>
              <w:bottom w:type="dxa" w:w="80"/>
              <w:right w:type="dxa" w:w="100"/>
            </w:tcMar>
          </w:tcPr>
          <w:p>
            <w:r>
              <w:rPr>
                <w:sz w:val="20"/>
                <w:szCs w:val="20"/>
              </w:rPr>
              <w:t xml:space="preserve">Testing setup</w:t>
            </w:r>
          </w:p>
        </w:tc>
        <w:tc>
          <w:tcPr>
            <w:tcW w:type="dxa" w:w="3266"/>
            <w:tcMar>
              <w:top w:type="dxa" w:w="80"/>
              <w:left w:type="dxa" w:w="100"/>
              <w:bottom w:type="dxa" w:w="80"/>
              <w:right w:type="dxa" w:w="100"/>
            </w:tcMar>
          </w:tcPr>
          <w:p>
            <w:r>
              <w:rPr>
                <w:b/>
                <w:bCs/>
                <w:sz w:val="20"/>
                <w:szCs w:val="20"/>
              </w:rPr>
              <w:t xml:space="preserve">pytest</w:t>
            </w:r>
            <w:r>
              <w:rPr>
                <w:sz w:val="20"/>
                <w:szCs w:val="20"/>
              </w:rPr>
              <w:t xml:space="preserve"> + </w:t>
            </w:r>
            <w:r>
              <w:rPr>
                <w:rFonts w:ascii="Consolas" w:cs="Consolas" w:eastAsia="Consolas" w:hAnsi="Consolas"/>
                <w:sz w:val="20"/>
                <w:szCs w:val="20"/>
                <w:shd w:fill="F0F0F0" w:val="clear"/>
              </w:rPr>
              <w:t xml:space="preserve">pytest-asyncio</w:t>
            </w:r>
            <w:r>
              <w:rPr>
                <w:sz w:val="20"/>
                <w:szCs w:val="20"/>
              </w:rPr>
              <w:t xml:space="preserve"> (for FastAPI async routes) + </w:t>
            </w:r>
            <w:r>
              <w:rPr>
                <w:rFonts w:ascii="Consolas" w:cs="Consolas" w:eastAsia="Consolas" w:hAnsi="Consolas"/>
                <w:sz w:val="20"/>
                <w:szCs w:val="20"/>
                <w:shd w:fill="F0F0F0" w:val="clear"/>
              </w:rPr>
              <w:t xml:space="preserve">pytest-cov</w:t>
            </w:r>
          </w:p>
        </w:tc>
        <w:tc>
          <w:tcPr>
            <w:tcW w:type="dxa" w:w="3266"/>
            <w:tcMar>
              <w:top w:type="dxa" w:w="80"/>
              <w:left w:type="dxa" w:w="100"/>
              <w:bottom w:type="dxa" w:w="80"/>
              <w:right w:type="dxa" w:w="100"/>
            </w:tcMar>
          </w:tcPr>
          <w:p>
            <w:r>
              <w:rPr>
                <w:sz w:val="20"/>
                <w:szCs w:val="20"/>
              </w:rPr>
              <w:t xml:space="preserve">Industry standard; async support is required given FastAPI's async-first design</w:t>
            </w:r>
          </w:p>
        </w:tc>
      </w:tr>
    </w:tbl>
    <w:p>
      <w:pPr>
        <w:spacing w:after="200"/>
      </w:pPr>
    </w:p>
    <w:p>
      <w:pPr>
        <w:pStyle w:val="Heading1"/>
        <w:pageBreakBefore/>
        <w:spacing w:after="180" w:before="360"/>
      </w:pPr>
      <w:bookmarkStart w:name="sec4" w:id="1"/>
      <w:r>
        <w:t xml:space="preserve">5. Folder Structure</w:t>
      </w:r>
      <w:bookmarkEnd w:id="1"/>
    </w:p>
    <w:tbl>
      <w:tblPr>
        <w:tblW w:type="dxa" w:w="9800"/>
        <w:tblBorders>
          <w:top w:val="single" w:color="D9D9D9" w:sz="2"/>
          <w:left w:val="single" w:color="D9D9D9" w:sz="2"/>
          <w:bottom w:val="single" w:color="D9D9D9" w:sz="2"/>
          <w:right w:val="single" w:color="D9D9D9" w:sz="2"/>
          <w:insideH w:val="none"/>
          <w:insideV w:val="none"/>
        </w:tblBorders>
      </w:tblPr>
      <w:tblGrid>
        <w:gridCol w:w="100"/>
      </w:tblGrid>
      <w:tr>
        <w:tc>
          <w:tcPr>
            <w:tcW w:type="dxa" w:w="98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credit-card-rewards-agent/</w:t>
            </w:r>
          </w:p>
          <w:p>
            <w:pPr>
              <w:spacing w:after="0"/>
            </w:pPr>
            <w:r>
              <w:rPr>
                <w:rFonts w:ascii="Consolas" w:cs="Consolas" w:eastAsia="Consolas" w:hAnsi="Consolas"/>
                <w:sz w:val="18"/>
                <w:szCs w:val="18"/>
              </w:rPr>
              <w:t xml:space="preserve">├── app/</w:t>
            </w:r>
          </w:p>
          <w:p>
            <w:pPr>
              <w:spacing w:after="0"/>
            </w:pPr>
            <w:r>
              <w:rPr>
                <w:rFonts w:ascii="Consolas" w:cs="Consolas" w:eastAsia="Consolas" w:hAnsi="Consolas"/>
                <w:sz w:val="18"/>
                <w:szCs w:val="18"/>
              </w:rPr>
              <w:t xml:space="preserve">│   └── streamlit_app.py          # MVP UI — thin, calls the API only</w:t>
            </w:r>
          </w:p>
          <w:p>
            <w:pPr>
              <w:spacing w:after="0"/>
            </w:pPr>
            <w:r>
              <w:rPr>
                <w:rFonts w:ascii="Consolas" w:cs="Consolas" w:eastAsia="Consolas" w:hAnsi="Consolas"/>
                <w:sz w:val="18"/>
                <w:szCs w:val="18"/>
              </w:rPr>
              <w:t xml:space="preserve">├── backend/</w:t>
            </w:r>
          </w:p>
          <w:p>
            <w:pPr>
              <w:spacing w:after="0"/>
            </w:pPr>
            <w:r>
              <w:rPr>
                <w:rFonts w:ascii="Consolas" w:cs="Consolas" w:eastAsia="Consolas" w:hAnsi="Consolas"/>
                <w:sz w:val="18"/>
                <w:szCs w:val="18"/>
              </w:rPr>
              <w:t xml:space="preserve">│   ├── main.py                   # FastAPI app factory, router registration</w:t>
            </w:r>
          </w:p>
          <w:p>
            <w:pPr>
              <w:spacing w:after="0"/>
            </w:pPr>
            <w:r>
              <w:rPr>
                <w:rFonts w:ascii="Consolas" w:cs="Consolas" w:eastAsia="Consolas" w:hAnsi="Consolas"/>
                <w:sz w:val="18"/>
                <w:szCs w:val="18"/>
              </w:rPr>
              <w:t xml:space="preserve">│   ├── config.py                 # Pydantic Settings — all env vars typed here</w:t>
            </w:r>
          </w:p>
          <w:p>
            <w:pPr>
              <w:spacing w:after="0"/>
            </w:pPr>
            <w:r>
              <w:rPr>
                <w:rFonts w:ascii="Consolas" w:cs="Consolas" w:eastAsia="Consolas" w:hAnsi="Consolas"/>
                <w:sz w:val="18"/>
                <w:szCs w:val="18"/>
              </w:rPr>
              <w:t xml:space="preserve">│   └── api/</w:t>
            </w:r>
          </w:p>
          <w:p>
            <w:pPr>
              <w:spacing w:after="0"/>
            </w:pPr>
            <w:r>
              <w:rPr>
                <w:rFonts w:ascii="Consolas" w:cs="Consolas" w:eastAsia="Consolas" w:hAnsi="Consolas"/>
                <w:sz w:val="18"/>
                <w:szCs w:val="18"/>
              </w:rPr>
              <w:t xml:space="preserve">│       ├── routes_recommend.py</w:t>
            </w:r>
          </w:p>
          <w:p>
            <w:pPr>
              <w:spacing w:after="0"/>
            </w:pPr>
            <w:r>
              <w:rPr>
                <w:rFonts w:ascii="Consolas" w:cs="Consolas" w:eastAsia="Consolas" w:hAnsi="Consolas"/>
                <w:sz w:val="18"/>
                <w:szCs w:val="18"/>
              </w:rPr>
              <w:t xml:space="preserve">│       ├── routes_transfer.py</w:t>
            </w:r>
          </w:p>
          <w:p>
            <w:pPr>
              <w:spacing w:after="0"/>
            </w:pPr>
            <w:r>
              <w:rPr>
                <w:rFonts w:ascii="Consolas" w:cs="Consolas" w:eastAsia="Consolas" w:hAnsi="Consolas"/>
                <w:sz w:val="18"/>
                <w:szCs w:val="18"/>
              </w:rPr>
              <w:t xml:space="preserve">│       ├── routes_user.py</w:t>
            </w:r>
          </w:p>
          <w:p>
            <w:pPr>
              <w:spacing w:after="0"/>
            </w:pPr>
            <w:r>
              <w:rPr>
                <w:rFonts w:ascii="Consolas" w:cs="Consolas" w:eastAsia="Consolas" w:hAnsi="Consolas"/>
                <w:sz w:val="18"/>
                <w:szCs w:val="18"/>
              </w:rPr>
              <w:t xml:space="preserve">│       └── routes_admin.py</w:t>
            </w:r>
          </w:p>
          <w:p>
            <w:pPr>
              <w:spacing w:after="0"/>
            </w:pPr>
            <w:r>
              <w:rPr>
                <w:rFonts w:ascii="Consolas" w:cs="Consolas" w:eastAsia="Consolas" w:hAnsi="Consolas"/>
                <w:sz w:val="18"/>
                <w:szCs w:val="18"/>
              </w:rPr>
              <w:t xml:space="preserve">├── agents/</w:t>
            </w:r>
          </w:p>
          <w:p>
            <w:pPr>
              <w:spacing w:after="0"/>
            </w:pPr>
            <w:r>
              <w:rPr>
                <w:rFonts w:ascii="Consolas" w:cs="Consolas" w:eastAsia="Consolas" w:hAnsi="Consolas"/>
                <w:sz w:val="18"/>
                <w:szCs w:val="18"/>
              </w:rPr>
              <w:t xml:space="preserve">│   ├── graph.py                  # LangGraph graph assembly</w:t>
            </w:r>
          </w:p>
          <w:p>
            <w:pPr>
              <w:spacing w:after="0"/>
            </w:pPr>
            <w:r>
              <w:rPr>
                <w:rFonts w:ascii="Consolas" w:cs="Consolas" w:eastAsia="Consolas" w:hAnsi="Consolas"/>
                <w:sz w:val="18"/>
                <w:szCs w:val="18"/>
              </w:rPr>
              <w:t xml:space="preserve">│   ├── nodes/</w:t>
            </w:r>
          </w:p>
          <w:p>
            <w:pPr>
              <w:spacing w:after="0"/>
            </w:pPr>
            <w:r>
              <w:rPr>
                <w:rFonts w:ascii="Consolas" w:cs="Consolas" w:eastAsia="Consolas" w:hAnsi="Consolas"/>
                <w:sz w:val="18"/>
                <w:szCs w:val="18"/>
              </w:rPr>
              <w:t xml:space="preserve">│   │   ├── intent.py</w:t>
            </w:r>
          </w:p>
          <w:p>
            <w:pPr>
              <w:spacing w:after="0"/>
            </w:pPr>
            <w:r>
              <w:rPr>
                <w:rFonts w:ascii="Consolas" w:cs="Consolas" w:eastAsia="Consolas" w:hAnsi="Consolas"/>
                <w:sz w:val="18"/>
                <w:szCs w:val="18"/>
              </w:rPr>
              <w:t xml:space="preserve">│   │   ├── clarify.py</w:t>
            </w:r>
          </w:p>
          <w:p>
            <w:pPr>
              <w:spacing w:after="0"/>
            </w:pPr>
            <w:r>
              <w:rPr>
                <w:rFonts w:ascii="Consolas" w:cs="Consolas" w:eastAsia="Consolas" w:hAnsi="Consolas"/>
                <w:sz w:val="18"/>
                <w:szCs w:val="18"/>
              </w:rPr>
              <w:t xml:space="preserve">│   │   ├── retrieve.py</w:t>
            </w:r>
          </w:p>
          <w:p>
            <w:pPr>
              <w:spacing w:after="0"/>
            </w:pPr>
            <w:r>
              <w:rPr>
                <w:rFonts w:ascii="Consolas" w:cs="Consolas" w:eastAsia="Consolas" w:hAnsi="Consolas"/>
                <w:sz w:val="18"/>
                <w:szCs w:val="18"/>
              </w:rPr>
              <w:t xml:space="preserve">│   │   ├── validate.py</w:t>
            </w:r>
          </w:p>
          <w:p>
            <w:pPr>
              <w:spacing w:after="0"/>
            </w:pPr>
            <w:r>
              <w:rPr>
                <w:rFonts w:ascii="Consolas" w:cs="Consolas" w:eastAsia="Consolas" w:hAnsi="Consolas"/>
                <w:sz w:val="18"/>
                <w:szCs w:val="18"/>
              </w:rPr>
              <w:t xml:space="preserve">│   │   ├── calculate.py</w:t>
            </w:r>
          </w:p>
          <w:p>
            <w:pPr>
              <w:spacing w:after="0"/>
            </w:pPr>
            <w:r>
              <w:rPr>
                <w:rFonts w:ascii="Consolas" w:cs="Consolas" w:eastAsia="Consolas" w:hAnsi="Consolas"/>
                <w:sz w:val="18"/>
                <w:szCs w:val="18"/>
              </w:rPr>
              <w:t xml:space="preserve">│   │   ├── compare.py</w:t>
            </w:r>
          </w:p>
          <w:p>
            <w:pPr>
              <w:spacing w:after="0"/>
            </w:pPr>
            <w:r>
              <w:rPr>
                <w:rFonts w:ascii="Consolas" w:cs="Consolas" w:eastAsia="Consolas" w:hAnsi="Consolas"/>
                <w:sz w:val="18"/>
                <w:szCs w:val="18"/>
              </w:rPr>
              <w:t xml:space="preserve">│   │   ├── guardrail.py</w:t>
            </w:r>
          </w:p>
          <w:p>
            <w:pPr>
              <w:spacing w:after="0"/>
            </w:pPr>
            <w:r>
              <w:rPr>
                <w:rFonts w:ascii="Consolas" w:cs="Consolas" w:eastAsia="Consolas" w:hAnsi="Consolas"/>
                <w:sz w:val="18"/>
                <w:szCs w:val="18"/>
              </w:rPr>
              <w:t xml:space="preserve">│   │   ├── approval.py</w:t>
            </w:r>
          </w:p>
          <w:p>
            <w:pPr>
              <w:spacing w:after="0"/>
            </w:pPr>
            <w:r>
              <w:rPr>
                <w:rFonts w:ascii="Consolas" w:cs="Consolas" w:eastAsia="Consolas" w:hAnsi="Consolas"/>
                <w:sz w:val="18"/>
                <w:szCs w:val="18"/>
              </w:rPr>
              <w:t xml:space="preserve">│   │   └── final_answer.py</w:t>
            </w:r>
          </w:p>
          <w:p>
            <w:pPr>
              <w:spacing w:after="0"/>
            </w:pPr>
            <w:r>
              <w:rPr>
                <w:rFonts w:ascii="Consolas" w:cs="Consolas" w:eastAsia="Consolas" w:hAnsi="Consolas"/>
                <w:sz w:val="18"/>
                <w:szCs w:val="18"/>
              </w:rPr>
              <w:t xml:space="preserve">│   ├── state.py                  # TypedDict/Pydantic agent state schema</w:t>
            </w:r>
          </w:p>
          <w:p>
            <w:pPr>
              <w:spacing w:after="0"/>
            </w:pPr>
            <w:r>
              <w:rPr>
                <w:rFonts w:ascii="Consolas" w:cs="Consolas" w:eastAsia="Consolas" w:hAnsi="Consolas"/>
                <w:sz w:val="18"/>
                <w:szCs w:val="18"/>
              </w:rPr>
              <w:t xml:space="preserve">│   └── prompts/</w:t>
            </w:r>
          </w:p>
          <w:p>
            <w:pPr>
              <w:spacing w:after="0"/>
            </w:pPr>
            <w:r>
              <w:rPr>
                <w:rFonts w:ascii="Consolas" w:cs="Consolas" w:eastAsia="Consolas" w:hAnsi="Consolas"/>
                <w:sz w:val="18"/>
                <w:szCs w:val="18"/>
              </w:rPr>
              <w:t xml:space="preserve">│       ├── system_prompt.py</w:t>
            </w:r>
          </w:p>
          <w:p>
            <w:pPr>
              <w:spacing w:after="0"/>
            </w:pPr>
            <w:r>
              <w:rPr>
                <w:rFonts w:ascii="Consolas" w:cs="Consolas" w:eastAsia="Consolas" w:hAnsi="Consolas"/>
                <w:sz w:val="18"/>
                <w:szCs w:val="18"/>
              </w:rPr>
              <w:t xml:space="preserve">│       ├── intent_prompt.py</w:t>
            </w:r>
          </w:p>
          <w:p>
            <w:pPr>
              <w:spacing w:after="0"/>
            </w:pPr>
            <w:r>
              <w:rPr>
                <w:rFonts w:ascii="Consolas" w:cs="Consolas" w:eastAsia="Consolas" w:hAnsi="Consolas"/>
                <w:sz w:val="18"/>
                <w:szCs w:val="18"/>
              </w:rPr>
              <w:t xml:space="preserve">│       └── ...                   # one file per prompt, versioned (Section 15)</w:t>
            </w:r>
          </w:p>
          <w:p>
            <w:pPr>
              <w:spacing w:after="0"/>
            </w:pPr>
            <w:r>
              <w:rPr>
                <w:rFonts w:ascii="Consolas" w:cs="Consolas" w:eastAsia="Consolas" w:hAnsi="Consolas"/>
                <w:sz w:val="18"/>
                <w:szCs w:val="18"/>
              </w:rPr>
              <w:t xml:space="preserve">├── tools/</w:t>
            </w:r>
          </w:p>
          <w:p>
            <w:pPr>
              <w:spacing w:after="0"/>
            </w:pPr>
            <w:r>
              <w:rPr>
                <w:rFonts w:ascii="Consolas" w:cs="Consolas" w:eastAsia="Consolas" w:hAnsi="Consolas"/>
                <w:sz w:val="18"/>
                <w:szCs w:val="18"/>
              </w:rPr>
              <w:t xml:space="preserve">│   ├── calculator.py              # pure, deterministic, framework-agnostic</w:t>
            </w:r>
          </w:p>
          <w:p>
            <w:pPr>
              <w:spacing w:after="0"/>
            </w:pPr>
            <w:r>
              <w:rPr>
                <w:rFonts w:ascii="Consolas" w:cs="Consolas" w:eastAsia="Consolas" w:hAnsi="Consolas"/>
                <w:sz w:val="18"/>
                <w:szCs w:val="18"/>
              </w:rPr>
              <w:t xml:space="preserve">│   ├── retriever.py                # wraps vector search + metadata filtering</w:t>
            </w:r>
          </w:p>
          <w:p>
            <w:pPr>
              <w:spacing w:after="0"/>
            </w:pPr>
            <w:r>
              <w:rPr>
                <w:rFonts w:ascii="Consolas" w:cs="Consolas" w:eastAsia="Consolas" w:hAnsi="Consolas"/>
                <w:sz w:val="18"/>
                <w:szCs w:val="18"/>
              </w:rPr>
              <w:t xml:space="preserve">│   └── transfer_calculator.py</w:t>
            </w:r>
          </w:p>
          <w:p>
            <w:pPr>
              <w:spacing w:after="0"/>
            </w:pPr>
            <w:r>
              <w:rPr>
                <w:rFonts w:ascii="Consolas" w:cs="Consolas" w:eastAsia="Consolas" w:hAnsi="Consolas"/>
                <w:sz w:val="18"/>
                <w:szCs w:val="18"/>
              </w:rPr>
              <w:t xml:space="preserve">├── rag/</w:t>
            </w:r>
          </w:p>
          <w:p>
            <w:pPr>
              <w:spacing w:after="0"/>
            </w:pPr>
            <w:r>
              <w:rPr>
                <w:rFonts w:ascii="Consolas" w:cs="Consolas" w:eastAsia="Consolas" w:hAnsi="Consolas"/>
                <w:sz w:val="18"/>
                <w:szCs w:val="18"/>
              </w:rPr>
              <w:t xml:space="preserve">│   ├── ingest_pdfs.py</w:t>
            </w:r>
          </w:p>
          <w:p>
            <w:pPr>
              <w:spacing w:after="0"/>
            </w:pPr>
            <w:r>
              <w:rPr>
                <w:rFonts w:ascii="Consolas" w:cs="Consolas" w:eastAsia="Consolas" w:hAnsi="Consolas"/>
                <w:sz w:val="18"/>
                <w:szCs w:val="18"/>
              </w:rPr>
              <w:t xml:space="preserve">│   ├── chunk_documents.py</w:t>
            </w:r>
          </w:p>
          <w:p>
            <w:pPr>
              <w:spacing w:after="0"/>
            </w:pPr>
            <w:r>
              <w:rPr>
                <w:rFonts w:ascii="Consolas" w:cs="Consolas" w:eastAsia="Consolas" w:hAnsi="Consolas"/>
                <w:sz w:val="18"/>
                <w:szCs w:val="18"/>
              </w:rPr>
              <w:t xml:space="preserve">│   ├── embed_documents.py</w:t>
            </w:r>
          </w:p>
          <w:p>
            <w:pPr>
              <w:spacing w:after="0"/>
            </w:pPr>
            <w:r>
              <w:rPr>
                <w:rFonts w:ascii="Consolas" w:cs="Consolas" w:eastAsia="Consolas" w:hAnsi="Consolas"/>
                <w:sz w:val="18"/>
                <w:szCs w:val="18"/>
              </w:rPr>
              <w:t xml:space="preserve">│   └── retrieval.py</w:t>
            </w:r>
          </w:p>
          <w:p>
            <w:pPr>
              <w:spacing w:after="0"/>
            </w:pPr>
            <w:r>
              <w:rPr>
                <w:rFonts w:ascii="Consolas" w:cs="Consolas" w:eastAsia="Consolas" w:hAnsi="Consolas"/>
                <w:sz w:val="18"/>
                <w:szCs w:val="18"/>
              </w:rPr>
              <w:t xml:space="preserve">├── database/</w:t>
            </w:r>
          </w:p>
          <w:p>
            <w:pPr>
              <w:spacing w:after="0"/>
            </w:pPr>
            <w:r>
              <w:rPr>
                <w:rFonts w:ascii="Consolas" w:cs="Consolas" w:eastAsia="Consolas" w:hAnsi="Consolas"/>
                <w:sz w:val="18"/>
                <w:szCs w:val="18"/>
              </w:rPr>
              <w:t xml:space="preserve">│   ├── models.py                  # SQLAlchemy models</w:t>
            </w:r>
          </w:p>
          <w:p>
            <w:pPr>
              <w:spacing w:after="0"/>
            </w:pPr>
            <w:r>
              <w:rPr>
                <w:rFonts w:ascii="Consolas" w:cs="Consolas" w:eastAsia="Consolas" w:hAnsi="Consolas"/>
                <w:sz w:val="18"/>
                <w:szCs w:val="18"/>
              </w:rPr>
              <w:t xml:space="preserve">│   ├── db.py                      # engine/session management</w:t>
            </w:r>
          </w:p>
          <w:p>
            <w:pPr>
              <w:spacing w:after="0"/>
            </w:pPr>
            <w:r>
              <w:rPr>
                <w:rFonts w:ascii="Consolas" w:cs="Consolas" w:eastAsia="Consolas" w:hAnsi="Consolas"/>
                <w:sz w:val="18"/>
                <w:szCs w:val="18"/>
              </w:rPr>
              <w:t xml:space="preserve">│   ├── migrations/                # Alembic migrations</w:t>
            </w:r>
          </w:p>
          <w:p>
            <w:pPr>
              <w:spacing w:after="0"/>
            </w:pPr>
            <w:r>
              <w:rPr>
                <w:rFonts w:ascii="Consolas" w:cs="Consolas" w:eastAsia="Consolas" w:hAnsi="Consolas"/>
                <w:sz w:val="18"/>
                <w:szCs w:val="18"/>
              </w:rPr>
              <w:t xml:space="preserve">│   └── seed.py</w:t>
            </w:r>
          </w:p>
          <w:p>
            <w:pPr>
              <w:spacing w:after="0"/>
            </w:pPr>
            <w:r>
              <w:rPr>
                <w:rFonts w:ascii="Consolas" w:cs="Consolas" w:eastAsia="Consolas" w:hAnsi="Consolas"/>
                <w:sz w:val="18"/>
                <w:szCs w:val="18"/>
              </w:rPr>
              <w:t xml:space="preserve">├── data/</w:t>
            </w:r>
          </w:p>
          <w:p>
            <w:pPr>
              <w:spacing w:after="0"/>
            </w:pPr>
            <w:r>
              <w:rPr>
                <w:rFonts w:ascii="Consolas" w:cs="Consolas" w:eastAsia="Consolas" w:hAnsi="Consolas"/>
                <w:sz w:val="18"/>
                <w:szCs w:val="18"/>
              </w:rPr>
              <w:t xml:space="preserve">│   ├── raw_pdfs/</w:t>
            </w:r>
          </w:p>
          <w:p>
            <w:pPr>
              <w:spacing w:after="0"/>
            </w:pPr>
            <w:r>
              <w:rPr>
                <w:rFonts w:ascii="Consolas" w:cs="Consolas" w:eastAsia="Consolas" w:hAnsi="Consolas"/>
                <w:sz w:val="18"/>
                <w:szCs w:val="18"/>
              </w:rPr>
              <w:t xml:space="preserve">│   ├── processed_chunks/</w:t>
            </w:r>
          </w:p>
          <w:p>
            <w:pPr>
              <w:spacing w:after="0"/>
            </w:pPr>
            <w:r>
              <w:rPr>
                <w:rFonts w:ascii="Consolas" w:cs="Consolas" w:eastAsia="Consolas" w:hAnsi="Consolas"/>
                <w:sz w:val="18"/>
                <w:szCs w:val="18"/>
              </w:rPr>
              <w:t xml:space="preserve">│   ├── sample_queries.csv</w:t>
            </w:r>
          </w:p>
          <w:p>
            <w:pPr>
              <w:spacing w:after="0"/>
            </w:pPr>
            <w:r>
              <w:rPr>
                <w:rFonts w:ascii="Consolas" w:cs="Consolas" w:eastAsia="Consolas" w:hAnsi="Consolas"/>
                <w:sz w:val="18"/>
                <w:szCs w:val="18"/>
              </w:rPr>
              <w:t xml:space="preserve">│   └── golden_answers.csv</w:t>
            </w:r>
          </w:p>
          <w:p>
            <w:pPr>
              <w:spacing w:after="0"/>
            </w:pPr>
            <w:r>
              <w:rPr>
                <w:rFonts w:ascii="Consolas" w:cs="Consolas" w:eastAsia="Consolas" w:hAnsi="Consolas"/>
                <w:sz w:val="18"/>
                <w:szCs w:val="18"/>
              </w:rPr>
              <w:t xml:space="preserve">├── evaluation/</w:t>
            </w:r>
          </w:p>
          <w:p>
            <w:pPr>
              <w:spacing w:after="0"/>
            </w:pPr>
            <w:r>
              <w:rPr>
                <w:rFonts w:ascii="Consolas" w:cs="Consolas" w:eastAsia="Consolas" w:hAnsi="Consolas"/>
                <w:sz w:val="18"/>
                <w:szCs w:val="18"/>
              </w:rPr>
              <w:t xml:space="preserve">│   ├── rag_eval.py</w:t>
            </w:r>
          </w:p>
          <w:p>
            <w:pPr>
              <w:spacing w:after="0"/>
            </w:pPr>
            <w:r>
              <w:rPr>
                <w:rFonts w:ascii="Consolas" w:cs="Consolas" w:eastAsia="Consolas" w:hAnsi="Consolas"/>
                <w:sz w:val="18"/>
                <w:szCs w:val="18"/>
              </w:rPr>
              <w:t xml:space="preserve">│   ├── calculation_eval.py</w:t>
            </w:r>
          </w:p>
          <w:p>
            <w:pPr>
              <w:spacing w:after="0"/>
            </w:pPr>
            <w:r>
              <w:rPr>
                <w:rFonts w:ascii="Consolas" w:cs="Consolas" w:eastAsia="Consolas" w:hAnsi="Consolas"/>
                <w:sz w:val="18"/>
                <w:szCs w:val="18"/>
              </w:rPr>
              <w:t xml:space="preserve">│   └── hallucination_eval.py</w:t>
            </w:r>
          </w:p>
          <w:p>
            <w:pPr>
              <w:spacing w:after="0"/>
            </w:pPr>
            <w:r>
              <w:rPr>
                <w:rFonts w:ascii="Consolas" w:cs="Consolas" w:eastAsia="Consolas" w:hAnsi="Consolas"/>
                <w:sz w:val="18"/>
                <w:szCs w:val="18"/>
              </w:rPr>
              <w:t xml:space="preserve">├── monitoring/</w:t>
            </w:r>
          </w:p>
          <w:p>
            <w:pPr>
              <w:spacing w:after="0"/>
            </w:pPr>
            <w:r>
              <w:rPr>
                <w:rFonts w:ascii="Consolas" w:cs="Consolas" w:eastAsia="Consolas" w:hAnsi="Consolas"/>
                <w:sz w:val="18"/>
                <w:szCs w:val="18"/>
              </w:rPr>
              <w:t xml:space="preserve">│   ├── langsmith_config.py</w:t>
            </w:r>
          </w:p>
          <w:p>
            <w:pPr>
              <w:spacing w:after="0"/>
            </w:pPr>
            <w:r>
              <w:rPr>
                <w:rFonts w:ascii="Consolas" w:cs="Consolas" w:eastAsia="Consolas" w:hAnsi="Consolas"/>
                <w:sz w:val="18"/>
                <w:szCs w:val="18"/>
              </w:rPr>
              <w:t xml:space="preserve">│   └── custom_logger.py</w:t>
            </w:r>
          </w:p>
          <w:p>
            <w:pPr>
              <w:spacing w:after="0"/>
            </w:pPr>
            <w:r>
              <w:rPr>
                <w:rFonts w:ascii="Consolas" w:cs="Consolas" w:eastAsia="Consolas" w:hAnsi="Consolas"/>
                <w:sz w:val="18"/>
                <w:szCs w:val="18"/>
              </w:rPr>
              <w:t xml:space="preserve">├── tests/</w:t>
            </w:r>
          </w:p>
          <w:p>
            <w:pPr>
              <w:spacing w:after="0"/>
            </w:pPr>
            <w:r>
              <w:rPr>
                <w:rFonts w:ascii="Consolas" w:cs="Consolas" w:eastAsia="Consolas" w:hAnsi="Consolas"/>
                <w:sz w:val="18"/>
                <w:szCs w:val="18"/>
              </w:rPr>
              <w:t xml:space="preserve">│   ├── unit/</w:t>
            </w:r>
          </w:p>
          <w:p>
            <w:pPr>
              <w:spacing w:after="0"/>
            </w:pPr>
            <w:r>
              <w:rPr>
                <w:rFonts w:ascii="Consolas" w:cs="Consolas" w:eastAsia="Consolas" w:hAnsi="Consolas"/>
                <w:sz w:val="18"/>
                <w:szCs w:val="18"/>
              </w:rPr>
              <w:t xml:space="preserve">│   ├── integration/</w:t>
            </w:r>
          </w:p>
          <w:p>
            <w:pPr>
              <w:spacing w:after="0"/>
            </w:pPr>
            <w:r>
              <w:rPr>
                <w:rFonts w:ascii="Consolas" w:cs="Consolas" w:eastAsia="Consolas" w:hAnsi="Consolas"/>
                <w:sz w:val="18"/>
                <w:szCs w:val="18"/>
              </w:rPr>
              <w:t xml:space="preserve">│   └── agent/</w:t>
            </w:r>
          </w:p>
          <w:p>
            <w:pPr>
              <w:spacing w:after="0"/>
            </w:pPr>
            <w:r>
              <w:rPr>
                <w:rFonts w:ascii="Consolas" w:cs="Consolas" w:eastAsia="Consolas" w:hAnsi="Consolas"/>
                <w:sz w:val="18"/>
                <w:szCs w:val="18"/>
              </w:rPr>
              <w:t xml:space="preserve">├── docs/</w:t>
            </w:r>
          </w:p>
          <w:p>
            <w:pPr>
              <w:spacing w:after="0"/>
            </w:pPr>
            <w:r>
              <w:rPr>
                <w:rFonts w:ascii="Consolas" w:cs="Consolas" w:eastAsia="Consolas" w:hAnsi="Consolas"/>
                <w:sz w:val="18"/>
                <w:szCs w:val="18"/>
              </w:rPr>
              <w:t xml:space="preserve">│   └── architecture-diagrams/</w:t>
            </w:r>
          </w:p>
          <w:p>
            <w:pPr>
              <w:spacing w:after="0"/>
            </w:pPr>
            <w:r>
              <w:rPr>
                <w:rFonts w:ascii="Consolas" w:cs="Consolas" w:eastAsia="Consolas" w:hAnsi="Consolas"/>
                <w:sz w:val="18"/>
                <w:szCs w:val="18"/>
              </w:rPr>
              <w:t xml:space="preserve">├── .env.example</w:t>
            </w:r>
          </w:p>
          <w:p>
            <w:pPr>
              <w:spacing w:after="0"/>
            </w:pPr>
            <w:r>
              <w:rPr>
                <w:rFonts w:ascii="Consolas" w:cs="Consolas" w:eastAsia="Consolas" w:hAnsi="Consolas"/>
                <w:sz w:val="18"/>
                <w:szCs w:val="18"/>
              </w:rPr>
              <w:t xml:space="preserve">├── docker-compose.yml</w:t>
            </w:r>
          </w:p>
          <w:p>
            <w:pPr>
              <w:spacing w:after="0"/>
            </w:pPr>
            <w:r>
              <w:rPr>
                <w:rFonts w:ascii="Consolas" w:cs="Consolas" w:eastAsia="Consolas" w:hAnsi="Consolas"/>
                <w:sz w:val="18"/>
                <w:szCs w:val="18"/>
              </w:rPr>
              <w:t xml:space="preserve">├── Dockerfile</w:t>
            </w:r>
          </w:p>
          <w:p>
            <w:pPr>
              <w:spacing w:after="0"/>
            </w:pPr>
            <w:r>
              <w:rPr>
                <w:rFonts w:ascii="Consolas" w:cs="Consolas" w:eastAsia="Consolas" w:hAnsi="Consolas"/>
                <w:sz w:val="18"/>
                <w:szCs w:val="18"/>
              </w:rPr>
              <w:t xml:space="preserve">├── requirements.in / requirements.txt</w:t>
            </w:r>
          </w:p>
          <w:p>
            <w:pPr>
              <w:spacing w:after="0"/>
            </w:pPr>
            <w:r>
              <w:rPr>
                <w:rFonts w:ascii="Consolas" w:cs="Consolas" w:eastAsia="Consolas" w:hAnsi="Consolas"/>
                <w:sz w:val="18"/>
                <w:szCs w:val="18"/>
              </w:rPr>
              <w:t xml:space="preserve">├── pyproject.toml                  # Ruff + mypy + pytest config</w:t>
            </w:r>
          </w:p>
          <w:p>
            <w:pPr>
              <w:spacing w:after="0"/>
            </w:pPr>
            <w:r>
              <w:rPr>
                <w:rFonts w:ascii="Consolas" w:cs="Consolas" w:eastAsia="Consolas" w:hAnsi="Consolas"/>
                <w:sz w:val="18"/>
                <w:szCs w:val="18"/>
              </w:rPr>
              <w:t xml:space="preserve">└── README.md</w:t>
            </w:r>
          </w:p>
        </w:tc>
      </w:tr>
    </w:tbl>
    <w:p>
      <w:pPr>
        <w:spacing w:after="160"/>
      </w:pPr>
    </w:p>
    <w:p>
      <w:pPr>
        <w:pStyle w:val="Heading2"/>
        <w:spacing w:after="140" w:before="260"/>
      </w:pPr>
      <w:r>
        <w:t xml:space="preserve">5.1 Naming Conventions</w:t>
      </w:r>
    </w:p>
    <w:p>
      <w:pPr>
        <w:pStyle w:val="ListParagraph"/>
        <w:numPr>
          <w:ilvl w:val="0"/>
          <w:numId w:val="1"/>
        </w:numPr>
        <w:spacing w:after="80" w:line="290"/>
      </w:pPr>
      <w:r>
        <w:rPr>
          <w:b/>
          <w:bCs/>
        </w:rPr>
        <w:t xml:space="preserve">Files/modules:</w:t>
      </w:r>
      <w:r>
        <w:t xml:space="preserve"> </w:t>
      </w:r>
      <w:r>
        <w:rPr>
          <w:rFonts w:ascii="Consolas" w:cs="Consolas" w:eastAsia="Consolas" w:hAnsi="Consolas"/>
          <w:shd w:fill="F0F0F0" w:val="clear"/>
        </w:rPr>
        <w:t xml:space="preserve">snake_case.py</w:t>
      </w:r>
      <w:r>
        <w:t xml:space="preserve">.</w:t>
      </w:r>
    </w:p>
    <w:p>
      <w:pPr>
        <w:pStyle w:val="ListParagraph"/>
        <w:numPr>
          <w:ilvl w:val="0"/>
          <w:numId w:val="1"/>
        </w:numPr>
        <w:spacing w:after="80" w:line="290"/>
      </w:pPr>
      <w:r>
        <w:rPr>
          <w:b/>
          <w:bCs/>
        </w:rPr>
        <w:t xml:space="preserve">Classes:</w:t>
      </w:r>
      <w:r>
        <w:t xml:space="preserve"> </w:t>
      </w:r>
      <w:r>
        <w:rPr>
          <w:rFonts w:ascii="Consolas" w:cs="Consolas" w:eastAsia="Consolas" w:hAnsi="Consolas"/>
          <w:shd w:fill="F0F0F0" w:val="clear"/>
        </w:rPr>
        <w:t xml:space="preserve">PascalCase</w:t>
      </w:r>
      <w:r>
        <w:t xml:space="preserve"> (</w:t>
      </w:r>
      <w:r>
        <w:rPr>
          <w:rFonts w:ascii="Consolas" w:cs="Consolas" w:eastAsia="Consolas" w:hAnsi="Consolas"/>
          <w:shd w:fill="F0F0F0" w:val="clear"/>
        </w:rPr>
        <w:t xml:space="preserve">RewardRule</w:t>
      </w:r>
      <w:r>
        <w:t xml:space="preserve">, </w:t>
      </w:r>
      <w:r>
        <w:rPr>
          <w:rFonts w:ascii="Consolas" w:cs="Consolas" w:eastAsia="Consolas" w:hAnsi="Consolas"/>
          <w:shd w:fill="F0F0F0" w:val="clear"/>
        </w:rPr>
        <w:t xml:space="preserve">CalculatorInput</w:t>
      </w:r>
      <w:r>
        <w:t xml:space="preserve">).</w:t>
      </w:r>
    </w:p>
    <w:p>
      <w:pPr>
        <w:pStyle w:val="ListParagraph"/>
        <w:numPr>
          <w:ilvl w:val="0"/>
          <w:numId w:val="1"/>
        </w:numPr>
        <w:spacing w:after="80" w:line="290"/>
      </w:pPr>
      <w:r>
        <w:rPr>
          <w:b/>
          <w:bCs/>
        </w:rPr>
        <w:t xml:space="preserve">Functions/variables:</w:t>
      </w:r>
      <w:r>
        <w:t xml:space="preserve"> </w:t>
      </w:r>
      <w:r>
        <w:rPr>
          <w:rFonts w:ascii="Consolas" w:cs="Consolas" w:eastAsia="Consolas" w:hAnsi="Consolas"/>
          <w:shd w:fill="F0F0F0" w:val="clear"/>
        </w:rPr>
        <w:t xml:space="preserve">snake_case</w:t>
      </w:r>
      <w:r>
        <w:t xml:space="preserve">.</w:t>
      </w:r>
    </w:p>
    <w:p>
      <w:pPr>
        <w:pStyle w:val="ListParagraph"/>
        <w:numPr>
          <w:ilvl w:val="0"/>
          <w:numId w:val="1"/>
        </w:numPr>
        <w:spacing w:after="80" w:line="290"/>
      </w:pPr>
      <w:r>
        <w:rPr>
          <w:b/>
          <w:bCs/>
        </w:rPr>
        <w:t xml:space="preserve">Agent node functions:</w:t>
      </w:r>
      <w:r>
        <w:t xml:space="preserve"> verb-first (</w:t>
      </w:r>
      <w:r>
        <w:rPr>
          <w:rFonts w:ascii="Consolas" w:cs="Consolas" w:eastAsia="Consolas" w:hAnsi="Consolas"/>
          <w:shd w:fill="F0F0F0" w:val="clear"/>
        </w:rPr>
        <w:t xml:space="preserve">classify_intent</w:t>
      </w:r>
      <w:r>
        <w:t xml:space="preserve">, </w:t>
      </w:r>
      <w:r>
        <w:rPr>
          <w:rFonts w:ascii="Consolas" w:cs="Consolas" w:eastAsia="Consolas" w:hAnsi="Consolas"/>
          <w:shd w:fill="F0F0F0" w:val="clear"/>
        </w:rPr>
        <w:t xml:space="preserve">validate_rules</w:t>
      </w:r>
      <w:r>
        <w:t xml:space="preserve">) so the graph definition in </w:t>
      </w:r>
      <w:r>
        <w:rPr>
          <w:rFonts w:ascii="Consolas" w:cs="Consolas" w:eastAsia="Consolas" w:hAnsi="Consolas"/>
          <w:shd w:fill="F0F0F0" w:val="clear"/>
        </w:rPr>
        <w:t xml:space="preserve">graph.py</w:t>
      </w:r>
      <w:r>
        <w:t xml:space="preserve"> reads like a sentence.</w:t>
      </w:r>
    </w:p>
    <w:p>
      <w:pPr>
        <w:pStyle w:val="ListParagraph"/>
        <w:numPr>
          <w:ilvl w:val="0"/>
          <w:numId w:val="1"/>
        </w:numPr>
        <w:spacing w:after="80" w:line="290"/>
      </w:pPr>
      <w:r>
        <w:rPr>
          <w:b/>
          <w:bCs/>
        </w:rPr>
        <w:t xml:space="preserve">Environment variables:</w:t>
      </w:r>
      <w:r>
        <w:t xml:space="preserve"> </w:t>
      </w:r>
      <w:r>
        <w:rPr>
          <w:rFonts w:ascii="Consolas" w:cs="Consolas" w:eastAsia="Consolas" w:hAnsi="Consolas"/>
          <w:shd w:fill="F0F0F0" w:val="clear"/>
        </w:rPr>
        <w:t xml:space="preserve">UPPER_SNAKE_CASE</w:t>
      </w:r>
      <w:r>
        <w:t xml:space="preserve">, prefixed by concern (</w:t>
      </w:r>
      <w:r>
        <w:rPr>
          <w:rFonts w:ascii="Consolas" w:cs="Consolas" w:eastAsia="Consolas" w:hAnsi="Consolas"/>
          <w:shd w:fill="F0F0F0" w:val="clear"/>
        </w:rPr>
        <w:t xml:space="preserve">DB_</w:t>
      </w:r>
      <w:r>
        <w:t xml:space="preserve">, </w:t>
      </w:r>
      <w:r>
        <w:rPr>
          <w:rFonts w:ascii="Consolas" w:cs="Consolas" w:eastAsia="Consolas" w:hAnsi="Consolas"/>
          <w:shd w:fill="F0F0F0" w:val="clear"/>
        </w:rPr>
        <w:t xml:space="preserve">LLM_</w:t>
      </w:r>
      <w:r>
        <w:t xml:space="preserve">, </w:t>
      </w:r>
      <w:r>
        <w:rPr>
          <w:rFonts w:ascii="Consolas" w:cs="Consolas" w:eastAsia="Consolas" w:hAnsi="Consolas"/>
          <w:shd w:fill="F0F0F0" w:val="clear"/>
        </w:rPr>
        <w:t xml:space="preserve">LANGSMITH_</w:t>
      </w:r>
      <w:r>
        <w:t xml:space="preserve">).</w:t>
      </w:r>
    </w:p>
    <w:p>
      <w:pPr>
        <w:pStyle w:val="Heading2"/>
        <w:spacing w:after="140" w:before="260"/>
      </w:pPr>
      <w:r>
        <w:t xml:space="preserve">5.2 Why This Structure Scales</w:t>
      </w:r>
    </w:p>
    <w:p>
      <w:pPr>
        <w:spacing w:after="160" w:line="300"/>
      </w:pPr>
      <w:r>
        <w:t xml:space="preserve">The critical separation is </w:t>
      </w:r>
      <w:r>
        <w:rPr>
          <w:rFonts w:ascii="Consolas" w:cs="Consolas" w:eastAsia="Consolas" w:hAnsi="Consolas"/>
          <w:b/>
          <w:bCs/>
          <w:shd w:fill="F0F0F0" w:val="clear"/>
        </w:rPr>
        <w:t xml:space="preserve">tools/</w:t>
      </w:r>
      <w:r>
        <w:rPr>
          <w:b/>
          <w:bCs/>
        </w:rPr>
        <w:t xml:space="preserve"> vs </w:t>
      </w:r>
      <w:r>
        <w:rPr>
          <w:rFonts w:ascii="Consolas" w:cs="Consolas" w:eastAsia="Consolas" w:hAnsi="Consolas"/>
          <w:b/>
          <w:bCs/>
          <w:shd w:fill="F0F0F0" w:val="clear"/>
        </w:rPr>
        <w:t xml:space="preserve">agents/</w:t>
      </w:r>
      <w:r>
        <w:t xml:space="preserve">: tools are plain, framework-agnostic Python functions with no LangGraph/LangChain imports. This means the calculator and retriever can be unit-tested in isolation, reused outside the agent (e.g., in a batch evaluation script or a future non-chat interface), and swapped to a different orchestration framework later without rewriting business logic — only </w:t>
      </w:r>
      <w:r>
        <w:rPr>
          <w:rFonts w:ascii="Consolas" w:cs="Consolas" w:eastAsia="Consolas" w:hAnsi="Consolas"/>
          <w:shd w:fill="F0F0F0" w:val="clear"/>
        </w:rPr>
        <w:t xml:space="preserve">agents/graph.py</w:t>
      </w:r>
      <w:r>
        <w:t xml:space="preserve"> would need to change.</w:t>
      </w:r>
    </w:p>
    <w:p>
      <w:pPr>
        <w:pStyle w:val="Heading1"/>
        <w:pageBreakBefore/>
        <w:spacing w:after="180" w:before="360"/>
      </w:pPr>
      <w:bookmarkStart w:name="sec5" w:id="1"/>
      <w:r>
        <w:t xml:space="preserve">6. Database Implementation Workflow</w:t>
      </w:r>
      <w:bookmarkEnd w:id="1"/>
    </w:p>
    <w:p>
      <w:pPr>
        <w:pStyle w:val="Heading2"/>
        <w:spacing w:after="140" w:before="260"/>
      </w:pPr>
      <w:r>
        <w:t xml:space="preserve">6.1 Design-First, Then Migrate</w:t>
      </w:r>
    </w:p>
    <w:p>
      <w:pPr>
        <w:spacing w:after="160" w:line="300"/>
      </w:pPr>
      <w:r>
        <w:t xml:space="preserve">Start from the ER diagram in the architecture document (six tables: </w:t>
      </w:r>
      <w:r>
        <w:rPr>
          <w:rFonts w:ascii="Consolas" w:cs="Consolas" w:eastAsia="Consolas" w:hAnsi="Consolas"/>
          <w:shd w:fill="F0F0F0" w:val="clear"/>
        </w:rPr>
        <w:t xml:space="preserve">card_documents</w:t>
      </w:r>
      <w:r>
        <w:t xml:space="preserve">, </w:t>
      </w:r>
      <w:r>
        <w:rPr>
          <w:rFonts w:ascii="Consolas" w:cs="Consolas" w:eastAsia="Consolas" w:hAnsi="Consolas"/>
          <w:shd w:fill="F0F0F0" w:val="clear"/>
        </w:rPr>
        <w:t xml:space="preserve">document_chunks</w:t>
      </w:r>
      <w:r>
        <w:t xml:space="preserve">, </w:t>
      </w:r>
      <w:r>
        <w:rPr>
          <w:rFonts w:ascii="Consolas" w:cs="Consolas" w:eastAsia="Consolas" w:hAnsi="Consolas"/>
          <w:shd w:fill="F0F0F0" w:val="clear"/>
        </w:rPr>
        <w:t xml:space="preserve">reward_rules</w:t>
      </w:r>
      <w:r>
        <w:t xml:space="preserve">, </w:t>
      </w:r>
      <w:r>
        <w:rPr>
          <w:rFonts w:ascii="Consolas" w:cs="Consolas" w:eastAsia="Consolas" w:hAnsi="Consolas"/>
          <w:shd w:fill="F0F0F0" w:val="clear"/>
        </w:rPr>
        <w:t xml:space="preserve">transfer_partners</w:t>
      </w:r>
      <w:r>
        <w:t xml:space="preserve">, </w:t>
      </w:r>
      <w:r>
        <w:rPr>
          <w:rFonts w:ascii="Consolas" w:cs="Consolas" w:eastAsia="Consolas" w:hAnsi="Consolas"/>
          <w:shd w:fill="F0F0F0" w:val="clear"/>
        </w:rPr>
        <w:t xml:space="preserve">user_profiles</w:t>
      </w:r>
      <w:r>
        <w:t xml:space="preserve">, </w:t>
      </w:r>
      <w:r>
        <w:rPr>
          <w:rFonts w:ascii="Consolas" w:cs="Consolas" w:eastAsia="Consolas" w:hAnsi="Consolas"/>
          <w:shd w:fill="F0F0F0" w:val="clear"/>
        </w:rPr>
        <w:t xml:space="preserve">recommendation_logs</w:t>
      </w:r>
      <w:r>
        <w:t xml:space="preserve">). Write the SQLAlchemy models first, then generate the initial Alembic migration from them — never hand-write the first migration, since models and schema will drift if authored independently.</w:t>
      </w:r>
    </w:p>
    <w:p>
      <w:pPr>
        <w:pStyle w:val="Heading2"/>
        <w:spacing w:after="140" w:before="260"/>
      </w:pPr>
      <w:r>
        <w:t xml:space="preserve">6.2 Migration Strategy</w:t>
      </w:r>
    </w:p>
    <w:p>
      <w:pPr>
        <w:pStyle w:val="ListParagraph"/>
        <w:numPr>
          <w:ilvl w:val="0"/>
          <w:numId w:val="1"/>
        </w:numPr>
        <w:spacing w:after="80" w:line="290"/>
      </w:pPr>
      <w:r>
        <w:t xml:space="preserve">Use </w:t>
      </w:r>
      <w:r>
        <w:rPr>
          <w:b/>
          <w:bCs/>
        </w:rPr>
        <w:t xml:space="preserve">Alembic</w:t>
      </w:r>
      <w:r>
        <w:t xml:space="preserve"> for all schema changes, from day one — even in Phase 0, before there's real data to lose. Retrofitting migrations onto a hand-evolved schema later is one of the most common and avoidable sources of lost time in small projects.</w:t>
      </w:r>
    </w:p>
    <w:p>
      <w:pPr>
        <w:pStyle w:val="ListParagraph"/>
        <w:numPr>
          <w:ilvl w:val="0"/>
          <w:numId w:val="1"/>
        </w:numPr>
        <w:spacing w:after="80" w:line="290"/>
      </w:pPr>
      <w:r>
        <w:t xml:space="preserve">One migration per logical schema change, not one giant migration per phase. This keeps </w:t>
      </w:r>
      <w:r>
        <w:rPr>
          <w:rFonts w:ascii="Consolas" w:cs="Consolas" w:eastAsia="Consolas" w:hAnsi="Consolas"/>
          <w:shd w:fill="F0F0F0" w:val="clear"/>
        </w:rPr>
        <w:t xml:space="preserve">alembic downgrade</w:t>
      </w:r>
      <w:r>
        <w:t xml:space="preserve"> actually usable during development.</w:t>
      </w:r>
    </w:p>
    <w:p>
      <w:pPr>
        <w:pStyle w:val="ListParagraph"/>
        <w:numPr>
          <w:ilvl w:val="0"/>
          <w:numId w:val="1"/>
        </w:numPr>
        <w:spacing w:after="80" w:line="290"/>
      </w:pPr>
      <w:r>
        <w:t xml:space="preserve">Never edit an already-applied migration file; write a new one to fix it (the same discipline as never force-pushing shared git history).</w:t>
      </w:r>
    </w:p>
    <w:p>
      <w:pPr>
        <w:pStyle w:val="Heading2"/>
        <w:spacing w:after="140" w:before="260"/>
      </w:pPr>
      <w:r>
        <w:t xml:space="preserve">6.3 Indexes</w:t>
      </w:r>
    </w:p>
    <w:p>
      <w:pPr>
        <w:pStyle w:val="ListParagraph"/>
        <w:numPr>
          <w:ilvl w:val="0"/>
          <w:numId w:val="1"/>
        </w:numPr>
        <w:spacing w:after="80" w:line="290"/>
      </w:pPr>
      <w:r>
        <w:rPr>
          <w:rFonts w:ascii="Consolas" w:cs="Consolas" w:eastAsia="Consolas" w:hAnsi="Consolas"/>
          <w:shd w:fill="F0F0F0" w:val="clear"/>
        </w:rPr>
        <w:t xml:space="preserve">document_chunks.embedding</w:t>
      </w:r>
      <w:r>
        <w:t xml:space="preserve">: </w:t>
      </w:r>
      <w:r>
        <w:rPr>
          <w:rFonts w:ascii="Consolas" w:cs="Consolas" w:eastAsia="Consolas" w:hAnsi="Consolas"/>
          <w:shd w:fill="F0F0F0" w:val="clear"/>
        </w:rPr>
        <w:t xml:space="preserve">hnsw</w:t>
      </w:r>
      <w:r>
        <w:t xml:space="preserve"> index (pgvector) — generally preferred over </w:t>
      </w:r>
      <w:r>
        <w:rPr>
          <w:rFonts w:ascii="Consolas" w:cs="Consolas" w:eastAsia="Consolas" w:hAnsi="Consolas"/>
          <w:shd w:fill="F0F0F0" w:val="clear"/>
        </w:rPr>
        <w:t xml:space="preserve">ivfflat</w:t>
      </w:r>
      <w:r>
        <w:t xml:space="preserve"> for pgvector as of recent versions due to better recall at comparable speed, at the cost of slightly slower build time, which is irrelevant at this project's data scale.</w:t>
      </w:r>
    </w:p>
    <w:p>
      <w:pPr>
        <w:pStyle w:val="ListParagraph"/>
        <w:numPr>
          <w:ilvl w:val="0"/>
          <w:numId w:val="1"/>
        </w:numPr>
        <w:spacing w:after="80" w:line="290"/>
      </w:pPr>
      <w:r>
        <w:rPr>
          <w:rFonts w:ascii="Consolas" w:cs="Consolas" w:eastAsia="Consolas" w:hAnsi="Consolas"/>
          <w:shd w:fill="F0F0F0" w:val="clear"/>
        </w:rPr>
        <w:t xml:space="preserve">reward_rules(card_name, spend_category)</w:t>
      </w:r>
      <w:r>
        <w:t xml:space="preserve">: composite B-tree index — this is the calculator's primary lookup path and will be hit on every single query.</w:t>
      </w:r>
    </w:p>
    <w:p>
      <w:pPr>
        <w:pStyle w:val="ListParagraph"/>
        <w:numPr>
          <w:ilvl w:val="0"/>
          <w:numId w:val="1"/>
        </w:numPr>
        <w:spacing w:after="80" w:line="290"/>
      </w:pPr>
      <w:r>
        <w:rPr>
          <w:rFonts w:ascii="Consolas" w:cs="Consolas" w:eastAsia="Consolas" w:hAnsi="Consolas"/>
          <w:shd w:fill="F0F0F0" w:val="clear"/>
        </w:rPr>
        <w:t xml:space="preserve">recommendation_logs(user_id, created_at)</w:t>
      </w:r>
      <w:r>
        <w:t xml:space="preserve">: supports the reporting/history endpoints without a full table scan.</w:t>
      </w:r>
    </w:p>
    <w:p>
      <w:pPr>
        <w:pStyle w:val="Heading2"/>
        <w:spacing w:after="140" w:before="260"/>
      </w:pPr>
      <w:r>
        <w:t xml:space="preserve">6.4 Relationships</w:t>
      </w:r>
    </w:p>
    <w:p>
      <w:pPr>
        <w:spacing w:after="160" w:line="300"/>
      </w:pPr>
      <w:r>
        <w:t xml:space="preserve">Foreign keys from </w:t>
      </w:r>
      <w:r>
        <w:rPr>
          <w:rFonts w:ascii="Consolas" w:cs="Consolas" w:eastAsia="Consolas" w:hAnsi="Consolas"/>
          <w:shd w:fill="F0F0F0" w:val="clear"/>
        </w:rPr>
        <w:t xml:space="preserve">document_chunks</w:t>
      </w:r>
      <w:r>
        <w:t xml:space="preserve">, </w:t>
      </w:r>
      <w:r>
        <w:rPr>
          <w:rFonts w:ascii="Consolas" w:cs="Consolas" w:eastAsia="Consolas" w:hAnsi="Consolas"/>
          <w:shd w:fill="F0F0F0" w:val="clear"/>
        </w:rPr>
        <w:t xml:space="preserve">reward_rules</w:t>
      </w:r>
      <w:r>
        <w:t xml:space="preserve">, and </w:t>
      </w:r>
      <w:r>
        <w:rPr>
          <w:rFonts w:ascii="Consolas" w:cs="Consolas" w:eastAsia="Consolas" w:hAnsi="Consolas"/>
          <w:shd w:fill="F0F0F0" w:val="clear"/>
        </w:rPr>
        <w:t xml:space="preserve">transfer_partners</w:t>
      </w:r>
      <w:r>
        <w:t xml:space="preserve"> back to </w:t>
      </w:r>
      <w:r>
        <w:rPr>
          <w:rFonts w:ascii="Consolas" w:cs="Consolas" w:eastAsia="Consolas" w:hAnsi="Consolas"/>
          <w:shd w:fill="F0F0F0" w:val="clear"/>
        </w:rPr>
        <w:t xml:space="preserve">card_documents.document_id</w:t>
      </w:r>
      <w:r>
        <w:t xml:space="preserve"> enable the critical audit trail: every numeric claim in a final answer must be traceable back to a specific document and its </w:t>
      </w:r>
      <w:r>
        <w:rPr>
          <w:rFonts w:ascii="Consolas" w:cs="Consolas" w:eastAsia="Consolas" w:hAnsi="Consolas"/>
          <w:shd w:fill="F0F0F0" w:val="clear"/>
        </w:rPr>
        <w:t xml:space="preserve">effective_date</w:t>
      </w:r>
      <w:r>
        <w:t xml:space="preserve">. Enforce these as actual DB foreign key constraints, not just application-level convention — this catches ingestion bugs (orphaned chunks) immediately rather than silently.</w:t>
      </w:r>
    </w:p>
    <w:p>
      <w:pPr>
        <w:pStyle w:val="Heading2"/>
        <w:spacing w:after="140" w:before="260"/>
      </w:pPr>
      <w:r>
        <w:t xml:space="preserve">6.5 Versioning Card Data</w:t>
      </w:r>
    </w:p>
    <w:p>
      <w:pPr>
        <w:spacing w:after="160" w:line="300"/>
      </w:pPr>
      <w:r>
        <w:t xml:space="preserve">Do not overwrite a card's rules when terms change. Insert a new </w:t>
      </w:r>
      <w:r>
        <w:rPr>
          <w:rFonts w:ascii="Consolas" w:cs="Consolas" w:eastAsia="Consolas" w:hAnsi="Consolas"/>
          <w:shd w:fill="F0F0F0" w:val="clear"/>
        </w:rPr>
        <w:t xml:space="preserve">card_documents</w:t>
      </w:r>
      <w:r>
        <w:t xml:space="preserve"> row with a new </w:t>
      </w:r>
      <w:r>
        <w:rPr>
          <w:rFonts w:ascii="Consolas" w:cs="Consolas" w:eastAsia="Consolas" w:hAnsi="Consolas"/>
          <w:shd w:fill="F0F0F0" w:val="clear"/>
        </w:rPr>
        <w:t xml:space="preserve">effective_date</w:t>
      </w:r>
      <w:r>
        <w:t xml:space="preserve"> and re-run ingestion for that card, leaving old rows queryable. This is what makes "as of what date was this recommendation accurate" answerable later — a non-negotiable requirement given the compliance considerations in the architecture document's Section 18.</w:t>
      </w:r>
    </w:p>
    <w:p>
      <w:pPr>
        <w:pStyle w:val="Heading2"/>
        <w:spacing w:after="140" w:before="260"/>
      </w:pPr>
      <w:r>
        <w:t xml:space="preserve">6.6 Seed / Mock / Test Data</w:t>
      </w:r>
    </w:p>
    <w:p>
      <w:pPr>
        <w:pStyle w:val="ListParagraph"/>
        <w:numPr>
          <w:ilvl w:val="0"/>
          <w:numId w:val="1"/>
        </w:numPr>
        <w:spacing w:after="80" w:line="290"/>
      </w:pPr>
      <w:r>
        <w:rPr>
          <w:b/>
          <w:bCs/>
        </w:rPr>
        <w:t xml:space="preserve">Seed data:</w:t>
      </w:r>
      <w:r>
        <w:t xml:space="preserve"> the 4–5 real, manually-curated cards for local development — checked into </w:t>
      </w:r>
      <w:r>
        <w:rPr>
          <w:rFonts w:ascii="Consolas" w:cs="Consolas" w:eastAsia="Consolas" w:hAnsi="Consolas"/>
          <w:shd w:fill="F0F0F0" w:val="clear"/>
        </w:rPr>
        <w:t xml:space="preserve">data/raw_pdfs/</w:t>
      </w:r>
      <w:r>
        <w:t xml:space="preserve"> (or a small subset, respecting any redistribution concerns) with a </w:t>
      </w:r>
      <w:r>
        <w:rPr>
          <w:rFonts w:ascii="Consolas" w:cs="Consolas" w:eastAsia="Consolas" w:hAnsi="Consolas"/>
          <w:shd w:fill="F0F0F0" w:val="clear"/>
        </w:rPr>
        <w:t xml:space="preserve">seed.py</w:t>
      </w:r>
      <w:r>
        <w:t xml:space="preserve"> script that ingests them into a fresh DB.</w:t>
      </w:r>
    </w:p>
    <w:p>
      <w:pPr>
        <w:pStyle w:val="ListParagraph"/>
        <w:numPr>
          <w:ilvl w:val="0"/>
          <w:numId w:val="1"/>
        </w:numPr>
        <w:spacing w:after="80" w:line="290"/>
      </w:pPr>
      <w:r>
        <w:rPr>
          <w:b/>
          <w:bCs/>
        </w:rPr>
        <w:t xml:space="preserve">Mock data:</w:t>
      </w:r>
      <w:r>
        <w:t xml:space="preserve"> a small set of synthetic, clearly-fake card rules (e.g., "Test Card Alpha") for unit tests, so tests never depend on real card data changing.</w:t>
      </w:r>
    </w:p>
    <w:p>
      <w:pPr>
        <w:pStyle w:val="ListParagraph"/>
        <w:numPr>
          <w:ilvl w:val="0"/>
          <w:numId w:val="1"/>
        </w:numPr>
        <w:spacing w:after="80" w:line="290"/>
      </w:pPr>
      <w:r>
        <w:rPr>
          <w:b/>
          <w:bCs/>
        </w:rPr>
        <w:t xml:space="preserve">Test data:</w:t>
      </w:r>
      <w:r>
        <w:t xml:space="preserve"> the golden dataset (Section 18) — kept separate from both seed and mock data, version-controlled, and treated as a first-class project artifact, not a scratch file.</w:t>
      </w:r>
    </w:p>
    <w:p>
      <w:pPr>
        <w:pStyle w:val="Heading2"/>
        <w:spacing w:after="140" w:before="260"/>
      </w:pPr>
      <w:r>
        <w:t xml:space="preserve">6.7 Backup Strategy</w:t>
      </w:r>
    </w:p>
    <w:p>
      <w:pPr>
        <w:spacing w:after="160" w:line="300"/>
      </w:pPr>
      <w:r>
        <w:t xml:space="preserve">Nightly </w:t>
      </w:r>
      <w:r>
        <w:rPr>
          <w:rFonts w:ascii="Consolas" w:cs="Consolas" w:eastAsia="Consolas" w:hAnsi="Consolas"/>
          <w:shd w:fill="F0F0F0" w:val="clear"/>
        </w:rPr>
        <w:t xml:space="preserve">pg_dump</w:t>
      </w:r>
      <w:r>
        <w:t xml:space="preserve"> to local/cloud storage is sufficient at capstone scale. Document the restore procedure in the README even if it's never needed — an untested backup is not a backup.</w:t>
      </w:r>
    </w:p>
    <w:p>
      <w:pPr>
        <w:pStyle w:val="Heading1"/>
        <w:pageBreakBefore/>
        <w:spacing w:after="180" w:before="360"/>
      </w:pPr>
      <w:bookmarkStart w:name="sec6" w:id="1"/>
      <w:r>
        <w:t xml:space="preserve">7. Data Collection Workflow</w:t>
      </w:r>
      <w:bookmarkEnd w:id="1"/>
    </w:p>
    <w:p>
      <w:pPr>
        <w:pStyle w:val="Heading2"/>
        <w:spacing w:after="140" w:before="260"/>
      </w:pPr>
      <w:r>
        <w:t xml:space="preserve">7.1 Sourcing</w:t>
      </w:r>
    </w:p>
    <w:p>
      <w:pPr>
        <w:spacing w:after="160" w:line="300"/>
      </w:pPr>
      <w:r>
        <w:t xml:space="preserve">Use only </w:t>
      </w:r>
      <w:r>
        <w:rPr>
          <w:b/>
          <w:bCs/>
        </w:rPr>
        <w:t xml:space="preserve">official, publicly published issuer documents</w:t>
      </w:r>
      <w:r>
        <w:t xml:space="preserve"> (T&amp;Cs, reward program PDFs, MITC — Most Important Terms and Conditions — documents) obtained directly from issuer websites. Do not scrape aggregator/forum content as a primary source — it is unofficial, may be stale, and scraping at scale raises the ToS concerns flagged in the architecture document's risk analysis. Community sources (Technofino, etc.) are acceptable as a </w:t>
      </w:r>
      <w:r>
        <w:rPr>
          <w:b/>
          <w:bCs/>
        </w:rPr>
        <w:t xml:space="preserve">secondary cross-check</w:t>
      </w:r>
      <w:r>
        <w:t xml:space="preserve">, never as the system's ground truth.</w:t>
      </w:r>
    </w:p>
    <w:p>
      <w:pPr>
        <w:pStyle w:val="Heading2"/>
        <w:spacing w:after="140" w:before="260"/>
      </w:pPr>
      <w:r>
        <w:t xml:space="preserve">7.2 Validation Before Ingestion</w:t>
      </w:r>
    </w:p>
    <w:p>
      <w:pPr>
        <w:spacing w:after="160" w:line="300"/>
      </w:pPr>
      <w:r>
        <w:t xml:space="preserve">Before a document enters the pipeline, manually confirm: it is the current version (check any "last updated" date on the issuer's page), it is a T&amp;C/MITC document and not marketing collateral, and it has a text layer (not a pure scan) or is flagged for OCR (Section 8.6).</w:t>
      </w:r>
    </w:p>
    <w:p>
      <w:pPr>
        <w:pStyle w:val="Heading2"/>
        <w:spacing w:after="140" w:before="260"/>
      </w:pPr>
      <w:r>
        <w:t xml:space="preserve">7.3 Cleaning and Organization</w:t>
      </w:r>
    </w:p>
    <w:p>
      <w:pPr>
        <w:pStyle w:val="ListParagraph"/>
        <w:numPr>
          <w:ilvl w:val="0"/>
          <w:numId w:val="1"/>
        </w:numPr>
        <w:spacing w:after="80" w:line="290"/>
      </w:pPr>
      <w:r>
        <w:t xml:space="preserve">Store raw PDFs untouched in </w:t>
      </w:r>
      <w:r>
        <w:rPr>
          <w:rFonts w:ascii="Consolas" w:cs="Consolas" w:eastAsia="Consolas" w:hAnsi="Consolas"/>
          <w:shd w:fill="F0F0F0" w:val="clear"/>
        </w:rPr>
        <w:t xml:space="preserve">data/raw_pdfs/&lt;issuer&gt;/&lt;card_name&gt;/&lt;effective_date&gt;.pdf</w:t>
      </w:r>
      <w:r>
        <w:t xml:space="preserve"> — this path structure alone encodes most of the metadata needed later.</w:t>
      </w:r>
    </w:p>
    <w:p>
      <w:pPr>
        <w:pStyle w:val="ListParagraph"/>
        <w:numPr>
          <w:ilvl w:val="0"/>
          <w:numId w:val="1"/>
        </w:numPr>
        <w:spacing w:after="80" w:line="290"/>
      </w:pPr>
      <w:r>
        <w:t xml:space="preserve">Never edit a raw PDF in place; all cleaning happens downstream in the extraction pipeline (Section 8), preserving the source artifact for audit purposes.</w:t>
      </w:r>
    </w:p>
    <w:p>
      <w:pPr>
        <w:pStyle w:val="Heading2"/>
        <w:spacing w:after="140" w:before="260"/>
      </w:pPr>
      <w:r>
        <w:t xml:space="preserve">7.4 Version Control for Documents</w:t>
      </w:r>
    </w:p>
    <w:p>
      <w:pPr>
        <w:spacing w:after="160" w:line="300"/>
      </w:pPr>
      <w:r>
        <w:t xml:space="preserve">Raw PDFs are binary and don't diff well in Git — track them with </w:t>
      </w:r>
      <w:r>
        <w:rPr>
          <w:b/>
          <w:bCs/>
        </w:rPr>
        <w:t xml:space="preserve">Git LFS</w:t>
      </w:r>
      <w:r>
        <w:t xml:space="preserve"> if committed to the repo at all, or better, keep them in a separate object store (e.g., cloud storage bucket) referenced by URL in </w:t>
      </w:r>
      <w:r>
        <w:rPr>
          <w:rFonts w:ascii="Consolas" w:cs="Consolas" w:eastAsia="Consolas" w:hAnsi="Consolas"/>
          <w:shd w:fill="F0F0F0" w:val="clear"/>
        </w:rPr>
        <w:t xml:space="preserve">card_documents.source_url</w:t>
      </w:r>
      <w:r>
        <w:t xml:space="preserve">, keeping the code repository lightweight.</w:t>
      </w:r>
    </w:p>
    <w:p>
      <w:pPr>
        <w:pStyle w:val="Heading2"/>
        <w:spacing w:after="140" w:before="260"/>
      </w:pPr>
      <w:r>
        <w:t xml:space="preserve">7.5 Update Strategy</w:t>
      </w:r>
    </w:p>
    <w:p>
      <w:pPr>
        <w:spacing w:after="160" w:line="300"/>
      </w:pPr>
      <w:r>
        <w:t xml:space="preserve">Set a recurring (e.g., quarterly) manual review cadence per card to check for T&amp;C changes, since no reliable push-notification exists for most issuers. This is explicitly a manual, human process at MVP/Phase 2 scale — automating "detect when an issuer changed their terms" is a Future Scope item (see the architecture document's Section 23), not a Phase 1 requirement.</w:t>
      </w:r>
    </w:p>
    <w:p>
      <w:pPr>
        <w:pStyle w:val="Heading2"/>
        <w:spacing w:after="140" w:before="260"/>
      </w:pPr>
      <w:r>
        <w:t xml:space="preserve">7.6 Document Metadata</w:t>
      </w:r>
    </w:p>
    <w:p>
      <w:pPr>
        <w:spacing w:after="160" w:line="300"/>
      </w:pPr>
      <w:r>
        <w:t xml:space="preserve">Capture at minimum: </w:t>
      </w:r>
      <w:r>
        <w:rPr>
          <w:rFonts w:ascii="Consolas" w:cs="Consolas" w:eastAsia="Consolas" w:hAnsi="Consolas"/>
          <w:shd w:fill="F0F0F0" w:val="clear"/>
        </w:rPr>
        <w:t xml:space="preserve">card_name</w:t>
      </w:r>
      <w:r>
        <w:t xml:space="preserve">, </w:t>
      </w:r>
      <w:r>
        <w:rPr>
          <w:rFonts w:ascii="Consolas" w:cs="Consolas" w:eastAsia="Consolas" w:hAnsi="Consolas"/>
          <w:shd w:fill="F0F0F0" w:val="clear"/>
        </w:rPr>
        <w:t xml:space="preserve">issuer</w:t>
      </w:r>
      <w:r>
        <w:t xml:space="preserve">, </w:t>
      </w:r>
      <w:r>
        <w:rPr>
          <w:rFonts w:ascii="Consolas" w:cs="Consolas" w:eastAsia="Consolas" w:hAnsi="Consolas"/>
          <w:shd w:fill="F0F0F0" w:val="clear"/>
        </w:rPr>
        <w:t xml:space="preserve">document_type</w:t>
      </w:r>
      <w:r>
        <w:t xml:space="preserve">, </w:t>
      </w:r>
      <w:r>
        <w:rPr>
          <w:rFonts w:ascii="Consolas" w:cs="Consolas" w:eastAsia="Consolas" w:hAnsi="Consolas"/>
          <w:shd w:fill="F0F0F0" w:val="clear"/>
        </w:rPr>
        <w:t xml:space="preserve">effective_date</w:t>
      </w:r>
      <w:r>
        <w:t xml:space="preserve">, </w:t>
      </w:r>
      <w:r>
        <w:rPr>
          <w:rFonts w:ascii="Consolas" w:cs="Consolas" w:eastAsia="Consolas" w:hAnsi="Consolas"/>
          <w:shd w:fill="F0F0F0" w:val="clear"/>
        </w:rPr>
        <w:t xml:space="preserve">source_url</w:t>
      </w:r>
      <w:r>
        <w:t xml:space="preserve">, </w:t>
      </w:r>
      <w:r>
        <w:rPr>
          <w:rFonts w:ascii="Consolas" w:cs="Consolas" w:eastAsia="Consolas" w:hAnsi="Consolas"/>
          <w:shd w:fill="F0F0F0" w:val="clear"/>
        </w:rPr>
        <w:t xml:space="preserve">uploaded_at</w:t>
      </w:r>
      <w:r>
        <w:t xml:space="preserve"> — this is the </w:t>
      </w:r>
      <w:r>
        <w:rPr>
          <w:rFonts w:ascii="Consolas" w:cs="Consolas" w:eastAsia="Consolas" w:hAnsi="Consolas"/>
          <w:shd w:fill="F0F0F0" w:val="clear"/>
        </w:rPr>
        <w:t xml:space="preserve">card_documents</w:t>
      </w:r>
      <w:r>
        <w:t xml:space="preserve"> table, and it should be populated </w:t>
      </w:r>
      <w:r>
        <w:rPr>
          <w:i/>
          <w:iCs/>
        </w:rPr>
        <w:t xml:space="preserve">before</w:t>
      </w:r>
      <w:r>
        <w:t xml:space="preserve"> chunking begins, not inferred after the fact from chunk content.</w:t>
      </w:r>
    </w:p>
    <w:p>
      <w:pPr>
        <w:pStyle w:val="Heading1"/>
        <w:pageBreakBefore/>
        <w:spacing w:after="180" w:before="360"/>
      </w:pPr>
      <w:bookmarkStart w:name="sec7" w:id="1"/>
      <w:r>
        <w:t xml:space="preserve">8. PDF Processing Workflow</w:t>
      </w:r>
      <w:bookmarkEnd w:id="1"/>
    </w:p>
    <w:p>
      <w:pPr>
        <w:pStyle w:val="Heading2"/>
        <w:spacing w:after="140" w:before="260"/>
      </w:pPr>
      <w:r>
        <w:t xml:space="preserve">8.1 Text Extraction</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tblGrid>
      <w:tr>
        <w:trPr>
          <w:tblHeader/>
        </w:trPr>
        <w:tc>
          <w:tcPr>
            <w:tcW w:type="dxa" w:w="2450"/>
            <w:shd w:fill="1F4E79" w:color="auto" w:val="clear"/>
            <w:tcMar>
              <w:top w:type="dxa" w:w="80"/>
              <w:left w:type="dxa" w:w="100"/>
              <w:bottom w:type="dxa" w:w="80"/>
              <w:right w:type="dxa" w:w="100"/>
            </w:tcMar>
          </w:tcPr>
          <w:p>
            <w:r>
              <w:rPr>
                <w:b/>
                <w:bCs/>
                <w:color w:val="FFFFFF"/>
                <w:sz w:val="20"/>
                <w:szCs w:val="20"/>
              </w:rPr>
              <w:t xml:space="preserve">Library</w:t>
            </w:r>
          </w:p>
        </w:tc>
        <w:tc>
          <w:tcPr>
            <w:tcW w:type="dxa" w:w="2450"/>
            <w:shd w:fill="1F4E79" w:color="auto" w:val="clear"/>
            <w:tcMar>
              <w:top w:type="dxa" w:w="80"/>
              <w:left w:type="dxa" w:w="100"/>
              <w:bottom w:type="dxa" w:w="80"/>
              <w:right w:type="dxa" w:w="100"/>
            </w:tcMar>
          </w:tcPr>
          <w:p>
            <w:r>
              <w:rPr>
                <w:b/>
                <w:bCs/>
                <w:color w:val="FFFFFF"/>
                <w:sz w:val="20"/>
                <w:szCs w:val="20"/>
              </w:rPr>
              <w:t xml:space="preserve">Strengths</w:t>
            </w:r>
          </w:p>
        </w:tc>
        <w:tc>
          <w:tcPr>
            <w:tcW w:type="dxa" w:w="2450"/>
            <w:shd w:fill="1F4E79" w:color="auto" w:val="clear"/>
            <w:tcMar>
              <w:top w:type="dxa" w:w="80"/>
              <w:left w:type="dxa" w:w="100"/>
              <w:bottom w:type="dxa" w:w="80"/>
              <w:right w:type="dxa" w:w="100"/>
            </w:tcMar>
          </w:tcPr>
          <w:p>
            <w:r>
              <w:rPr>
                <w:b/>
                <w:bCs/>
                <w:color w:val="FFFFFF"/>
                <w:sz w:val="20"/>
                <w:szCs w:val="20"/>
              </w:rPr>
              <w:t xml:space="preserve">Weaknesses</w:t>
            </w:r>
          </w:p>
        </w:tc>
        <w:tc>
          <w:tcPr>
            <w:tcW w:type="dxa" w:w="2450"/>
            <w:shd w:fill="1F4E79" w:color="auto" w:val="clear"/>
            <w:tcMar>
              <w:top w:type="dxa" w:w="80"/>
              <w:left w:type="dxa" w:w="100"/>
              <w:bottom w:type="dxa" w:w="80"/>
              <w:right w:type="dxa" w:w="100"/>
            </w:tcMar>
          </w:tcPr>
          <w:p>
            <w:r>
              <w:rPr>
                <w:b/>
                <w:bCs/>
                <w:color w:val="FFFFFF"/>
                <w:sz w:val="20"/>
                <w:szCs w:val="20"/>
              </w:rPr>
              <w:t xml:space="preserve">Recommendation</w:t>
            </w:r>
          </w:p>
        </w:tc>
      </w:tr>
      <w:tr>
        <w:trPr>
          <w:tblHeader w:val="false"/>
        </w:trPr>
        <w:tc>
          <w:tcPr>
            <w:tcW w:type="dxa" w:w="2450"/>
            <w:tcMar>
              <w:top w:type="dxa" w:w="80"/>
              <w:left w:type="dxa" w:w="100"/>
              <w:bottom w:type="dxa" w:w="80"/>
              <w:right w:type="dxa" w:w="100"/>
            </w:tcMar>
          </w:tcPr>
          <w:p>
            <w:r>
              <w:rPr>
                <w:b/>
                <w:bCs/>
                <w:sz w:val="20"/>
                <w:szCs w:val="20"/>
              </w:rPr>
              <w:t xml:space="preserve">PyMuPDF (fitz)</w:t>
            </w:r>
          </w:p>
        </w:tc>
        <w:tc>
          <w:tcPr>
            <w:tcW w:type="dxa" w:w="2450"/>
            <w:tcMar>
              <w:top w:type="dxa" w:w="80"/>
              <w:left w:type="dxa" w:w="100"/>
              <w:bottom w:type="dxa" w:w="80"/>
              <w:right w:type="dxa" w:w="100"/>
            </w:tcMar>
          </w:tcPr>
          <w:p>
            <w:r>
              <w:rPr>
                <w:sz w:val="20"/>
                <w:szCs w:val="20"/>
              </w:rPr>
              <w:t xml:space="preserve">Fast, handles complex layouts and tables reasonably well, actively maintained</w:t>
            </w:r>
          </w:p>
        </w:tc>
        <w:tc>
          <w:tcPr>
            <w:tcW w:type="dxa" w:w="2450"/>
            <w:tcMar>
              <w:top w:type="dxa" w:w="80"/>
              <w:left w:type="dxa" w:w="100"/>
              <w:bottom w:type="dxa" w:w="80"/>
              <w:right w:type="dxa" w:w="100"/>
            </w:tcMar>
          </w:tcPr>
          <w:p>
            <w:r>
              <w:rPr>
                <w:sz w:val="20"/>
                <w:szCs w:val="20"/>
              </w:rPr>
              <w:t xml:space="preserve">Slightly more complex API</w:t>
            </w:r>
          </w:p>
        </w:tc>
        <w:tc>
          <w:tcPr>
            <w:tcW w:type="dxa" w:w="2450"/>
            <w:tcMar>
              <w:top w:type="dxa" w:w="80"/>
              <w:left w:type="dxa" w:w="100"/>
              <w:bottom w:type="dxa" w:w="80"/>
              <w:right w:type="dxa" w:w="100"/>
            </w:tcMar>
          </w:tcPr>
          <w:p>
            <w:r>
              <w:rPr>
                <w:b/>
                <w:bCs/>
                <w:sz w:val="20"/>
                <w:szCs w:val="20"/>
              </w:rPr>
              <w:t xml:space="preserve">Recommended</w:t>
            </w:r>
          </w:p>
        </w:tc>
      </w:tr>
      <w:tr>
        <w:trPr>
          <w:tblHeader w:val="false"/>
        </w:trPr>
        <w:tc>
          <w:tcPr>
            <w:tcW w:type="dxa" w:w="2450"/>
            <w:tcMar>
              <w:top w:type="dxa" w:w="80"/>
              <w:left w:type="dxa" w:w="100"/>
              <w:bottom w:type="dxa" w:w="80"/>
              <w:right w:type="dxa" w:w="100"/>
            </w:tcMar>
          </w:tcPr>
          <w:p>
            <w:r>
              <w:rPr>
                <w:b/>
                <w:bCs/>
                <w:sz w:val="20"/>
                <w:szCs w:val="20"/>
              </w:rPr>
              <w:t xml:space="preserve">pdfplumber</w:t>
            </w:r>
          </w:p>
        </w:tc>
        <w:tc>
          <w:tcPr>
            <w:tcW w:type="dxa" w:w="2450"/>
            <w:tcMar>
              <w:top w:type="dxa" w:w="80"/>
              <w:left w:type="dxa" w:w="100"/>
              <w:bottom w:type="dxa" w:w="80"/>
              <w:right w:type="dxa" w:w="100"/>
            </w:tcMar>
          </w:tcPr>
          <w:p>
            <w:r>
              <w:rPr>
                <w:sz w:val="20"/>
                <w:szCs w:val="20"/>
              </w:rPr>
              <w:t xml:space="preserve">Excellent table extraction, simple API</w:t>
            </w:r>
          </w:p>
        </w:tc>
        <w:tc>
          <w:tcPr>
            <w:tcW w:type="dxa" w:w="2450"/>
            <w:tcMar>
              <w:top w:type="dxa" w:w="80"/>
              <w:left w:type="dxa" w:w="100"/>
              <w:bottom w:type="dxa" w:w="80"/>
              <w:right w:type="dxa" w:w="100"/>
            </w:tcMar>
          </w:tcPr>
          <w:p>
            <w:r>
              <w:rPr>
                <w:sz w:val="20"/>
                <w:szCs w:val="20"/>
              </w:rPr>
              <w:t xml:space="preserve">Slower on large documents</w:t>
            </w:r>
          </w:p>
        </w:tc>
        <w:tc>
          <w:tcPr>
            <w:tcW w:type="dxa" w:w="2450"/>
            <w:tcMar>
              <w:top w:type="dxa" w:w="80"/>
              <w:left w:type="dxa" w:w="100"/>
              <w:bottom w:type="dxa" w:w="80"/>
              <w:right w:type="dxa" w:w="100"/>
            </w:tcMar>
          </w:tcPr>
          <w:p>
            <w:r>
              <w:rPr>
                <w:sz w:val="20"/>
                <w:szCs w:val="20"/>
              </w:rPr>
              <w:t xml:space="preserve">Good secondary tool specifically for table-heavy pages (reward-rate tables)</w:t>
            </w:r>
          </w:p>
        </w:tc>
      </w:tr>
      <w:tr>
        <w:trPr>
          <w:tblHeader w:val="false"/>
        </w:trPr>
        <w:tc>
          <w:tcPr>
            <w:tcW w:type="dxa" w:w="2450"/>
            <w:tcMar>
              <w:top w:type="dxa" w:w="80"/>
              <w:left w:type="dxa" w:w="100"/>
              <w:bottom w:type="dxa" w:w="80"/>
              <w:right w:type="dxa" w:w="100"/>
            </w:tcMar>
          </w:tcPr>
          <w:p>
            <w:r>
              <w:rPr>
                <w:b/>
                <w:bCs/>
                <w:sz w:val="20"/>
                <w:szCs w:val="20"/>
              </w:rPr>
              <w:t xml:space="preserve">pypdf</w:t>
            </w:r>
          </w:p>
        </w:tc>
        <w:tc>
          <w:tcPr>
            <w:tcW w:type="dxa" w:w="2450"/>
            <w:tcMar>
              <w:top w:type="dxa" w:w="80"/>
              <w:left w:type="dxa" w:w="100"/>
              <w:bottom w:type="dxa" w:w="80"/>
              <w:right w:type="dxa" w:w="100"/>
            </w:tcMar>
          </w:tcPr>
          <w:p>
            <w:r>
              <w:rPr>
                <w:sz w:val="20"/>
                <w:szCs w:val="20"/>
              </w:rPr>
              <w:t xml:space="preserve">Pure Python, no system dependencies</w:t>
            </w:r>
          </w:p>
        </w:tc>
        <w:tc>
          <w:tcPr>
            <w:tcW w:type="dxa" w:w="2450"/>
            <w:tcMar>
              <w:top w:type="dxa" w:w="80"/>
              <w:left w:type="dxa" w:w="100"/>
              <w:bottom w:type="dxa" w:w="80"/>
              <w:right w:type="dxa" w:w="100"/>
            </w:tcMar>
          </w:tcPr>
          <w:p>
            <w:r>
              <w:rPr>
                <w:sz w:val="20"/>
                <w:szCs w:val="20"/>
              </w:rPr>
              <w:t xml:space="preserve">Weaker layout/table handling</w:t>
            </w:r>
          </w:p>
        </w:tc>
        <w:tc>
          <w:tcPr>
            <w:tcW w:type="dxa" w:w="2450"/>
            <w:tcMar>
              <w:top w:type="dxa" w:w="80"/>
              <w:left w:type="dxa" w:w="100"/>
              <w:bottom w:type="dxa" w:w="80"/>
              <w:right w:type="dxa" w:w="100"/>
            </w:tcMar>
          </w:tcPr>
          <w:p>
            <w:r>
              <w:rPr>
                <w:sz w:val="20"/>
                <w:szCs w:val="20"/>
              </w:rPr>
              <w:t xml:space="preserve">Avoid as primary extractor for this domain given how table-heavy card T&amp;Cs are</w:t>
            </w:r>
          </w:p>
        </w:tc>
      </w:tr>
    </w:tbl>
    <w:p>
      <w:pPr>
        <w:spacing w:after="200"/>
      </w:pPr>
    </w:p>
    <w:p>
      <w:pPr>
        <w:spacing w:after="160" w:line="300"/>
      </w:pPr>
      <w:r>
        <w:rPr>
          <w:b/>
          <w:bCs/>
        </w:rPr>
        <w:t xml:space="preserve">Recommended approach:</w:t>
      </w:r>
      <w:r>
        <w:t xml:space="preserve"> PyMuPDF as the primary extractor; fall back to pdfplumber specifically for pages detected to contain tables (a heuristic: high density of numeric tokens and short lines), since reward-rate tables are exactly the content this project cares most about getting right.</w:t>
      </w:r>
    </w:p>
    <w:p>
      <w:pPr>
        <w:pStyle w:val="Heading2"/>
        <w:spacing w:after="140" w:before="260"/>
      </w:pPr>
      <w:r>
        <w:t xml:space="preserve">8.2 Cleaning</w:t>
      </w:r>
    </w:p>
    <w:p>
      <w:pPr>
        <w:spacing w:after="160" w:line="300"/>
      </w:pPr>
      <w:r>
        <w:t xml:space="preserve">Strip repeated headers/footers (page numbers, "Terms and Conditions v3.2" boilerplate) that would otherwise pollute every chunk. Detect these via repetition across pages (a line appearing near-identically on &gt;80% of pages is almost certainly boilerplate, not content).</w:t>
      </w:r>
    </w:p>
    <w:p>
      <w:pPr>
        <w:pStyle w:val="Heading2"/>
        <w:spacing w:after="140" w:before="260"/>
      </w:pPr>
      <w:r>
        <w:t xml:space="preserve">8.3 Normalization</w:t>
      </w:r>
    </w:p>
    <w:p>
      <w:pPr>
        <w:spacing w:after="160" w:line="300"/>
      </w:pPr>
      <w:r>
        <w:t xml:space="preserve">Normalize currency symbols, whitespace, and Unicode variants (e.g., different dash characters) before chunking — inconsistent normalization is a common, invisible cause of retrieval quality problems, since two semantically identical clauses can embed differently if their surface text differs in encoding.</w:t>
      </w:r>
    </w:p>
    <w:p>
      <w:pPr>
        <w:pStyle w:val="Heading2"/>
        <w:spacing w:after="140" w:before="260"/>
      </w:pPr>
      <w:r>
        <w:t xml:space="preserve">8.4 Chunking Strategy</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Approach</w:t>
            </w:r>
          </w:p>
        </w:tc>
        <w:tc>
          <w:tcPr>
            <w:tcW w:type="dxa" w:w="3266"/>
            <w:shd w:fill="1F4E79" w:color="auto" w:val="clear"/>
            <w:tcMar>
              <w:top w:type="dxa" w:w="80"/>
              <w:left w:type="dxa" w:w="100"/>
              <w:bottom w:type="dxa" w:w="80"/>
              <w:right w:type="dxa" w:w="100"/>
            </w:tcMar>
          </w:tcPr>
          <w:p>
            <w:r>
              <w:rPr>
                <w:b/>
                <w:bCs/>
                <w:color w:val="FFFFFF"/>
                <w:sz w:val="20"/>
                <w:szCs w:val="20"/>
              </w:rPr>
              <w:t xml:space="preserve">Description</w:t>
            </w:r>
          </w:p>
        </w:tc>
        <w:tc>
          <w:tcPr>
            <w:tcW w:type="dxa" w:w="3266"/>
            <w:shd w:fill="1F4E79" w:color="auto" w:val="clear"/>
            <w:tcMar>
              <w:top w:type="dxa" w:w="80"/>
              <w:left w:type="dxa" w:w="100"/>
              <w:bottom w:type="dxa" w:w="80"/>
              <w:right w:type="dxa" w:w="100"/>
            </w:tcMar>
          </w:tcPr>
          <w:p>
            <w:r>
              <w:rPr>
                <w:b/>
                <w:bCs/>
                <w:color w:val="FFFFFF"/>
                <w:sz w:val="20"/>
                <w:szCs w:val="20"/>
              </w:rPr>
              <w:t xml:space="preserve">Fit</w:t>
            </w:r>
          </w:p>
        </w:tc>
      </w:tr>
      <w:tr>
        <w:trPr>
          <w:tblHeader w:val="false"/>
        </w:trPr>
        <w:tc>
          <w:tcPr>
            <w:tcW w:type="dxa" w:w="3266"/>
            <w:tcMar>
              <w:top w:type="dxa" w:w="80"/>
              <w:left w:type="dxa" w:w="100"/>
              <w:bottom w:type="dxa" w:w="80"/>
              <w:right w:type="dxa" w:w="100"/>
            </w:tcMar>
          </w:tcPr>
          <w:p>
            <w:r>
              <w:rPr>
                <w:sz w:val="20"/>
                <w:szCs w:val="20"/>
              </w:rPr>
              <w:t xml:space="preserve">Fixed-length character/token chunking with overlap</w:t>
            </w:r>
          </w:p>
        </w:tc>
        <w:tc>
          <w:tcPr>
            <w:tcW w:type="dxa" w:w="3266"/>
            <w:tcMar>
              <w:top w:type="dxa" w:w="80"/>
              <w:left w:type="dxa" w:w="100"/>
              <w:bottom w:type="dxa" w:w="80"/>
              <w:right w:type="dxa" w:w="100"/>
            </w:tcMar>
          </w:tcPr>
          <w:p>
            <w:r>
              <w:rPr>
                <w:sz w:val="20"/>
                <w:szCs w:val="20"/>
              </w:rPr>
              <w:t xml:space="preserve">Simple, standard RAG default</w:t>
            </w:r>
          </w:p>
        </w:tc>
        <w:tc>
          <w:tcPr>
            <w:tcW w:type="dxa" w:w="3266"/>
            <w:tcMar>
              <w:top w:type="dxa" w:w="80"/>
              <w:left w:type="dxa" w:w="100"/>
              <w:bottom w:type="dxa" w:w="80"/>
              <w:right w:type="dxa" w:w="100"/>
            </w:tcMar>
          </w:tcPr>
          <w:p>
            <w:r>
              <w:rPr>
                <w:sz w:val="20"/>
                <w:szCs w:val="20"/>
              </w:rPr>
              <w:t xml:space="preserve">Baseline — acceptable for Phase 1, but risks splitting a reward rate from its cap clause</w:t>
            </w:r>
          </w:p>
        </w:tc>
      </w:tr>
      <w:tr>
        <w:trPr>
          <w:tblHeader w:val="false"/>
        </w:trPr>
        <w:tc>
          <w:tcPr>
            <w:tcW w:type="dxa" w:w="3266"/>
            <w:tcMar>
              <w:top w:type="dxa" w:w="80"/>
              <w:left w:type="dxa" w:w="100"/>
              <w:bottom w:type="dxa" w:w="80"/>
              <w:right w:type="dxa" w:w="100"/>
            </w:tcMar>
          </w:tcPr>
          <w:p>
            <w:r>
              <w:rPr>
                <w:sz w:val="20"/>
                <w:szCs w:val="20"/>
              </w:rPr>
              <w:t xml:space="preserve">Recursive character splitting (LangChain's </w:t>
            </w:r>
            <w:r>
              <w:rPr>
                <w:rFonts w:ascii="Consolas" w:cs="Consolas" w:eastAsia="Consolas" w:hAnsi="Consolas"/>
                <w:sz w:val="20"/>
                <w:szCs w:val="20"/>
                <w:shd w:fill="F0F0F0" w:val="clear"/>
              </w:rPr>
              <w:t xml:space="preserve">RecursiveCharacterTextSplitter</w:t>
            </w:r>
            <w:r>
              <w:rPr>
                <w:sz w:val="20"/>
                <w:szCs w:val="20"/>
              </w:rPr>
              <w:t xml:space="preserve">)</w:t>
            </w:r>
          </w:p>
        </w:tc>
        <w:tc>
          <w:tcPr>
            <w:tcW w:type="dxa" w:w="3266"/>
            <w:tcMar>
              <w:top w:type="dxa" w:w="80"/>
              <w:left w:type="dxa" w:w="100"/>
              <w:bottom w:type="dxa" w:w="80"/>
              <w:right w:type="dxa" w:w="100"/>
            </w:tcMar>
          </w:tcPr>
          <w:p>
            <w:r>
              <w:rPr>
                <w:sz w:val="20"/>
                <w:szCs w:val="20"/>
              </w:rPr>
              <w:t xml:space="preserve">Fixed-length but respects paragraph/sentence boundaries when possible</w:t>
            </w:r>
          </w:p>
        </w:tc>
        <w:tc>
          <w:tcPr>
            <w:tcW w:type="dxa" w:w="3266"/>
            <w:tcMar>
              <w:top w:type="dxa" w:w="80"/>
              <w:left w:type="dxa" w:w="100"/>
              <w:bottom w:type="dxa" w:w="80"/>
              <w:right w:type="dxa" w:w="100"/>
            </w:tcMar>
          </w:tcPr>
          <w:p>
            <w:r>
              <w:rPr>
                <w:sz w:val="20"/>
                <w:szCs w:val="20"/>
              </w:rPr>
              <w:t xml:space="preserve">Better baseline than naive fixed-length; </w:t>
            </w:r>
            <w:r>
              <w:rPr>
                <w:b/>
                <w:bCs/>
                <w:sz w:val="20"/>
                <w:szCs w:val="20"/>
              </w:rPr>
              <w:t xml:space="preserve">recommended for Phase 1</w:t>
            </w:r>
          </w:p>
        </w:tc>
      </w:tr>
      <w:tr>
        <w:trPr>
          <w:tblHeader w:val="false"/>
        </w:trPr>
        <w:tc>
          <w:tcPr>
            <w:tcW w:type="dxa" w:w="3266"/>
            <w:tcMar>
              <w:top w:type="dxa" w:w="80"/>
              <w:left w:type="dxa" w:w="100"/>
              <w:bottom w:type="dxa" w:w="80"/>
              <w:right w:type="dxa" w:w="100"/>
            </w:tcMar>
          </w:tcPr>
          <w:p>
            <w:r>
              <w:rPr>
                <w:b/>
                <w:bCs/>
                <w:sz w:val="20"/>
                <w:szCs w:val="20"/>
              </w:rPr>
              <w:t xml:space="preserve">Structure-aware chunking</w:t>
            </w:r>
            <w:r>
              <w:rPr>
                <w:sz w:val="20"/>
                <w:szCs w:val="20"/>
              </w:rPr>
              <w:t xml:space="preserve"> (split on detected headings/clauses/table boundaries)</w:t>
            </w:r>
          </w:p>
        </w:tc>
        <w:tc>
          <w:tcPr>
            <w:tcW w:type="dxa" w:w="3266"/>
            <w:tcMar>
              <w:top w:type="dxa" w:w="80"/>
              <w:left w:type="dxa" w:w="100"/>
              <w:bottom w:type="dxa" w:w="80"/>
              <w:right w:type="dxa" w:w="100"/>
            </w:tcMar>
          </w:tcPr>
          <w:p>
            <w:r>
              <w:rPr>
                <w:sz w:val="20"/>
                <w:szCs w:val="20"/>
              </w:rPr>
              <w:t xml:space="preserve">Chunks align with the document's actual logical units</w:t>
            </w:r>
          </w:p>
        </w:tc>
        <w:tc>
          <w:tcPr>
            <w:tcW w:type="dxa" w:w="3266"/>
            <w:tcMar>
              <w:top w:type="dxa" w:w="80"/>
              <w:left w:type="dxa" w:w="100"/>
              <w:bottom w:type="dxa" w:w="80"/>
              <w:right w:type="dxa" w:w="100"/>
            </w:tcMar>
          </w:tcPr>
          <w:p>
            <w:r>
              <w:rPr>
                <w:b/>
                <w:bCs/>
                <w:sz w:val="20"/>
                <w:szCs w:val="20"/>
              </w:rPr>
              <w:t xml:space="preserve">Recommended for Phase 2+</w:t>
            </w:r>
            <w:r>
              <w:rPr>
                <w:sz w:val="20"/>
                <w:szCs w:val="20"/>
              </w:rPr>
              <w:t xml:space="preserve"> once naive chunking's failure modes are observed in evaluation</w:t>
            </w:r>
          </w:p>
        </w:tc>
      </w:tr>
    </w:tbl>
    <w:p>
      <w:pPr>
        <w:spacing w:after="200"/>
      </w:pPr>
    </w:p>
    <w:p>
      <w:pPr>
        <w:spacing w:after="160" w:line="300"/>
      </w:pPr>
      <w:r>
        <w:t xml:space="preserve">Start with recursive character splitting (~400–600 tokens, ~50-token overlap) to get Phase 1 moving quickly. Budget explicit time in Phase 2 to inspect golden-set failures and move to structure-aware chunking for any card where a cap/exclusion clause is getting separated from its reward rate — this is a data-quality investment, not a nice-to-have, because it directly determines whether the calculator ever receives a complete rule.</w:t>
      </w:r>
    </w:p>
    <w:p>
      <w:pPr>
        <w:pStyle w:val="Heading2"/>
        <w:spacing w:after="140" w:before="260"/>
      </w:pPr>
      <w:r>
        <w:t xml:space="preserve">8.5 Metadata Extraction</w:t>
      </w:r>
    </w:p>
    <w:p>
      <w:pPr>
        <w:spacing w:after="160" w:line="300"/>
      </w:pPr>
      <w:r>
        <w:t xml:space="preserve">Attach </w:t>
      </w:r>
      <w:r>
        <w:rPr>
          <w:rFonts w:ascii="Consolas" w:cs="Consolas" w:eastAsia="Consolas" w:hAnsi="Consolas"/>
          <w:shd w:fill="F0F0F0" w:val="clear"/>
        </w:rPr>
        <w:t xml:space="preserve">card_name</w:t>
      </w:r>
      <w:r>
        <w:t xml:space="preserve">, </w:t>
      </w:r>
      <w:r>
        <w:rPr>
          <w:rFonts w:ascii="Consolas" w:cs="Consolas" w:eastAsia="Consolas" w:hAnsi="Consolas"/>
          <w:shd w:fill="F0F0F0" w:val="clear"/>
        </w:rPr>
        <w:t xml:space="preserve">issuer</w:t>
      </w:r>
      <w:r>
        <w:t xml:space="preserve">, </w:t>
      </w:r>
      <w:r>
        <w:rPr>
          <w:rFonts w:ascii="Consolas" w:cs="Consolas" w:eastAsia="Consolas" w:hAnsi="Consolas"/>
          <w:shd w:fill="F0F0F0" w:val="clear"/>
        </w:rPr>
        <w:t xml:space="preserve">document_type</w:t>
      </w:r>
      <w:r>
        <w:t xml:space="preserve">, </w:t>
      </w:r>
      <w:r>
        <w:rPr>
          <w:rFonts w:ascii="Consolas" w:cs="Consolas" w:eastAsia="Consolas" w:hAnsi="Consolas"/>
          <w:shd w:fill="F0F0F0" w:val="clear"/>
        </w:rPr>
        <w:t xml:space="preserve">page_number</w:t>
      </w:r>
      <w:r>
        <w:t xml:space="preserve">, </w:t>
      </w:r>
      <w:r>
        <w:rPr>
          <w:rFonts w:ascii="Consolas" w:cs="Consolas" w:eastAsia="Consolas" w:hAnsi="Consolas"/>
          <w:shd w:fill="F0F0F0" w:val="clear"/>
        </w:rPr>
        <w:t xml:space="preserve">effective_date</w:t>
      </w:r>
      <w:r>
        <w:t xml:space="preserve">, and </w:t>
      </w:r>
      <w:r>
        <w:rPr>
          <w:rFonts w:ascii="Consolas" w:cs="Consolas" w:eastAsia="Consolas" w:hAnsi="Consolas"/>
          <w:shd w:fill="F0F0F0" w:val="clear"/>
        </w:rPr>
        <w:t xml:space="preserve">source_url</w:t>
      </w:r>
      <w:r>
        <w:t xml:space="preserve"> to every chunk at chunking time (not retrieval time) — metadata generated lazily at query time is both slower and a common source of subtle bugs (e.g., stale joins).</w:t>
      </w:r>
    </w:p>
    <w:p>
      <w:pPr>
        <w:pStyle w:val="Heading2"/>
        <w:spacing w:after="140" w:before="260"/>
      </w:pPr>
      <w:r>
        <w:t xml:space="preserve">8.6 Failure Handling</w:t>
      </w:r>
    </w:p>
    <w:p>
      <w:pPr>
        <w:pStyle w:val="ListParagraph"/>
        <w:numPr>
          <w:ilvl w:val="0"/>
          <w:numId w:val="1"/>
        </w:numPr>
        <w:spacing w:after="80" w:line="290"/>
      </w:pPr>
      <w:r>
        <w:rPr>
          <w:b/>
          <w:bCs/>
        </w:rPr>
        <w:t xml:space="preserve">No text layer detected</w:t>
      </w:r>
      <w:r>
        <w:t xml:space="preserve"> (scanned PDF): flag the document for OCR (Tesseract or a cloud OCR service) rather than silently producing empty chunks. Never ingest a zero-content document without an explicit error/warning surfaced to the admin.</w:t>
      </w:r>
    </w:p>
    <w:p>
      <w:pPr>
        <w:pStyle w:val="ListParagraph"/>
        <w:numPr>
          <w:ilvl w:val="0"/>
          <w:numId w:val="1"/>
        </w:numPr>
        <w:spacing w:after="80" w:line="290"/>
      </w:pPr>
      <w:r>
        <w:rPr>
          <w:b/>
          <w:bCs/>
        </w:rPr>
        <w:t xml:space="preserve">Extraction produces garbled text</w:t>
      </w:r>
      <w:r>
        <w:t xml:space="preserve"> (common with poorly-encoded PDFs): run a basic sanity check (ratio of recognizable words to total tokens) and reject/flag documents below a threshold rather than embedding garbage.</w:t>
      </w:r>
    </w:p>
    <w:p>
      <w:pPr>
        <w:pStyle w:val="Heading2"/>
        <w:spacing w:after="140" w:before="260"/>
      </w:pPr>
      <w:r>
        <w:t xml:space="preserve">8.7 Quality Validation</w:t>
      </w:r>
    </w:p>
    <w:p>
      <w:pPr>
        <w:spacing w:after="160" w:line="300"/>
      </w:pPr>
      <w:r>
        <w:t xml:space="preserve">Before a newly-ingested document is considered "live," manually spot-check a sample of its chunks against the source PDF. This is a 15-minute human task per document that catches the majority of extraction bugs before they propagate into wrong recommendations — cheap insurance relative to the cost of a bad answer reaching a golden-set evaluation or, worse, a user.</w:t>
      </w:r>
    </w:p>
    <w:p>
      <w:pPr>
        <w:pStyle w:val="Heading1"/>
        <w:pageBreakBefore/>
        <w:spacing w:after="180" w:before="360"/>
      </w:pPr>
      <w:bookmarkStart w:name="sec8" w:id="1"/>
      <w:r>
        <w:t xml:space="preserve">9. Embedding Pipeline</w:t>
      </w:r>
      <w:bookmarkEnd w:id="1"/>
    </w:p>
    <w:p>
      <w:pPr>
        <w:pStyle w:val="Heading2"/>
        <w:spacing w:after="140" w:before="260"/>
      </w:pPr>
      <w:r>
        <w:t xml:space="preserve">9.1 Embedding Model Selection</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gridCol w:w="100"/>
      </w:tblGrid>
      <w:tr>
        <w:trPr>
          <w:tblHeader/>
        </w:trPr>
        <w:tc>
          <w:tcPr>
            <w:tcW w:type="dxa" w:w="2800"/>
            <w:shd w:fill="1F4E79" w:color="auto" w:val="clear"/>
            <w:tcMar>
              <w:top w:type="dxa" w:w="80"/>
              <w:left w:type="dxa" w:w="100"/>
              <w:bottom w:type="dxa" w:w="80"/>
              <w:right w:type="dxa" w:w="100"/>
            </w:tcMar>
          </w:tcPr>
          <w:p>
            <w:r>
              <w:rPr>
                <w:b/>
                <w:bCs/>
                <w:color w:val="FFFFFF"/>
                <w:sz w:val="20"/>
                <w:szCs w:val="20"/>
              </w:rPr>
              <w:t xml:space="preserve">Option</w:t>
            </w:r>
          </w:p>
        </w:tc>
        <w:tc>
          <w:tcPr>
            <w:tcW w:type="dxa" w:w="1400"/>
            <w:shd w:fill="1F4E79" w:color="auto" w:val="clear"/>
            <w:tcMar>
              <w:top w:type="dxa" w:w="80"/>
              <w:left w:type="dxa" w:w="100"/>
              <w:bottom w:type="dxa" w:w="80"/>
              <w:right w:type="dxa" w:w="100"/>
            </w:tcMar>
          </w:tcPr>
          <w:p>
            <w:r>
              <w:rPr>
                <w:b/>
                <w:bCs/>
                <w:color w:val="FFFFFF"/>
                <w:sz w:val="20"/>
                <w:szCs w:val="20"/>
              </w:rPr>
              <w:t xml:space="preserve">Cost</w:t>
            </w:r>
          </w:p>
        </w:tc>
        <w:tc>
          <w:tcPr>
            <w:tcW w:type="dxa" w:w="1400"/>
            <w:shd w:fill="1F4E79" w:color="auto" w:val="clear"/>
            <w:tcMar>
              <w:top w:type="dxa" w:w="80"/>
              <w:left w:type="dxa" w:w="100"/>
              <w:bottom w:type="dxa" w:w="80"/>
              <w:right w:type="dxa" w:w="100"/>
            </w:tcMar>
          </w:tcPr>
          <w:p>
            <w:r>
              <w:rPr>
                <w:b/>
                <w:bCs/>
                <w:color w:val="FFFFFF"/>
                <w:sz w:val="20"/>
                <w:szCs w:val="20"/>
              </w:rPr>
              <w:t xml:space="preserve">Quality</w:t>
            </w:r>
          </w:p>
        </w:tc>
        <w:tc>
          <w:tcPr>
            <w:tcW w:type="dxa" w:w="1400"/>
            <w:shd w:fill="1F4E79" w:color="auto" w:val="clear"/>
            <w:tcMar>
              <w:top w:type="dxa" w:w="80"/>
              <w:left w:type="dxa" w:w="100"/>
              <w:bottom w:type="dxa" w:w="80"/>
              <w:right w:type="dxa" w:w="100"/>
            </w:tcMar>
          </w:tcPr>
          <w:p>
            <w:r>
              <w:rPr>
                <w:b/>
                <w:bCs/>
                <w:color w:val="FFFFFF"/>
                <w:sz w:val="20"/>
                <w:szCs w:val="20"/>
              </w:rPr>
              <w:t xml:space="preserve">Privacy</w:t>
            </w:r>
          </w:p>
        </w:tc>
        <w:tc>
          <w:tcPr>
            <w:tcW w:type="dxa" w:w="2800"/>
            <w:shd w:fill="1F4E79" w:color="auto" w:val="clear"/>
            <w:tcMar>
              <w:top w:type="dxa" w:w="80"/>
              <w:left w:type="dxa" w:w="100"/>
              <w:bottom w:type="dxa" w:w="80"/>
              <w:right w:type="dxa" w:w="100"/>
            </w:tcMar>
          </w:tcPr>
          <w:p>
            <w:r>
              <w:rPr>
                <w:b/>
                <w:bCs/>
                <w:color w:val="FFFFFF"/>
                <w:sz w:val="20"/>
                <w:szCs w:val="20"/>
              </w:rPr>
              <w:t xml:space="preserve">Recommendation</w:t>
            </w:r>
          </w:p>
        </w:tc>
      </w:tr>
      <w:tr>
        <w:trPr>
          <w:tblHeader w:val="false"/>
        </w:trPr>
        <w:tc>
          <w:tcPr>
            <w:tcW w:type="dxa" w:w="2800"/>
            <w:tcMar>
              <w:top w:type="dxa" w:w="80"/>
              <w:left w:type="dxa" w:w="100"/>
              <w:bottom w:type="dxa" w:w="80"/>
              <w:right w:type="dxa" w:w="100"/>
            </w:tcMar>
          </w:tcPr>
          <w:p>
            <w:r>
              <w:rPr>
                <w:sz w:val="20"/>
                <w:szCs w:val="20"/>
              </w:rPr>
              <w:t xml:space="preserve">OpenAI </w:t>
            </w:r>
            <w:r>
              <w:rPr>
                <w:rFonts w:ascii="Consolas" w:cs="Consolas" w:eastAsia="Consolas" w:hAnsi="Consolas"/>
                <w:sz w:val="20"/>
                <w:szCs w:val="20"/>
                <w:shd w:fill="F0F0F0" w:val="clear"/>
              </w:rPr>
              <w:t xml:space="preserve">text-embedding-3-small</w:t>
            </w:r>
          </w:p>
        </w:tc>
        <w:tc>
          <w:tcPr>
            <w:tcW w:type="dxa" w:w="1400"/>
            <w:tcMar>
              <w:top w:type="dxa" w:w="80"/>
              <w:left w:type="dxa" w:w="100"/>
              <w:bottom w:type="dxa" w:w="80"/>
              <w:right w:type="dxa" w:w="100"/>
            </w:tcMar>
          </w:tcPr>
          <w:p>
            <w:r>
              <w:rPr>
                <w:sz w:val="20"/>
                <w:szCs w:val="20"/>
              </w:rPr>
              <w:t xml:space="preserve">Low</w:t>
            </w:r>
          </w:p>
        </w:tc>
        <w:tc>
          <w:tcPr>
            <w:tcW w:type="dxa" w:w="1400"/>
            <w:tcMar>
              <w:top w:type="dxa" w:w="80"/>
              <w:left w:type="dxa" w:w="100"/>
              <w:bottom w:type="dxa" w:w="80"/>
              <w:right w:type="dxa" w:w="100"/>
            </w:tcMar>
          </w:tcPr>
          <w:p>
            <w:r>
              <w:rPr>
                <w:sz w:val="20"/>
                <w:szCs w:val="20"/>
              </w:rPr>
              <w:t xml:space="preserve">Good</w:t>
            </w:r>
          </w:p>
        </w:tc>
        <w:tc>
          <w:tcPr>
            <w:tcW w:type="dxa" w:w="1400"/>
            <w:tcMar>
              <w:top w:type="dxa" w:w="80"/>
              <w:left w:type="dxa" w:w="100"/>
              <w:bottom w:type="dxa" w:w="80"/>
              <w:right w:type="dxa" w:w="100"/>
            </w:tcMar>
          </w:tcPr>
          <w:p>
            <w:r>
              <w:rPr>
                <w:sz w:val="20"/>
                <w:szCs w:val="20"/>
              </w:rPr>
              <w:t xml:space="preserve">Data sent to OpenAI</w:t>
            </w:r>
          </w:p>
        </w:tc>
        <w:tc>
          <w:tcPr>
            <w:tcW w:type="dxa" w:w="2800"/>
            <w:tcMar>
              <w:top w:type="dxa" w:w="80"/>
              <w:left w:type="dxa" w:w="100"/>
              <w:bottom w:type="dxa" w:w="80"/>
              <w:right w:type="dxa" w:w="100"/>
            </w:tcMar>
          </w:tcPr>
          <w:p>
            <w:r>
              <w:rPr>
                <w:b/>
                <w:bCs/>
                <w:sz w:val="20"/>
                <w:szCs w:val="20"/>
              </w:rPr>
              <w:t xml:space="preserve">Recommended for MVP</w:t>
            </w:r>
            <w:r>
              <w:rPr>
                <w:sz w:val="20"/>
                <w:szCs w:val="20"/>
              </w:rPr>
              <w:t xml:space="preserve"> — best cost/quality trade-off for a capstone budget</w:t>
            </w:r>
          </w:p>
        </w:tc>
      </w:tr>
      <w:tr>
        <w:trPr>
          <w:tblHeader w:val="false"/>
        </w:trPr>
        <w:tc>
          <w:tcPr>
            <w:tcW w:type="dxa" w:w="2800"/>
            <w:tcMar>
              <w:top w:type="dxa" w:w="80"/>
              <w:left w:type="dxa" w:w="100"/>
              <w:bottom w:type="dxa" w:w="80"/>
              <w:right w:type="dxa" w:w="100"/>
            </w:tcMar>
          </w:tcPr>
          <w:p>
            <w:r>
              <w:rPr>
                <w:sz w:val="20"/>
                <w:szCs w:val="20"/>
              </w:rPr>
              <w:t xml:space="preserve">OpenAI </w:t>
            </w:r>
            <w:r>
              <w:rPr>
                <w:rFonts w:ascii="Consolas" w:cs="Consolas" w:eastAsia="Consolas" w:hAnsi="Consolas"/>
                <w:sz w:val="20"/>
                <w:szCs w:val="20"/>
                <w:shd w:fill="F0F0F0" w:val="clear"/>
              </w:rPr>
              <w:t xml:space="preserve">text-embedding-3-large</w:t>
            </w:r>
          </w:p>
        </w:tc>
        <w:tc>
          <w:tcPr>
            <w:tcW w:type="dxa" w:w="1400"/>
            <w:tcMar>
              <w:top w:type="dxa" w:w="80"/>
              <w:left w:type="dxa" w:w="100"/>
              <w:bottom w:type="dxa" w:w="80"/>
              <w:right w:type="dxa" w:w="100"/>
            </w:tcMar>
          </w:tcPr>
          <w:p>
            <w:r>
              <w:rPr>
                <w:sz w:val="20"/>
                <w:szCs w:val="20"/>
              </w:rPr>
              <w:t xml:space="preserve">Higher</w:t>
            </w:r>
          </w:p>
        </w:tc>
        <w:tc>
          <w:tcPr>
            <w:tcW w:type="dxa" w:w="1400"/>
            <w:tcMar>
              <w:top w:type="dxa" w:w="80"/>
              <w:left w:type="dxa" w:w="100"/>
              <w:bottom w:type="dxa" w:w="80"/>
              <w:right w:type="dxa" w:w="100"/>
            </w:tcMar>
          </w:tcPr>
          <w:p>
            <w:r>
              <w:rPr>
                <w:sz w:val="20"/>
                <w:szCs w:val="20"/>
              </w:rPr>
              <w:t xml:space="preserve">Best</w:t>
            </w:r>
          </w:p>
        </w:tc>
        <w:tc>
          <w:tcPr>
            <w:tcW w:type="dxa" w:w="1400"/>
            <w:tcMar>
              <w:top w:type="dxa" w:w="80"/>
              <w:left w:type="dxa" w:w="100"/>
              <w:bottom w:type="dxa" w:w="80"/>
              <w:right w:type="dxa" w:w="100"/>
            </w:tcMar>
          </w:tcPr>
          <w:p>
            <w:r>
              <w:rPr>
                <w:sz w:val="20"/>
                <w:szCs w:val="20"/>
              </w:rPr>
              <w:t xml:space="preserve">Data sent to OpenAI</w:t>
            </w:r>
          </w:p>
        </w:tc>
        <w:tc>
          <w:tcPr>
            <w:tcW w:type="dxa" w:w="2800"/>
            <w:tcMar>
              <w:top w:type="dxa" w:w="80"/>
              <w:left w:type="dxa" w:w="100"/>
              <w:bottom w:type="dxa" w:w="80"/>
              <w:right w:type="dxa" w:w="100"/>
            </w:tcMar>
          </w:tcPr>
          <w:p>
            <w:r>
              <w:rPr>
                <w:sz w:val="20"/>
                <w:szCs w:val="20"/>
              </w:rPr>
              <w:t xml:space="preserve">Consider for Phase 3 if evaluation shows the small model missing nuanced distinctions (e.g., "excluded" vs. "capped")</w:t>
            </w:r>
          </w:p>
        </w:tc>
      </w:tr>
      <w:tr>
        <w:trPr>
          <w:tblHeader w:val="false"/>
        </w:trPr>
        <w:tc>
          <w:tcPr>
            <w:tcW w:type="dxa" w:w="2800"/>
            <w:tcMar>
              <w:top w:type="dxa" w:w="80"/>
              <w:left w:type="dxa" w:w="100"/>
              <w:bottom w:type="dxa" w:w="80"/>
              <w:right w:type="dxa" w:w="100"/>
            </w:tcMar>
          </w:tcPr>
          <w:p>
            <w:r>
              <w:rPr>
                <w:sz w:val="20"/>
                <w:szCs w:val="20"/>
              </w:rPr>
              <w:t xml:space="preserve">Open-source (e.g., BGE, E5 family) via local inference</w:t>
            </w:r>
          </w:p>
        </w:tc>
        <w:tc>
          <w:tcPr>
            <w:tcW w:type="dxa" w:w="1400"/>
            <w:tcMar>
              <w:top w:type="dxa" w:w="80"/>
              <w:left w:type="dxa" w:w="100"/>
              <w:bottom w:type="dxa" w:w="80"/>
              <w:right w:type="dxa" w:w="100"/>
            </w:tcMar>
          </w:tcPr>
          <w:p>
            <w:r>
              <w:rPr>
                <w:sz w:val="20"/>
                <w:szCs w:val="20"/>
              </w:rPr>
              <w:t xml:space="preserve">Free (compute only)</w:t>
            </w:r>
          </w:p>
        </w:tc>
        <w:tc>
          <w:tcPr>
            <w:tcW w:type="dxa" w:w="1400"/>
            <w:tcMar>
              <w:top w:type="dxa" w:w="80"/>
              <w:left w:type="dxa" w:w="100"/>
              <w:bottom w:type="dxa" w:w="80"/>
              <w:right w:type="dxa" w:w="100"/>
            </w:tcMar>
          </w:tcPr>
          <w:p>
            <w:r>
              <w:rPr>
                <w:sz w:val="20"/>
                <w:szCs w:val="20"/>
              </w:rPr>
              <w:t xml:space="preserve">Competitive, sometimes requires fine-tuning to match closed models on niche domains</w:t>
            </w:r>
          </w:p>
        </w:tc>
        <w:tc>
          <w:tcPr>
            <w:tcW w:type="dxa" w:w="1400"/>
            <w:tcMar>
              <w:top w:type="dxa" w:w="80"/>
              <w:left w:type="dxa" w:w="100"/>
              <w:bottom w:type="dxa" w:w="80"/>
              <w:right w:type="dxa" w:w="100"/>
            </w:tcMar>
          </w:tcPr>
          <w:p>
            <w:r>
              <w:rPr>
                <w:sz w:val="20"/>
                <w:szCs w:val="20"/>
              </w:rPr>
              <w:t xml:space="preserve">Fully private</w:t>
            </w:r>
          </w:p>
        </w:tc>
        <w:tc>
          <w:tcPr>
            <w:tcW w:type="dxa" w:w="2800"/>
            <w:tcMar>
              <w:top w:type="dxa" w:w="80"/>
              <w:left w:type="dxa" w:w="100"/>
              <w:bottom w:type="dxa" w:w="80"/>
              <w:right w:type="dxa" w:w="100"/>
            </w:tcMar>
          </w:tcPr>
          <w:p>
            <w:r>
              <w:rPr>
                <w:sz w:val="20"/>
                <w:szCs w:val="20"/>
              </w:rPr>
              <w:t xml:space="preserve">Best choice if data privacy is a hard requirement or API cost must be zero — accept the added infra complexity of hosting inference</w:t>
            </w:r>
          </w:p>
        </w:tc>
      </w:tr>
    </w:tbl>
    <w:p>
      <w:pPr>
        <w:spacing w:after="200"/>
      </w:pPr>
    </w:p>
    <w:p>
      <w:pPr>
        <w:spacing w:after="160" w:line="300"/>
      </w:pPr>
      <w:r>
        <w:rPr>
          <w:b/>
          <w:bCs/>
        </w:rPr>
        <w:t xml:space="preserve">Recommendation:</w:t>
      </w:r>
      <w:r>
        <w:t xml:space="preserve"> start with </w:t>
      </w:r>
      <w:r>
        <w:rPr>
          <w:rFonts w:ascii="Consolas" w:cs="Consolas" w:eastAsia="Consolas" w:hAnsi="Consolas"/>
          <w:shd w:fill="F0F0F0" w:val="clear"/>
        </w:rPr>
        <w:t xml:space="preserve">text-embedding-3-small</w:t>
      </w:r>
      <w:r>
        <w:t xml:space="preserve"> for velocity; treat swapping to an open-source model as a contained, well-isolated change </w:t>
      </w:r>
      <w:r>
        <w:rPr>
          <w:i/>
          <w:iCs/>
        </w:rPr>
        <w:t xml:space="preserve">because</w:t>
      </w:r>
      <w:r>
        <w:t xml:space="preserve"> the retriever tool (Section 5) already isolates embedding calls behind one interface.</w:t>
      </w:r>
    </w:p>
    <w:p>
      <w:pPr>
        <w:pStyle w:val="Heading2"/>
        <w:spacing w:after="140" w:before="260"/>
      </w:pPr>
      <w:r>
        <w:t xml:space="preserve">9.2 Generation, Storage, Caching</w:t>
      </w:r>
    </w:p>
    <w:p>
      <w:pPr>
        <w:pStyle w:val="ListParagraph"/>
        <w:numPr>
          <w:ilvl w:val="0"/>
          <w:numId w:val="1"/>
        </w:numPr>
        <w:spacing w:after="80" w:line="290"/>
      </w:pPr>
      <w:r>
        <w:t xml:space="preserve">Generate embeddings in a batch script (</w:t>
      </w:r>
      <w:r>
        <w:rPr>
          <w:rFonts w:ascii="Consolas" w:cs="Consolas" w:eastAsia="Consolas" w:hAnsi="Consolas"/>
          <w:shd w:fill="F0F0F0" w:val="clear"/>
        </w:rPr>
        <w:t xml:space="preserve">embed_documents.py</w:t>
      </w:r>
      <w:r>
        <w:t xml:space="preserve">), never inline during a live user query for ingestion-time content — only the user's </w:t>
      </w:r>
      <w:r>
        <w:rPr>
          <w:i/>
          <w:iCs/>
        </w:rPr>
        <w:t xml:space="preserve">query</w:t>
      </w:r>
      <w:r>
        <w:t xml:space="preserve"> is embedded at request time.</w:t>
      </w:r>
    </w:p>
    <w:p>
      <w:pPr>
        <w:pStyle w:val="ListParagraph"/>
        <w:numPr>
          <w:ilvl w:val="0"/>
          <w:numId w:val="1"/>
        </w:numPr>
        <w:spacing w:after="80" w:line="290"/>
      </w:pPr>
      <w:r>
        <w:t xml:space="preserve">Cache embeddings by a hash of (chunk_text + model_version) so re-running ingestion after a code change doesn't re-embed unchanged chunks — this matters once the corpus grows past a handful of cards, both for cost and for iteration speed.</w:t>
      </w:r>
    </w:p>
    <w:p>
      <w:pPr>
        <w:pStyle w:val="ListParagraph"/>
        <w:numPr>
          <w:ilvl w:val="0"/>
          <w:numId w:val="1"/>
        </w:numPr>
        <w:spacing w:after="80" w:line="290"/>
      </w:pPr>
      <w:r>
        <w:t xml:space="preserve">Store the embedding model name/version alongside each vector (</w:t>
      </w:r>
      <w:r>
        <w:rPr>
          <w:rFonts w:ascii="Consolas" w:cs="Consolas" w:eastAsia="Consolas" w:hAnsi="Consolas"/>
          <w:shd w:fill="F0F0F0" w:val="clear"/>
        </w:rPr>
        <w:t xml:space="preserve">document_chunks.metadata_json</w:t>
      </w:r>
      <w:r>
        <w:t xml:space="preserve">) — mixing vectors from two different embedding models in one index silently corrupts similarity search, since distances are not comparable across models.</w:t>
      </w:r>
    </w:p>
    <w:p>
      <w:pPr>
        <w:pStyle w:val="Heading2"/>
        <w:spacing w:after="140" w:before="260"/>
      </w:pPr>
      <w:r>
        <w:t xml:space="preserve">9.3 Batch Processing</w:t>
      </w:r>
    </w:p>
    <w:p>
      <w:pPr>
        <w:spacing w:after="160" w:line="300"/>
      </w:pPr>
      <w:r>
        <w:t xml:space="preserve">Batch embedding API calls (most providers support batching many texts per request) rather than one call per chunk — this is a straightforward, high-value cost and latency optimization with no downside.</w:t>
      </w:r>
    </w:p>
    <w:p>
      <w:pPr>
        <w:pStyle w:val="Heading2"/>
        <w:spacing w:after="140" w:before="260"/>
      </w:pPr>
      <w:r>
        <w:t xml:space="preserve">9.4 Re-indexing</w:t>
      </w:r>
    </w:p>
    <w:p>
      <w:pPr>
        <w:spacing w:after="160" w:line="300"/>
      </w:pPr>
      <w:r>
        <w:t xml:space="preserve">When a card document is updated (Section 6.5), re-embed only the new document's chunks; do not delete or re-embed unrelated cards' chunks. Re-indexing should be a targeted, auditable operation tied to a specific </w:t>
      </w:r>
      <w:r>
        <w:rPr>
          <w:rFonts w:ascii="Consolas" w:cs="Consolas" w:eastAsia="Consolas" w:hAnsi="Consolas"/>
          <w:shd w:fill="F0F0F0" w:val="clear"/>
        </w:rPr>
        <w:t xml:space="preserve">document_id</w:t>
      </w:r>
      <w:r>
        <w:t xml:space="preserve">, never a "wipe and rebuild everything" script run casually.</w:t>
      </w:r>
    </w:p>
    <w:p>
      <w:pPr>
        <w:pStyle w:val="Heading1"/>
        <w:pageBreakBefore/>
        <w:spacing w:after="180" w:before="360"/>
      </w:pPr>
      <w:bookmarkStart w:name="sec9" w:id="1"/>
      <w:r>
        <w:t xml:space="preserve">10. Vector Database Workflow</w:t>
      </w:r>
      <w:bookmarkEnd w:id="1"/>
    </w:p>
    <w:p>
      <w:pPr>
        <w:pStyle w:val="Heading2"/>
        <w:spacing w:after="140" w:before="260"/>
      </w:pPr>
      <w:r>
        <w:t xml:space="preserve">10.1 Database Selection</w:t>
      </w:r>
    </w:p>
    <w:p>
      <w:pPr>
        <w:spacing w:after="160" w:line="300"/>
      </w:pPr>
      <w:r>
        <w:t xml:space="preserve">Per the architecture document's Section 15: </w:t>
      </w:r>
      <w:r>
        <w:rPr>
          <w:b/>
          <w:bCs/>
        </w:rPr>
        <w:t xml:space="preserve">pgvector</w:t>
      </w:r>
      <w:r>
        <w:t xml:space="preserve"> for MVP through Phase 3, given the project's scale (low thousands of chunks) and the benefit of co-locating structured and vector data in one Postgres instance. Revisit only if corpus size or concurrent query load grows materially past capstone scale.</w:t>
      </w:r>
    </w:p>
    <w:p>
      <w:pPr>
        <w:pStyle w:val="Heading2"/>
        <w:spacing w:after="140" w:before="260"/>
      </w:pPr>
      <w:r>
        <w:t xml:space="preserve">10.2 Collection ("Table") Design</w:t>
      </w:r>
    </w:p>
    <w:p>
      <w:pPr>
        <w:spacing w:after="160" w:line="300"/>
      </w:pPr>
      <w:r>
        <w:t xml:space="preserve">A single </w:t>
      </w:r>
      <w:r>
        <w:rPr>
          <w:rFonts w:ascii="Consolas" w:cs="Consolas" w:eastAsia="Consolas" w:hAnsi="Consolas"/>
          <w:shd w:fill="F0F0F0" w:val="clear"/>
        </w:rPr>
        <w:t xml:space="preserve">document_chunks</w:t>
      </w:r>
      <w:r>
        <w:t xml:space="preserve"> table with a </w:t>
      </w:r>
      <w:r>
        <w:rPr>
          <w:rFonts w:ascii="Consolas" w:cs="Consolas" w:eastAsia="Consolas" w:hAnsi="Consolas"/>
          <w:shd w:fill="F0F0F0" w:val="clear"/>
        </w:rPr>
        <w:t xml:space="preserve">card_name</w:t>
      </w:r>
      <w:r>
        <w:t xml:space="preserve"> metadata column, rather than one table/collection per card. This keeps cross-card comparison queries (needed for the Comparison Node) simple joins/filters instead of fan-out queries across multiple tables.</w:t>
      </w:r>
    </w:p>
    <w:p>
      <w:pPr>
        <w:pStyle w:val="Heading2"/>
        <w:spacing w:after="140" w:before="260"/>
      </w:pPr>
      <w:r>
        <w:t xml:space="preserve">10.3 Metadata Filters</w:t>
      </w:r>
    </w:p>
    <w:p>
      <w:pPr>
        <w:spacing w:after="160" w:line="300"/>
      </w:pPr>
      <w:r>
        <w:t xml:space="preserve">Every retrieval query should filter by </w:t>
      </w:r>
      <w:r>
        <w:rPr>
          <w:rFonts w:ascii="Consolas" w:cs="Consolas" w:eastAsia="Consolas" w:hAnsi="Consolas"/>
          <w:shd w:fill="F0F0F0" w:val="clear"/>
        </w:rPr>
        <w:t xml:space="preserve">card_name</w:t>
      </w:r>
      <w:r>
        <w:t xml:space="preserve"> (when the user's owned cards are known) </w:t>
      </w:r>
      <w:r>
        <w:rPr>
          <w:b/>
          <w:bCs/>
        </w:rPr>
        <w:t xml:space="preserve">before or alongside</w:t>
      </w:r>
      <w:r>
        <w:t xml:space="preserve"> the vector similarity search — never rely on similarity ranking alone to keep results within the correct card's rules. This directly addresses the "wrong-card rule retrieved" risk flagged in the architecture document's risk analysis.</w:t>
      </w:r>
    </w:p>
    <w:p>
      <w:pPr>
        <w:pStyle w:val="Heading2"/>
        <w:spacing w:after="140" w:before="260"/>
      </w:pPr>
      <w:r>
        <w:t xml:space="preserve">10.4 Hybrid Search</w:t>
      </w:r>
    </w:p>
    <w:p>
      <w:pPr>
        <w:spacing w:after="160" w:line="300"/>
      </w:pPr>
      <w:r>
        <w:t xml:space="preserve">Phase 1: pure vector similarity is acceptable. Phase 2+: add keyword/BM25 matching (e.g., via Postgres full-text search </w:t>
      </w:r>
      <w:r>
        <w:rPr>
          <w:rFonts w:ascii="Consolas" w:cs="Consolas" w:eastAsia="Consolas" w:hAnsi="Consolas"/>
          <w:shd w:fill="F0F0F0" w:val="clear"/>
        </w:rPr>
        <w:t xml:space="preserve">tsvector</w:t>
      </w:r>
      <w:r>
        <w:t xml:space="preserve">, combined with vector similarity in a weighted re-ranking step) to catch exact-term queries (specific merchant names, exact card product names) that embeddings alone can under-rank.</w:t>
      </w:r>
    </w:p>
    <w:p>
      <w:pPr>
        <w:pStyle w:val="Heading2"/>
        <w:spacing w:after="140" w:before="260"/>
      </w:pPr>
      <w:r>
        <w:t xml:space="preserve">10.5 Ranking and Similarity Thresholds</w:t>
      </w:r>
    </w:p>
    <w:p>
      <w:pPr>
        <w:spacing w:after="160" w:line="300"/>
      </w:pPr>
      <w:r>
        <w:t xml:space="preserve">Set an explicit minimum similarity threshold below which retrieved chunks are discarded rather than passed to the LLM — a low-confidence chunk being fed into the prompt "just in case" is precisely how ungrounded-sounding answers happen. Tune this threshold empirically against the golden set, not by intuition; too high a threshold causes false "insufficient information" refusals, too low causes hallucination risk.</w:t>
      </w:r>
    </w:p>
    <w:p>
      <w:pPr>
        <w:pStyle w:val="Heading2"/>
        <w:spacing w:after="140" w:before="260"/>
      </w:pPr>
      <w:r>
        <w:t xml:space="preserve">10.6 Performance Optimization</w:t>
      </w:r>
    </w:p>
    <w:p>
      <w:pPr>
        <w:spacing w:after="160" w:line="300"/>
      </w:pPr>
      <w:r>
        <w:t xml:space="preserve">At this project's scale, performance optimization (index tuning, connection pooling) is a Phase 3+ concern, not a Phase 1 one — do not spend Phase 1 time tuning </w:t>
      </w:r>
      <w:r>
        <w:rPr>
          <w:rFonts w:ascii="Consolas" w:cs="Consolas" w:eastAsia="Consolas" w:hAnsi="Consolas"/>
          <w:shd w:fill="F0F0F0" w:val="clear"/>
        </w:rPr>
        <w:t xml:space="preserve">hnsw</w:t>
      </w:r>
      <w:r>
        <w:t xml:space="preserve"> parameters for a corpus of a few thousand chunks; that time is far better spent on chunking and retrieval </w:t>
      </w:r>
      <w:r>
        <w:rPr>
          <w:i/>
          <w:iCs/>
        </w:rPr>
        <w:t xml:space="preserve">correctness</w:t>
      </w:r>
      <w:r>
        <w:t xml:space="preserve">.</w:t>
      </w:r>
    </w:p>
    <w:p>
      <w:pPr>
        <w:pStyle w:val="Heading1"/>
        <w:pageBreakBefore/>
        <w:spacing w:after="180" w:before="360"/>
      </w:pPr>
      <w:bookmarkStart w:name="sec10" w:id="1"/>
      <w:r>
        <w:t xml:space="preserve">11. Structured Data Extraction</w:t>
      </w:r>
      <w:bookmarkEnd w:id="1"/>
    </w:p>
    <w:p>
      <w:pPr>
        <w:pStyle w:val="Heading2"/>
        <w:spacing w:after="140" w:before="260"/>
      </w:pPr>
      <w:r>
        <w:t xml:space="preserve">11.1 Manual vs. AI-Assisted Extraction</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Approach</w:t>
            </w:r>
          </w:p>
        </w:tc>
        <w:tc>
          <w:tcPr>
            <w:tcW w:type="dxa" w:w="3266"/>
            <w:shd w:fill="1F4E79" w:color="auto" w:val="clear"/>
            <w:tcMar>
              <w:top w:type="dxa" w:w="80"/>
              <w:left w:type="dxa" w:w="100"/>
              <w:bottom w:type="dxa" w:w="80"/>
              <w:right w:type="dxa" w:w="100"/>
            </w:tcMar>
          </w:tcPr>
          <w:p>
            <w:r>
              <w:rPr>
                <w:b/>
                <w:bCs/>
                <w:color w:val="FFFFFF"/>
                <w:sz w:val="20"/>
                <w:szCs w:val="20"/>
              </w:rPr>
              <w:t xml:space="preserve">Description</w:t>
            </w:r>
          </w:p>
        </w:tc>
        <w:tc>
          <w:tcPr>
            <w:tcW w:type="dxa" w:w="3266"/>
            <w:shd w:fill="1F4E79" w:color="auto" w:val="clear"/>
            <w:tcMar>
              <w:top w:type="dxa" w:w="80"/>
              <w:left w:type="dxa" w:w="100"/>
              <w:bottom w:type="dxa" w:w="80"/>
              <w:right w:type="dxa" w:w="100"/>
            </w:tcMar>
          </w:tcPr>
          <w:p>
            <w:r>
              <w:rPr>
                <w:b/>
                <w:bCs/>
                <w:color w:val="FFFFFF"/>
                <w:sz w:val="20"/>
                <w:szCs w:val="20"/>
              </w:rPr>
              <w:t xml:space="preserve">Trade-off</w:t>
            </w:r>
          </w:p>
        </w:tc>
      </w:tr>
      <w:tr>
        <w:trPr>
          <w:tblHeader w:val="false"/>
        </w:trPr>
        <w:tc>
          <w:tcPr>
            <w:tcW w:type="dxa" w:w="3266"/>
            <w:tcMar>
              <w:top w:type="dxa" w:w="80"/>
              <w:left w:type="dxa" w:w="100"/>
              <w:bottom w:type="dxa" w:w="80"/>
              <w:right w:type="dxa" w:w="100"/>
            </w:tcMar>
          </w:tcPr>
          <w:p>
            <w:r>
              <w:rPr>
                <w:b/>
                <w:bCs/>
                <w:sz w:val="20"/>
                <w:szCs w:val="20"/>
              </w:rPr>
              <w:t xml:space="preserve">Fully manual</w:t>
            </w:r>
          </w:p>
        </w:tc>
        <w:tc>
          <w:tcPr>
            <w:tcW w:type="dxa" w:w="3266"/>
            <w:tcMar>
              <w:top w:type="dxa" w:w="80"/>
              <w:left w:type="dxa" w:w="100"/>
              <w:bottom w:type="dxa" w:w="80"/>
              <w:right w:type="dxa" w:w="100"/>
            </w:tcMar>
          </w:tcPr>
          <w:p>
            <w:r>
              <w:rPr>
                <w:sz w:val="20"/>
                <w:szCs w:val="20"/>
              </w:rPr>
              <w:t xml:space="preserve">A human reads each card's T&amp;C and hand-populates </w:t>
            </w:r>
            <w:r>
              <w:rPr>
                <w:rFonts w:ascii="Consolas" w:cs="Consolas" w:eastAsia="Consolas" w:hAnsi="Consolas"/>
                <w:sz w:val="20"/>
                <w:szCs w:val="20"/>
                <w:shd w:fill="F0F0F0" w:val="clear"/>
              </w:rPr>
              <w:t xml:space="preserve">reward_rules</w:t>
            </w:r>
            <w:r>
              <w:rPr>
                <w:sz w:val="20"/>
                <w:szCs w:val="20"/>
              </w:rPr>
              <w:t xml:space="preserve"> rows</w:t>
            </w:r>
          </w:p>
        </w:tc>
        <w:tc>
          <w:tcPr>
            <w:tcW w:type="dxa" w:w="3266"/>
            <w:tcMar>
              <w:top w:type="dxa" w:w="80"/>
              <w:left w:type="dxa" w:w="100"/>
              <w:bottom w:type="dxa" w:w="80"/>
              <w:right w:type="dxa" w:w="100"/>
            </w:tcMar>
          </w:tcPr>
          <w:p>
            <w:r>
              <w:rPr>
                <w:sz w:val="20"/>
                <w:szCs w:val="20"/>
              </w:rPr>
              <w:t xml:space="preserve">Highest accuracy, but doesn't scale past a handful of cards; </w:t>
            </w:r>
            <w:r>
              <w:rPr>
                <w:b/>
                <w:bCs/>
                <w:sz w:val="20"/>
                <w:szCs w:val="20"/>
              </w:rPr>
              <w:t xml:space="preserve">recommended for the 4–5 card MVP</w:t>
            </w:r>
          </w:p>
        </w:tc>
      </w:tr>
      <w:tr>
        <w:trPr>
          <w:tblHeader w:val="false"/>
        </w:trPr>
        <w:tc>
          <w:tcPr>
            <w:tcW w:type="dxa" w:w="3266"/>
            <w:tcMar>
              <w:top w:type="dxa" w:w="80"/>
              <w:left w:type="dxa" w:w="100"/>
              <w:bottom w:type="dxa" w:w="80"/>
              <w:right w:type="dxa" w:w="100"/>
            </w:tcMar>
          </w:tcPr>
          <w:p>
            <w:r>
              <w:rPr>
                <w:b/>
                <w:bCs/>
                <w:sz w:val="20"/>
                <w:szCs w:val="20"/>
              </w:rPr>
              <w:t xml:space="preserve">AI-assisted extraction with mandatory human review</w:t>
            </w:r>
          </w:p>
        </w:tc>
        <w:tc>
          <w:tcPr>
            <w:tcW w:type="dxa" w:w="3266"/>
            <w:tcMar>
              <w:top w:type="dxa" w:w="80"/>
              <w:left w:type="dxa" w:w="100"/>
              <w:bottom w:type="dxa" w:w="80"/>
              <w:right w:type="dxa" w:w="100"/>
            </w:tcMar>
          </w:tcPr>
          <w:p>
            <w:r>
              <w:rPr>
                <w:sz w:val="20"/>
                <w:szCs w:val="20"/>
              </w:rPr>
              <w:t xml:space="preserve">LLM proposes structured rows from retrieved chunks; a human reviews/approves before the row is marked "active"</w:t>
            </w:r>
          </w:p>
        </w:tc>
        <w:tc>
          <w:tcPr>
            <w:tcW w:type="dxa" w:w="3266"/>
            <w:tcMar>
              <w:top w:type="dxa" w:w="80"/>
              <w:left w:type="dxa" w:w="100"/>
              <w:bottom w:type="dxa" w:w="80"/>
              <w:right w:type="dxa" w:w="100"/>
            </w:tcMar>
          </w:tcPr>
          <w:p>
            <w:r>
              <w:rPr>
                <w:b/>
                <w:bCs/>
                <w:sz w:val="20"/>
                <w:szCs w:val="20"/>
              </w:rPr>
              <w:t xml:space="preserve">Recommended for Phase 2+ / scaling beyond 5 cards</w:t>
            </w:r>
            <w:r>
              <w:rPr>
                <w:sz w:val="20"/>
                <w:szCs w:val="20"/>
              </w:rPr>
              <w:t xml:space="preserve"> — this is the correct middle ground: AI does the tedious first pass, a human remains the final authority</w:t>
            </w:r>
          </w:p>
        </w:tc>
      </w:tr>
      <w:tr>
        <w:trPr>
          <w:tblHeader w:val="false"/>
        </w:trPr>
        <w:tc>
          <w:tcPr>
            <w:tcW w:type="dxa" w:w="3266"/>
            <w:tcMar>
              <w:top w:type="dxa" w:w="80"/>
              <w:left w:type="dxa" w:w="100"/>
              <w:bottom w:type="dxa" w:w="80"/>
              <w:right w:type="dxa" w:w="100"/>
            </w:tcMar>
          </w:tcPr>
          <w:p>
            <w:r>
              <w:rPr>
                <w:b/>
                <w:bCs/>
                <w:sz w:val="20"/>
                <w:szCs w:val="20"/>
              </w:rPr>
              <w:t xml:space="preserve">Fully automated, no review</w:t>
            </w:r>
          </w:p>
        </w:tc>
        <w:tc>
          <w:tcPr>
            <w:tcW w:type="dxa" w:w="3266"/>
            <w:tcMar>
              <w:top w:type="dxa" w:w="80"/>
              <w:left w:type="dxa" w:w="100"/>
              <w:bottom w:type="dxa" w:w="80"/>
              <w:right w:type="dxa" w:w="100"/>
            </w:tcMar>
          </w:tcPr>
          <w:p>
            <w:r>
              <w:rPr>
                <w:sz w:val="20"/>
                <w:szCs w:val="20"/>
              </w:rPr>
              <w:t xml:space="preserve">LLM extraction is trusted and inserted directly</w:t>
            </w:r>
          </w:p>
        </w:tc>
        <w:tc>
          <w:tcPr>
            <w:tcW w:type="dxa" w:w="3266"/>
            <w:tcMar>
              <w:top w:type="dxa" w:w="80"/>
              <w:left w:type="dxa" w:w="100"/>
              <w:bottom w:type="dxa" w:w="80"/>
              <w:right w:type="dxa" w:w="100"/>
            </w:tcMar>
          </w:tcPr>
          <w:p>
            <w:r>
              <w:rPr>
                <w:b/>
                <w:bCs/>
                <w:sz w:val="20"/>
                <w:szCs w:val="20"/>
              </w:rPr>
              <w:t xml:space="preserve">Not recommended at any phase</w:t>
            </w:r>
            <w:r>
              <w:rPr>
                <w:sz w:val="20"/>
                <w:szCs w:val="20"/>
              </w:rPr>
              <w:t xml:space="preserve"> for this domain — an unreviewed extraction error becomes a silently wrong reward rate driving real financial recommendations</w:t>
            </w:r>
          </w:p>
        </w:tc>
      </w:tr>
    </w:tbl>
    <w:p>
      <w:pPr>
        <w:spacing w:after="200"/>
      </w:pPr>
    </w:p>
    <w:p>
      <w:pPr>
        <w:pStyle w:val="Heading2"/>
        <w:spacing w:after="140" w:before="260"/>
      </w:pPr>
      <w:r>
        <w:t xml:space="preserve">11.2 Validation Process</w:t>
      </w:r>
    </w:p>
    <w:p>
      <w:pPr>
        <w:spacing w:after="160" w:line="300"/>
      </w:pPr>
      <w:r>
        <w:t xml:space="preserve">Every extracted </w:t>
      </w:r>
      <w:r>
        <w:rPr>
          <w:rFonts w:ascii="Consolas" w:cs="Consolas" w:eastAsia="Consolas" w:hAnsi="Consolas"/>
          <w:shd w:fill="F0F0F0" w:val="clear"/>
        </w:rPr>
        <w:t xml:space="preserve">reward_rules</w:t>
      </w:r>
      <w:r>
        <w:t xml:space="preserve"> row carries a </w:t>
      </w:r>
      <w:r>
        <w:rPr>
          <w:rFonts w:ascii="Consolas" w:cs="Consolas" w:eastAsia="Consolas" w:hAnsi="Consolas"/>
          <w:shd w:fill="F0F0F0" w:val="clear"/>
        </w:rPr>
        <w:t xml:space="preserve">confidence_score</w:t>
      </w:r>
      <w:r>
        <w:t xml:space="preserve"> and a </w:t>
      </w:r>
      <w:r>
        <w:rPr>
          <w:rFonts w:ascii="Consolas" w:cs="Consolas" w:eastAsia="Consolas" w:hAnsi="Consolas"/>
          <w:shd w:fill="F0F0F0" w:val="clear"/>
        </w:rPr>
        <w:t xml:space="preserve">source_chunk_id</w:t>
      </w:r>
      <w:r>
        <w:t xml:space="preserve">. A row below a confidence threshold (whether extracted manually with self-reported low confidence, or by an AI-assisted pass) is flagged </w:t>
      </w:r>
      <w:r>
        <w:rPr>
          <w:rFonts w:ascii="Consolas" w:cs="Consolas" w:eastAsia="Consolas" w:hAnsi="Consolas"/>
          <w:shd w:fill="F0F0F0" w:val="clear"/>
        </w:rPr>
        <w:t xml:space="preserve">pending_review</w:t>
      </w:r>
      <w:r>
        <w:t xml:space="preserve"> and excluded from live retrieval until a human approves it — this is the data-side analog of the human-approval node on the user-facing side.</w:t>
      </w:r>
    </w:p>
    <w:p>
      <w:pPr>
        <w:pStyle w:val="Heading2"/>
        <w:spacing w:after="140" w:before="260"/>
      </w:pPr>
      <w:r>
        <w:t xml:space="preserve">11.3 Conflict Resolution</w:t>
      </w:r>
    </w:p>
    <w:p>
      <w:pPr>
        <w:spacing w:after="160" w:line="300"/>
      </w:pPr>
      <w:r>
        <w:t xml:space="preserve">When two chunks from the same card document appear to state different reward rates for the same category (a real occurrence, e.g., an "up to" headline rate vs. a category-capped effective rate), do not let extraction silently pick one — flag the conflict for human resolution and store both candidate rows with a </w:t>
      </w:r>
      <w:r>
        <w:rPr>
          <w:rFonts w:ascii="Consolas" w:cs="Consolas" w:eastAsia="Consolas" w:hAnsi="Consolas"/>
          <w:shd w:fill="F0F0F0" w:val="clear"/>
        </w:rPr>
        <w:t xml:space="preserve">conflict_flag</w:t>
      </w:r>
      <w:r>
        <w:t xml:space="preserve">, resolved before either becomes "active."</w:t>
      </w:r>
    </w:p>
    <w:p>
      <w:pPr>
        <w:pStyle w:val="Heading2"/>
        <w:spacing w:after="140" w:before="260"/>
      </w:pPr>
      <w:r>
        <w:t xml:space="preserve">11.4 Updating</w:t>
      </w:r>
    </w:p>
    <w:p>
      <w:pPr>
        <w:spacing w:after="160" w:line="300"/>
      </w:pPr>
      <w:r>
        <w:t xml:space="preserve">When a card's terms change (Section 6.5), extraction re-runs against the new document version only; previous </w:t>
      </w:r>
      <w:r>
        <w:rPr>
          <w:rFonts w:ascii="Consolas" w:cs="Consolas" w:eastAsia="Consolas" w:hAnsi="Consolas"/>
          <w:shd w:fill="F0F0F0" w:val="clear"/>
        </w:rPr>
        <w:t xml:space="preserve">reward_rules</w:t>
      </w:r>
      <w:r>
        <w:t xml:space="preserve"> rows are not deleted, just superseded (their governing </w:t>
      </w:r>
      <w:r>
        <w:rPr>
          <w:rFonts w:ascii="Consolas" w:cs="Consolas" w:eastAsia="Consolas" w:hAnsi="Consolas"/>
          <w:shd w:fill="F0F0F0" w:val="clear"/>
        </w:rPr>
        <w:t xml:space="preserve">card_documents.effective_date</w:t>
      </w:r>
      <w:r>
        <w:t xml:space="preserve"> puts them in the past for any query asking "what was true as of date X").</w:t>
      </w:r>
    </w:p>
    <w:p>
      <w:pPr>
        <w:pStyle w:val="Heading1"/>
        <w:pageBreakBefore/>
        <w:spacing w:after="180" w:before="360"/>
      </w:pPr>
      <w:bookmarkStart w:name="sec11" w:id="1"/>
      <w:r>
        <w:t xml:space="preserve">12. Backend Development Workflow</w:t>
      </w:r>
      <w:bookmarkEnd w:id="1"/>
    </w:p>
    <w:p>
      <w:pPr>
        <w:pStyle w:val="Heading2"/>
        <w:spacing w:after="140" w:before="260"/>
      </w:pPr>
      <w:r>
        <w:t xml:space="preserve">12.1 Recommended Implementation Order</w:t>
      </w:r>
    </w:p>
    <w:p>
      <w:pPr>
        <w:spacing w:after="160" w:line="300"/>
      </w:pPr>
      <w:r>
        <w:t xml:space="preserve">Build backend layers in this order — each step should be independently testable before moving to the next:</w:t>
      </w:r>
    </w:p>
    <w:p>
      <w:pPr>
        <w:pStyle w:val="ListParagraph"/>
        <w:numPr>
          <w:ilvl w:val="0"/>
          <w:numId w:val="2"/>
        </w:numPr>
        <w:spacing w:after="80" w:line="290"/>
      </w:pPr>
      <w:r>
        <w:rPr>
          <w:b/>
          <w:bCs/>
        </w:rPr>
        <w:t xml:space="preserve">Configuration</w:t>
      </w:r>
      <w:r>
        <w:t xml:space="preserve"> (</w:t>
      </w:r>
      <w:r>
        <w:rPr>
          <w:rFonts w:ascii="Consolas" w:cs="Consolas" w:eastAsia="Consolas" w:hAnsi="Consolas"/>
          <w:shd w:fill="F0F0F0" w:val="clear"/>
        </w:rPr>
        <w:t xml:space="preserve">config.py</w:t>
      </w:r>
      <w:r>
        <w:t xml:space="preserve">, Pydantic Settings) — nothing else can be tested without this existing first.</w:t>
      </w:r>
    </w:p>
    <w:p>
      <w:pPr>
        <w:pStyle w:val="ListParagraph"/>
        <w:numPr>
          <w:ilvl w:val="0"/>
          <w:numId w:val="2"/>
        </w:numPr>
        <w:spacing w:after="80" w:line="290"/>
      </w:pPr>
      <w:r>
        <w:rPr>
          <w:b/>
          <w:bCs/>
        </w:rPr>
        <w:t xml:space="preserve">Database</w:t>
      </w:r>
      <w:r>
        <w:t xml:space="preserve"> (models, migrations) — the schema is the contract everything else depends on.</w:t>
      </w:r>
    </w:p>
    <w:p>
      <w:pPr>
        <w:pStyle w:val="ListParagraph"/>
        <w:numPr>
          <w:ilvl w:val="0"/>
          <w:numId w:val="2"/>
        </w:numPr>
        <w:spacing w:after="80" w:line="290"/>
      </w:pPr>
      <w:r>
        <w:rPr>
          <w:b/>
          <w:bCs/>
        </w:rPr>
        <w:t xml:space="preserve">Repositories</w:t>
      </w:r>
      <w:r>
        <w:t xml:space="preserve"> (thin data-access functions/classes wrapping SQLAlchemy queries) — isolates SQL from business logic.</w:t>
      </w:r>
    </w:p>
    <w:p>
      <w:pPr>
        <w:pStyle w:val="ListParagraph"/>
        <w:numPr>
          <w:ilvl w:val="0"/>
          <w:numId w:val="2"/>
        </w:numPr>
        <w:spacing w:after="80" w:line="290"/>
      </w:pPr>
      <w:r>
        <w:rPr>
          <w:b/>
          <w:bCs/>
        </w:rPr>
        <w:t xml:space="preserve">Tools</w:t>
      </w:r>
      <w:r>
        <w:t xml:space="preserve"> (</w:t>
      </w:r>
      <w:r>
        <w:rPr>
          <w:rFonts w:ascii="Consolas" w:cs="Consolas" w:eastAsia="Consolas" w:hAnsi="Consolas"/>
          <w:shd w:fill="F0F0F0" w:val="clear"/>
        </w:rPr>
        <w:t xml:space="preserve">calculator.py</w:t>
      </w:r>
      <w:r>
        <w:t xml:space="preserve">, </w:t>
      </w:r>
      <w:r>
        <w:rPr>
          <w:rFonts w:ascii="Consolas" w:cs="Consolas" w:eastAsia="Consolas" w:hAnsi="Consolas"/>
          <w:shd w:fill="F0F0F0" w:val="clear"/>
        </w:rPr>
        <w:t xml:space="preserve">retriever.py</w:t>
      </w:r>
      <w:r>
        <w:t xml:space="preserve">) — pure functions, unit-testable in complete isolation from the database and the LLM.</w:t>
      </w:r>
    </w:p>
    <w:p>
      <w:pPr>
        <w:pStyle w:val="ListParagraph"/>
        <w:numPr>
          <w:ilvl w:val="0"/>
          <w:numId w:val="2"/>
        </w:numPr>
        <w:spacing w:after="80" w:line="290"/>
      </w:pPr>
      <w:r>
        <w:rPr>
          <w:b/>
          <w:bCs/>
        </w:rPr>
        <w:t xml:space="preserve">Services</w:t>
      </w:r>
      <w:r>
        <w:t xml:space="preserve"> (business logic that composes repositories + tools, e.g., "given a query, produce a recommendation") — this is where retrieval + calculation + comparison get orchestrated </w:t>
      </w:r>
      <w:r>
        <w:rPr>
          <w:i/>
          <w:iCs/>
        </w:rPr>
        <w:t xml:space="preserve">before</w:t>
      </w:r>
      <w:r>
        <w:t xml:space="preserve"> wrapping in LangGraph, which is a deliberate sequencing choice: prove the logic works as plain function calls before adding agent-graph complexity on top.</w:t>
      </w:r>
    </w:p>
    <w:p>
      <w:pPr>
        <w:pStyle w:val="ListParagraph"/>
        <w:numPr>
          <w:ilvl w:val="0"/>
          <w:numId w:val="2"/>
        </w:numPr>
        <w:spacing w:after="80" w:line="290"/>
      </w:pPr>
      <w:r>
        <w:rPr>
          <w:b/>
          <w:bCs/>
        </w:rPr>
        <w:t xml:space="preserve">Agent graph</w:t>
      </w:r>
      <w:r>
        <w:t xml:space="preserve"> (LangGraph wrapping the services as tools/nodes) — Section 13–14.</w:t>
      </w:r>
    </w:p>
    <w:p>
      <w:pPr>
        <w:pStyle w:val="ListParagraph"/>
        <w:numPr>
          <w:ilvl w:val="0"/>
          <w:numId w:val="2"/>
        </w:numPr>
        <w:spacing w:after="80" w:line="290"/>
      </w:pPr>
      <w:r>
        <w:rPr>
          <w:b/>
          <w:bCs/>
        </w:rPr>
        <w:t xml:space="preserve">API layer</w:t>
      </w:r>
      <w:r>
        <w:t xml:space="preserve"> (FastAPI routes calling the agent graph) — Section 16.</w:t>
      </w:r>
    </w:p>
    <w:p>
      <w:pPr>
        <w:pStyle w:val="ListParagraph"/>
        <w:numPr>
          <w:ilvl w:val="0"/>
          <w:numId w:val="2"/>
        </w:numPr>
        <w:spacing w:after="80" w:line="290"/>
      </w:pPr>
      <w:r>
        <w:rPr>
          <w:b/>
          <w:bCs/>
        </w:rPr>
        <w:t xml:space="preserve">Authentication</w:t>
      </w:r>
      <w:r>
        <w:t xml:space="preserve"> — added once there's a real multi-user concern (Stage 2+, per the architecture document's FR-1).</w:t>
      </w:r>
    </w:p>
    <w:p>
      <w:pPr>
        <w:pStyle w:val="ListParagraph"/>
        <w:numPr>
          <w:ilvl w:val="0"/>
          <w:numId w:val="2"/>
        </w:numPr>
        <w:spacing w:after="80" w:line="290"/>
      </w:pPr>
      <w:r>
        <w:rPr>
          <w:b/>
          <w:bCs/>
        </w:rPr>
        <w:t xml:space="preserve">Logging &amp; error handling</w:t>
      </w:r>
      <w:r>
        <w:t xml:space="preserve"> — woven in throughout, but hardened as an explicit pass at the end of each phase, not left until Phase 4.</w:t>
      </w:r>
    </w:p>
    <w:p>
      <w:pPr>
        <w:spacing w:after="160" w:line="300"/>
      </w:pPr>
      <w:r>
        <w:rPr>
          <w:b/>
          <w:bCs/>
        </w:rPr>
        <w:t xml:space="preserve">Why this order:</w:t>
      </w:r>
      <w:r>
        <w:t xml:space="preserve"> the single biggest risk-reduction move is step 5 — validating that retrieval + calculation logic is correct as plain, synchronous, debuggable Python function calls </w:t>
      </w:r>
      <w:r>
        <w:rPr>
          <w:i/>
          <w:iCs/>
        </w:rPr>
        <w:t xml:space="preserve">before</w:t>
      </w:r>
      <w:r>
        <w:t xml:space="preserve"> it's wrapped in an agent graph, where a bug can hide behind non-deterministic LLM behavior and be much harder to isolate.</w:t>
      </w:r>
    </w:p>
    <w:p>
      <w:pPr>
        <w:pStyle w:val="Heading2"/>
        <w:spacing w:after="140" w:before="260"/>
      </w:pPr>
      <w:r>
        <w:t xml:space="preserve">12.2 Error Handling Philosophy</w:t>
      </w:r>
    </w:p>
    <w:p>
      <w:pPr>
        <w:spacing w:after="160" w:line="300"/>
      </w:pPr>
      <w:r>
        <w:t xml:space="preserve">Distinguish three error classes explicitly in code, not just in prose:</w:t>
      </w:r>
    </w:p>
    <w:p>
      <w:pPr>
        <w:pStyle w:val="ListParagraph"/>
        <w:numPr>
          <w:ilvl w:val="0"/>
          <w:numId w:val="1"/>
        </w:numPr>
        <w:spacing w:after="80" w:line="290"/>
      </w:pPr>
      <w:r>
        <w:rPr>
          <w:b/>
          <w:bCs/>
        </w:rPr>
        <w:t xml:space="preserve">Validation errors</w:t>
      </w:r>
      <w:r>
        <w:t xml:space="preserve"> (bad input, e.g., negative spend) → HTTP 422, never reach the agent.</w:t>
      </w:r>
    </w:p>
    <w:p>
      <w:pPr>
        <w:pStyle w:val="ListParagraph"/>
        <w:numPr>
          <w:ilvl w:val="0"/>
          <w:numId w:val="1"/>
        </w:numPr>
        <w:spacing w:after="80" w:line="290"/>
      </w:pPr>
      <w:r>
        <w:rPr>
          <w:b/>
          <w:bCs/>
        </w:rPr>
        <w:t xml:space="preserve">Domain refusals</w:t>
      </w:r>
      <w:r>
        <w:t xml:space="preserve"> (insufficient retrieved evidence) → a normal, successful response whose content is "I don't have enough information" — this is a </w:t>
      </w:r>
      <w:r>
        <w:rPr>
          <w:i/>
          <w:iCs/>
        </w:rPr>
        <w:t xml:space="preserve">feature</w:t>
      </w:r>
      <w:r>
        <w:t xml:space="preserve">, not an error, and must not be implemented as an exception/500.</w:t>
      </w:r>
    </w:p>
    <w:p>
      <w:pPr>
        <w:pStyle w:val="ListParagraph"/>
        <w:numPr>
          <w:ilvl w:val="0"/>
          <w:numId w:val="1"/>
        </w:numPr>
        <w:spacing w:after="80" w:line="290"/>
      </w:pPr>
      <w:r>
        <w:rPr>
          <w:b/>
          <w:bCs/>
        </w:rPr>
        <w:t xml:space="preserve">System failures</w:t>
      </w:r>
      <w:r>
        <w:t xml:space="preserve"> (DB down, LLM API down) → HTTP 503 with a clear message; retried with backoff at the service layer before surfacing to the user.</w:t>
      </w:r>
    </w:p>
    <w:p>
      <w:pPr>
        <w:pStyle w:val="Heading1"/>
        <w:pageBreakBefore/>
        <w:spacing w:after="180" w:before="360"/>
      </w:pPr>
      <w:bookmarkStart w:name="sec12" w:id="1"/>
      <w:r>
        <w:t xml:space="preserve">13. AI Agent Development Workflow</w:t>
      </w:r>
      <w:bookmarkEnd w:id="1"/>
    </w:p>
    <w:p>
      <w:pPr>
        <w:pStyle w:val="Heading2"/>
        <w:spacing w:after="140" w:before="260"/>
      </w:pPr>
      <w:r>
        <w:t xml:space="preserve">13.1 Recommended Build Order</w:t>
      </w:r>
    </w:p>
    <w:p>
      <w:pPr>
        <w:spacing w:after="160" w:line="300"/>
      </w:pPr>
      <w:r>
        <w:t xml:space="preserve">Build and test agent components </w:t>
      </w:r>
      <w:r>
        <w:rPr>
          <w:b/>
          <w:bCs/>
        </w:rPr>
        <w:t xml:space="preserve">bottom-up</w:t>
      </w:r>
      <w:r>
        <w:t xml:space="preserve"> — tools and validators before the LLM-driven nodes that call them, so that when something goes wrong you already know the deterministic layer is correct and can focus debugging on the non-deterministic layer:</w:t>
      </w:r>
    </w:p>
    <w:p>
      <w:pPr>
        <w:pStyle w:val="ListParagraph"/>
        <w:numPr>
          <w:ilvl w:val="0"/>
          <w:numId w:val="2"/>
        </w:numPr>
        <w:spacing w:after="80" w:line="290"/>
      </w:pPr>
      <w:r>
        <w:rPr>
          <w:b/>
          <w:bCs/>
        </w:rPr>
        <w:t xml:space="preserve">Calculator tool</w:t>
      </w:r>
      <w:r>
        <w:t xml:space="preserve"> — fully deterministic, no LLM involved; write exhaustive unit tests first (Section 18). This is the foundation everything else calls.</w:t>
      </w:r>
    </w:p>
    <w:p>
      <w:pPr>
        <w:pStyle w:val="ListParagraph"/>
        <w:numPr>
          <w:ilvl w:val="0"/>
          <w:numId w:val="2"/>
        </w:numPr>
        <w:spacing w:after="80" w:line="290"/>
      </w:pPr>
      <w:r>
        <w:rPr>
          <w:b/>
          <w:bCs/>
        </w:rPr>
        <w:t xml:space="preserve">Retriever</w:t>
      </w:r>
      <w:r>
        <w:t xml:space="preserve"> — wraps vector search; testable against the golden set's expected-chunk annotations without any LLM in the loop.</w:t>
      </w:r>
    </w:p>
    <w:p>
      <w:pPr>
        <w:pStyle w:val="ListParagraph"/>
        <w:numPr>
          <w:ilvl w:val="0"/>
          <w:numId w:val="2"/>
        </w:numPr>
        <w:spacing w:after="80" w:line="290"/>
      </w:pPr>
      <w:r>
        <w:rPr>
          <w:b/>
          <w:bCs/>
        </w:rPr>
        <w:t xml:space="preserve">Rule validator</w:t>
      </w:r>
      <w:r>
        <w:t xml:space="preserve"> — a mostly-deterministic check ("is there at least one chunk above threshold that mentions this category") with a thin LLM-assisted layer only for ambiguous cases; build the deterministic check first.</w:t>
      </w:r>
    </w:p>
    <w:p>
      <w:pPr>
        <w:pStyle w:val="ListParagraph"/>
        <w:numPr>
          <w:ilvl w:val="0"/>
          <w:numId w:val="2"/>
        </w:numPr>
        <w:spacing w:after="80" w:line="290"/>
      </w:pPr>
      <w:r>
        <w:rPr>
          <w:b/>
          <w:bCs/>
        </w:rPr>
        <w:t xml:space="preserve">Intent classifier</w:t>
      </w:r>
      <w:r>
        <w:t xml:space="preserve"> — first LLM-dependent component; small, focused prompt with a constrained output schema (an enum of intents), evaluated against a labeled test set before wiring into the graph.</w:t>
      </w:r>
    </w:p>
    <w:p>
      <w:pPr>
        <w:pStyle w:val="ListParagraph"/>
        <w:numPr>
          <w:ilvl w:val="0"/>
          <w:numId w:val="2"/>
        </w:numPr>
        <w:spacing w:after="80" w:line="290"/>
      </w:pPr>
      <w:r>
        <w:rPr>
          <w:b/>
          <w:bCs/>
        </w:rPr>
        <w:t xml:space="preserve">Comparison engine</w:t>
      </w:r>
      <w:r>
        <w:t xml:space="preserve"> — mostly arithmetic (calls the calculator per candidate card) plus a thin LLM layer for ranking/formatting; build the arithmetic core first, standalone.</w:t>
      </w:r>
    </w:p>
    <w:p>
      <w:pPr>
        <w:pStyle w:val="ListParagraph"/>
        <w:numPr>
          <w:ilvl w:val="0"/>
          <w:numId w:val="2"/>
        </w:numPr>
        <w:spacing w:after="80" w:line="290"/>
      </w:pPr>
      <w:r>
        <w:rPr>
          <w:b/>
          <w:bCs/>
        </w:rPr>
        <w:t xml:space="preserve">Clarification node</w:t>
      </w:r>
      <w:r>
        <w:t xml:space="preserve"> — LLM-generated follow-up questions, gated by the intent classifier's ambiguity signal.</w:t>
      </w:r>
    </w:p>
    <w:p>
      <w:pPr>
        <w:pStyle w:val="ListParagraph"/>
        <w:numPr>
          <w:ilvl w:val="0"/>
          <w:numId w:val="2"/>
        </w:numPr>
        <w:spacing w:after="80" w:line="290"/>
      </w:pPr>
      <w:r>
        <w:rPr>
          <w:b/>
          <w:bCs/>
        </w:rPr>
        <w:t xml:space="preserve">Memory</w:t>
      </w:r>
      <w:r>
        <w:t xml:space="preserve"> — start with the simplest viable mechanism (session-scoped state dict) before building the cross-session </w:t>
      </w:r>
      <w:r>
        <w:rPr>
          <w:rFonts w:ascii="Consolas" w:cs="Consolas" w:eastAsia="Consolas" w:hAnsi="Consolas"/>
          <w:shd w:fill="F0F0F0" w:val="clear"/>
        </w:rPr>
        <w:t xml:space="preserve">conversation_summary</w:t>
      </w:r>
      <w:r>
        <w:t xml:space="preserve"> persistence.</w:t>
      </w:r>
    </w:p>
    <w:p>
      <w:pPr>
        <w:pStyle w:val="ListParagraph"/>
        <w:numPr>
          <w:ilvl w:val="0"/>
          <w:numId w:val="2"/>
        </w:numPr>
        <w:spacing w:after="80" w:line="290"/>
      </w:pPr>
      <w:r>
        <w:rPr>
          <w:b/>
          <w:bCs/>
        </w:rPr>
        <w:t xml:space="preserve">Guardrails</w:t>
      </w:r>
      <w:r>
        <w:t xml:space="preserve"> — a dedicated, independently unit-tested node (Section 14) that runs </w:t>
      </w:r>
      <w:r>
        <w:rPr>
          <w:i/>
          <w:iCs/>
        </w:rPr>
        <w:t xml:space="preserve">after</w:t>
      </w:r>
      <w:r>
        <w:t xml:space="preserve"> generation, checking the draft answer against retrieved evidence programmatically.</w:t>
      </w:r>
    </w:p>
    <w:p>
      <w:pPr>
        <w:pStyle w:val="ListParagraph"/>
        <w:numPr>
          <w:ilvl w:val="0"/>
          <w:numId w:val="2"/>
        </w:numPr>
        <w:spacing w:after="80" w:line="290"/>
      </w:pPr>
      <w:r>
        <w:rPr>
          <w:b/>
          <w:bCs/>
        </w:rPr>
        <w:t xml:space="preserve">Human approval</w:t>
      </w:r>
      <w:r>
        <w:t xml:space="preserve"> — the interrupt/resume flow; build last among the "control" nodes since it depends on the transfer-calculation path being stable first.</w:t>
      </w:r>
    </w:p>
    <w:p>
      <w:pPr>
        <w:pStyle w:val="ListParagraph"/>
        <w:numPr>
          <w:ilvl w:val="0"/>
          <w:numId w:val="2"/>
        </w:numPr>
        <w:spacing w:after="80" w:line="290"/>
      </w:pPr>
      <w:r>
        <w:rPr>
          <w:b/>
          <w:bCs/>
        </w:rPr>
        <w:t xml:space="preserve">Final response generator</w:t>
      </w:r>
      <w:r>
        <w:t xml:space="preserve"> — the actual answer-composition prompt; deliberately built last so it has every upstream signal (rules, calculation, comparison, guardrail result, confidence) available to reference, rather than being designed against a guess of what will exist.</w:t>
      </w:r>
    </w:p>
    <w:p>
      <w:pPr>
        <w:pStyle w:val="Heading2"/>
        <w:spacing w:after="140" w:before="260"/>
      </w:pPr>
      <w:r>
        <w:t xml:space="preserve">13.2 Why Bottom-Up, Not Top-Down</w:t>
      </w:r>
    </w:p>
    <w:p>
      <w:pPr>
        <w:spacing w:after="160" w:line="300"/>
      </w:pPr>
      <w:r>
        <w:t xml:space="preserve">A team that starts by writing the "orchestrator" prompt first (a common instinct — "get the agent talking, then wire in real tools") ends up debugging two unknowns simultaneously: is the LLM's tool-selection reasoning wrong, or is the tool itself wrong? Building deterministic tools first and validating them independently means that by the time you wire up the LLM-driven nodes, any bug you see is very likely to be in the LLM's reasoning or prompt — a much narrower, faster debugging loop.</w:t>
      </w:r>
    </w:p>
    <w:p>
      <w:pPr>
        <w:pStyle w:val="Heading1"/>
        <w:pageBreakBefore/>
        <w:spacing w:after="180" w:before="360"/>
      </w:pPr>
      <w:bookmarkStart w:name="sec13" w:id="1"/>
      <w:r>
        <w:t xml:space="preserve">14. LangGraph Workflow</w:t>
      </w:r>
      <w:bookmarkEnd w:id="1"/>
    </w:p>
    <w:p>
      <w:pPr>
        <w:spacing w:after="160" w:line="300"/>
      </w:pPr>
      <w:r>
        <w:t xml:space="preserve">The node design mirrors the architecture document's Section 14, with implementation-level detail on state, retries, and recovery added here.</w:t>
      </w:r>
    </w:p>
    <w:p>
      <w:pPr>
        <w:pStyle w:val="Heading2"/>
        <w:spacing w:after="140" w:before="260"/>
      </w:pPr>
      <w:r>
        <w:t xml:space="preserve">14.1 Node-by-Node Implementation Notes</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gridCol w:w="100"/>
      </w:tblGrid>
      <w:tr>
        <w:trPr>
          <w:tblHeader/>
        </w:trPr>
        <w:tc>
          <w:tcPr>
            <w:tcW w:type="dxa" w:w="2800"/>
            <w:shd w:fill="1F4E79" w:color="auto" w:val="clear"/>
            <w:tcMar>
              <w:top w:type="dxa" w:w="80"/>
              <w:left w:type="dxa" w:w="100"/>
              <w:bottom w:type="dxa" w:w="80"/>
              <w:right w:type="dxa" w:w="100"/>
            </w:tcMar>
          </w:tcPr>
          <w:p>
            <w:r>
              <w:rPr>
                <w:b/>
                <w:bCs/>
                <w:color w:val="FFFFFF"/>
                <w:sz w:val="20"/>
                <w:szCs w:val="20"/>
              </w:rPr>
              <w:t xml:space="preserve">Node</w:t>
            </w:r>
          </w:p>
        </w:tc>
        <w:tc>
          <w:tcPr>
            <w:tcW w:type="dxa" w:w="1400"/>
            <w:shd w:fill="1F4E79" w:color="auto" w:val="clear"/>
            <w:tcMar>
              <w:top w:type="dxa" w:w="80"/>
              <w:left w:type="dxa" w:w="100"/>
              <w:bottom w:type="dxa" w:w="80"/>
              <w:right w:type="dxa" w:w="100"/>
            </w:tcMar>
          </w:tcPr>
          <w:p>
            <w:r>
              <w:rPr>
                <w:b/>
                <w:bCs/>
                <w:color w:val="FFFFFF"/>
                <w:sz w:val="20"/>
                <w:szCs w:val="20"/>
              </w:rPr>
              <w:t xml:space="preserve">Inputs (from state)</w:t>
            </w:r>
          </w:p>
        </w:tc>
        <w:tc>
          <w:tcPr>
            <w:tcW w:type="dxa" w:w="1400"/>
            <w:shd w:fill="1F4E79" w:color="auto" w:val="clear"/>
            <w:tcMar>
              <w:top w:type="dxa" w:w="80"/>
              <w:left w:type="dxa" w:w="100"/>
              <w:bottom w:type="dxa" w:w="80"/>
              <w:right w:type="dxa" w:w="100"/>
            </w:tcMar>
          </w:tcPr>
          <w:p>
            <w:r>
              <w:rPr>
                <w:b/>
                <w:bCs/>
                <w:color w:val="FFFFFF"/>
                <w:sz w:val="20"/>
                <w:szCs w:val="20"/>
              </w:rPr>
              <w:t xml:space="preserve">Outputs (to state)</w:t>
            </w:r>
          </w:p>
        </w:tc>
        <w:tc>
          <w:tcPr>
            <w:tcW w:type="dxa" w:w="1400"/>
            <w:shd w:fill="1F4E79" w:color="auto" w:val="clear"/>
            <w:tcMar>
              <w:top w:type="dxa" w:w="80"/>
              <w:left w:type="dxa" w:w="100"/>
              <w:bottom w:type="dxa" w:w="80"/>
              <w:right w:type="dxa" w:w="100"/>
            </w:tcMar>
          </w:tcPr>
          <w:p>
            <w:r>
              <w:rPr>
                <w:b/>
                <w:bCs/>
                <w:color w:val="FFFFFF"/>
                <w:sz w:val="20"/>
                <w:szCs w:val="20"/>
              </w:rPr>
              <w:t xml:space="preserve">Transitions</w:t>
            </w:r>
          </w:p>
        </w:tc>
        <w:tc>
          <w:tcPr>
            <w:tcW w:type="dxa" w:w="2800"/>
            <w:shd w:fill="1F4E79" w:color="auto" w:val="clear"/>
            <w:tcMar>
              <w:top w:type="dxa" w:w="80"/>
              <w:left w:type="dxa" w:w="100"/>
              <w:bottom w:type="dxa" w:w="80"/>
              <w:right w:type="dxa" w:w="100"/>
            </w:tcMar>
          </w:tcPr>
          <w:p>
            <w:r>
              <w:rPr>
                <w:b/>
                <w:bCs/>
                <w:color w:val="FFFFFF"/>
                <w:sz w:val="20"/>
                <w:szCs w:val="20"/>
              </w:rPr>
              <w:t xml:space="preserve">Retries/Fallbacks</w:t>
            </w:r>
          </w:p>
        </w:tc>
      </w:tr>
      <w:tr>
        <w:trPr>
          <w:tblHeader w:val="false"/>
        </w:trPr>
        <w:tc>
          <w:tcPr>
            <w:tcW w:type="dxa" w:w="2800"/>
            <w:tcMar>
              <w:top w:type="dxa" w:w="80"/>
              <w:left w:type="dxa" w:w="100"/>
              <w:bottom w:type="dxa" w:w="80"/>
              <w:right w:type="dxa" w:w="100"/>
            </w:tcMar>
          </w:tcPr>
          <w:p>
            <w:r>
              <w:rPr>
                <w:sz w:val="20"/>
                <w:szCs w:val="20"/>
              </w:rPr>
              <w:t xml:space="preserve">Intent Classification</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user_query</w:t>
            </w:r>
            <w:r>
              <w:rPr>
                <w:sz w:val="20"/>
                <w:szCs w:val="20"/>
              </w:rPr>
              <w:t xml:space="preserve">, </w:t>
            </w:r>
            <w:r>
              <w:rPr>
                <w:rFonts w:ascii="Consolas" w:cs="Consolas" w:eastAsia="Consolas" w:hAnsi="Consolas"/>
                <w:sz w:val="20"/>
                <w:szCs w:val="20"/>
                <w:shd w:fill="F0F0F0" w:val="clear"/>
              </w:rPr>
              <w:t xml:space="preserve">conversation_summary</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intent</w:t>
            </w:r>
            <w:r>
              <w:rPr>
                <w:sz w:val="20"/>
                <w:szCs w:val="20"/>
              </w:rPr>
              <w:t xml:space="preserve">, </w:t>
            </w:r>
            <w:r>
              <w:rPr>
                <w:rFonts w:ascii="Consolas" w:cs="Consolas" w:eastAsia="Consolas" w:hAnsi="Consolas"/>
                <w:sz w:val="20"/>
                <w:szCs w:val="20"/>
                <w:shd w:fill="F0F0F0" w:val="clear"/>
              </w:rPr>
              <w:t xml:space="preserve">intent_confidence</w:t>
            </w:r>
          </w:p>
        </w:tc>
        <w:tc>
          <w:tcPr>
            <w:tcW w:type="dxa" w:w="1400"/>
            <w:tcMar>
              <w:top w:type="dxa" w:w="80"/>
              <w:left w:type="dxa" w:w="100"/>
              <w:bottom w:type="dxa" w:w="80"/>
              <w:right w:type="dxa" w:w="100"/>
            </w:tcMar>
          </w:tcPr>
          <w:p>
            <w:r>
              <w:rPr>
                <w:sz w:val="20"/>
                <w:szCs w:val="20"/>
              </w:rPr>
              <w:t xml:space="preserve">→ Clarification if </w:t>
            </w:r>
            <w:r>
              <w:rPr>
                <w:rFonts w:ascii="Consolas" w:cs="Consolas" w:eastAsia="Consolas" w:hAnsi="Consolas"/>
                <w:sz w:val="20"/>
                <w:szCs w:val="20"/>
                <w:shd w:fill="F0F0F0" w:val="clear"/>
              </w:rPr>
              <w:t xml:space="preserve">intent_confidence</w:t>
            </w:r>
            <w:r>
              <w:rPr>
                <w:sz w:val="20"/>
                <w:szCs w:val="20"/>
              </w:rPr>
              <w:t xml:space="preserve"> &lt; threshold, else → Retrieval</w:t>
            </w:r>
          </w:p>
        </w:tc>
        <w:tc>
          <w:tcPr>
            <w:tcW w:type="dxa" w:w="2800"/>
            <w:tcMar>
              <w:top w:type="dxa" w:w="80"/>
              <w:left w:type="dxa" w:w="100"/>
              <w:bottom w:type="dxa" w:w="80"/>
              <w:right w:type="dxa" w:w="100"/>
            </w:tcMar>
          </w:tcPr>
          <w:p>
            <w:r>
              <w:rPr>
                <w:sz w:val="20"/>
                <w:szCs w:val="20"/>
              </w:rPr>
              <w:t xml:space="preserve">On LLM API failure: 2 retries with exponential backoff, then fail the request with a 503 (never silently default to a guessed intent)</w:t>
            </w:r>
          </w:p>
        </w:tc>
      </w:tr>
      <w:tr>
        <w:trPr>
          <w:tblHeader w:val="false"/>
        </w:trPr>
        <w:tc>
          <w:tcPr>
            <w:tcW w:type="dxa" w:w="2800"/>
            <w:tcMar>
              <w:top w:type="dxa" w:w="80"/>
              <w:left w:type="dxa" w:w="100"/>
              <w:bottom w:type="dxa" w:w="80"/>
              <w:right w:type="dxa" w:w="100"/>
            </w:tcMar>
          </w:tcPr>
          <w:p>
            <w:r>
              <w:rPr>
                <w:sz w:val="20"/>
                <w:szCs w:val="20"/>
              </w:rPr>
              <w:t xml:space="preserve">Clarification</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intent</w:t>
            </w:r>
            <w:r>
              <w:rPr>
                <w:sz w:val="20"/>
                <w:szCs w:val="20"/>
              </w:rPr>
              <w:t xml:space="preserve">, </w:t>
            </w:r>
            <w:r>
              <w:rPr>
                <w:rFonts w:ascii="Consolas" w:cs="Consolas" w:eastAsia="Consolas" w:hAnsi="Consolas"/>
                <w:sz w:val="20"/>
                <w:szCs w:val="20"/>
                <w:shd w:fill="F0F0F0" w:val="clear"/>
              </w:rPr>
              <w:t xml:space="preserve">pending_question</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follow_up_question</w:t>
            </w:r>
          </w:p>
        </w:tc>
        <w:tc>
          <w:tcPr>
            <w:tcW w:type="dxa" w:w="1400"/>
            <w:tcMar>
              <w:top w:type="dxa" w:w="80"/>
              <w:left w:type="dxa" w:w="100"/>
              <w:bottom w:type="dxa" w:w="80"/>
              <w:right w:type="dxa" w:w="100"/>
            </w:tcMar>
          </w:tcPr>
          <w:p>
            <w:r>
              <w:rPr>
                <w:sz w:val="20"/>
                <w:szCs w:val="20"/>
              </w:rPr>
              <w:t xml:space="preserve">→ back to Intent Classification once user responds</w:t>
            </w:r>
          </w:p>
        </w:tc>
        <w:tc>
          <w:tcPr>
            <w:tcW w:type="dxa" w:w="2800"/>
            <w:tcMar>
              <w:top w:type="dxa" w:w="80"/>
              <w:left w:type="dxa" w:w="100"/>
              <w:bottom w:type="dxa" w:w="80"/>
              <w:right w:type="dxa" w:w="100"/>
            </w:tcMar>
          </w:tcPr>
          <w:p>
            <w:r>
              <w:rPr>
                <w:sz w:val="20"/>
                <w:szCs w:val="20"/>
              </w:rPr>
              <w:t xml:space="preserve">Max 1 clarification round; after that, proceed with the broadest reasonable interpretation rather than looping indefinitely (loop-prevention)</w:t>
            </w:r>
          </w:p>
        </w:tc>
      </w:tr>
      <w:tr>
        <w:trPr>
          <w:tblHeader w:val="false"/>
        </w:trPr>
        <w:tc>
          <w:tcPr>
            <w:tcW w:type="dxa" w:w="2800"/>
            <w:tcMar>
              <w:top w:type="dxa" w:w="80"/>
              <w:left w:type="dxa" w:w="100"/>
              <w:bottom w:type="dxa" w:w="80"/>
              <w:right w:type="dxa" w:w="100"/>
            </w:tcMar>
          </w:tcPr>
          <w:p>
            <w:r>
              <w:rPr>
                <w:sz w:val="20"/>
                <w:szCs w:val="20"/>
              </w:rPr>
              <w:t xml:space="preserve">Retrieval</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user_query</w:t>
            </w:r>
            <w:r>
              <w:rPr>
                <w:sz w:val="20"/>
                <w:szCs w:val="20"/>
              </w:rPr>
              <w:t xml:space="preserve">, </w:t>
            </w:r>
            <w:r>
              <w:rPr>
                <w:rFonts w:ascii="Consolas" w:cs="Consolas" w:eastAsia="Consolas" w:hAnsi="Consolas"/>
                <w:sz w:val="20"/>
                <w:szCs w:val="20"/>
                <w:shd w:fill="F0F0F0" w:val="clear"/>
              </w:rPr>
              <w:t xml:space="preserve">cards_owned</w:t>
            </w:r>
            <w:r>
              <w:rPr>
                <w:sz w:val="20"/>
                <w:szCs w:val="20"/>
              </w:rPr>
              <w:t xml:space="preserve"> filter</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retrieved_chunks</w:t>
            </w:r>
          </w:p>
        </w:tc>
        <w:tc>
          <w:tcPr>
            <w:tcW w:type="dxa" w:w="1400"/>
            <w:tcMar>
              <w:top w:type="dxa" w:w="80"/>
              <w:left w:type="dxa" w:w="100"/>
              <w:bottom w:type="dxa" w:w="80"/>
              <w:right w:type="dxa" w:w="100"/>
            </w:tcMar>
          </w:tcPr>
          <w:p>
            <w:r>
              <w:rPr>
                <w:sz w:val="20"/>
                <w:szCs w:val="20"/>
              </w:rPr>
              <w:t xml:space="preserve">→ Rule Validation</w:t>
            </w:r>
          </w:p>
        </w:tc>
        <w:tc>
          <w:tcPr>
            <w:tcW w:type="dxa" w:w="2800"/>
            <w:tcMar>
              <w:top w:type="dxa" w:w="80"/>
              <w:left w:type="dxa" w:w="100"/>
              <w:bottom w:type="dxa" w:w="80"/>
              <w:right w:type="dxa" w:w="100"/>
            </w:tcMar>
          </w:tcPr>
          <w:p>
            <w:r>
              <w:rPr>
                <w:sz w:val="20"/>
                <w:szCs w:val="20"/>
              </w:rPr>
              <w:t xml:space="preserve">On vector store timeout: 2 retries, then surface a 503 — never fall back to answering from the LLM's parametric memory</w:t>
            </w:r>
          </w:p>
        </w:tc>
      </w:tr>
      <w:tr>
        <w:trPr>
          <w:tblHeader w:val="false"/>
        </w:trPr>
        <w:tc>
          <w:tcPr>
            <w:tcW w:type="dxa" w:w="2800"/>
            <w:tcMar>
              <w:top w:type="dxa" w:w="80"/>
              <w:left w:type="dxa" w:w="100"/>
              <w:bottom w:type="dxa" w:w="80"/>
              <w:right w:type="dxa" w:w="100"/>
            </w:tcMar>
          </w:tcPr>
          <w:p>
            <w:r>
              <w:rPr>
                <w:sz w:val="20"/>
                <w:szCs w:val="20"/>
              </w:rPr>
              <w:t xml:space="preserve">Rule Validation</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retrieved_chunks</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evidence_sufficient</w:t>
            </w:r>
            <w:r>
              <w:rPr>
                <w:sz w:val="20"/>
                <w:szCs w:val="20"/>
              </w:rPr>
              <w:t xml:space="preserve"> (bool), </w:t>
            </w:r>
            <w:r>
              <w:rPr>
                <w:rFonts w:ascii="Consolas" w:cs="Consolas" w:eastAsia="Consolas" w:hAnsi="Consolas"/>
                <w:sz w:val="20"/>
                <w:szCs w:val="20"/>
                <w:shd w:fill="F0F0F0" w:val="clear"/>
              </w:rPr>
              <w:t xml:space="preserve">evidence_reason</w:t>
            </w:r>
          </w:p>
        </w:tc>
        <w:tc>
          <w:tcPr>
            <w:tcW w:type="dxa" w:w="1400"/>
            <w:tcMar>
              <w:top w:type="dxa" w:w="80"/>
              <w:left w:type="dxa" w:w="100"/>
              <w:bottom w:type="dxa" w:w="80"/>
              <w:right w:type="dxa" w:w="100"/>
            </w:tcMar>
          </w:tcPr>
          <w:p>
            <w:r>
              <w:rPr>
                <w:sz w:val="20"/>
                <w:szCs w:val="20"/>
              </w:rPr>
              <w:t xml:space="preserve">→ Calculation if sufficient, else → Insufficient-Info response</w:t>
            </w:r>
          </w:p>
        </w:tc>
        <w:tc>
          <w:tcPr>
            <w:tcW w:type="dxa" w:w="2800"/>
            <w:tcMar>
              <w:top w:type="dxa" w:w="80"/>
              <w:left w:type="dxa" w:w="100"/>
              <w:bottom w:type="dxa" w:w="80"/>
              <w:right w:type="dxa" w:w="100"/>
            </w:tcMar>
          </w:tcPr>
          <w:p>
            <w:r>
              <w:rPr>
                <w:sz w:val="20"/>
                <w:szCs w:val="20"/>
              </w:rPr>
              <w:t xml:space="preserve">No retries needed (deterministic threshold check); this node must be pure and fast</w:t>
            </w:r>
          </w:p>
        </w:tc>
      </w:tr>
      <w:tr>
        <w:trPr>
          <w:tblHeader w:val="false"/>
        </w:trPr>
        <w:tc>
          <w:tcPr>
            <w:tcW w:type="dxa" w:w="2800"/>
            <w:tcMar>
              <w:top w:type="dxa" w:w="80"/>
              <w:left w:type="dxa" w:w="100"/>
              <w:bottom w:type="dxa" w:w="80"/>
              <w:right w:type="dxa" w:w="100"/>
            </w:tcMar>
          </w:tcPr>
          <w:p>
            <w:r>
              <w:rPr>
                <w:sz w:val="20"/>
                <w:szCs w:val="20"/>
              </w:rPr>
              <w:t xml:space="preserve">Calculation</w:t>
            </w:r>
          </w:p>
        </w:tc>
        <w:tc>
          <w:tcPr>
            <w:tcW w:type="dxa" w:w="1400"/>
            <w:tcMar>
              <w:top w:type="dxa" w:w="80"/>
              <w:left w:type="dxa" w:w="100"/>
              <w:bottom w:type="dxa" w:w="80"/>
              <w:right w:type="dxa" w:w="100"/>
            </w:tcMar>
          </w:tcPr>
          <w:p>
            <w:r>
              <w:rPr>
                <w:sz w:val="20"/>
                <w:szCs w:val="20"/>
              </w:rPr>
              <w:t xml:space="preserve">validated rule + </w:t>
            </w:r>
            <w:r>
              <w:rPr>
                <w:rFonts w:ascii="Consolas" w:cs="Consolas" w:eastAsia="Consolas" w:hAnsi="Consolas"/>
                <w:sz w:val="20"/>
                <w:szCs w:val="20"/>
                <w:shd w:fill="F0F0F0" w:val="clear"/>
              </w:rPr>
              <w:t xml:space="preserve">spend_amount</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calculation_result</w:t>
            </w:r>
          </w:p>
        </w:tc>
        <w:tc>
          <w:tcPr>
            <w:tcW w:type="dxa" w:w="1400"/>
            <w:tcMar>
              <w:top w:type="dxa" w:w="80"/>
              <w:left w:type="dxa" w:w="100"/>
              <w:bottom w:type="dxa" w:w="80"/>
              <w:right w:type="dxa" w:w="100"/>
            </w:tcMar>
          </w:tcPr>
          <w:p>
            <w:r>
              <w:rPr>
                <w:sz w:val="20"/>
                <w:szCs w:val="20"/>
              </w:rPr>
              <w:t xml:space="preserve">→ Comparison</w:t>
            </w:r>
          </w:p>
        </w:tc>
        <w:tc>
          <w:tcPr>
            <w:tcW w:type="dxa" w:w="2800"/>
            <w:tcMar>
              <w:top w:type="dxa" w:w="80"/>
              <w:left w:type="dxa" w:w="100"/>
              <w:bottom w:type="dxa" w:w="80"/>
              <w:right w:type="dxa" w:w="100"/>
            </w:tcMar>
          </w:tcPr>
          <w:p>
            <w:r>
              <w:rPr>
                <w:sz w:val="20"/>
                <w:szCs w:val="20"/>
              </w:rPr>
              <w:t xml:space="preserve">Tool-level exceptions (bad input) surface as a validation error, not a silent default value — a calculation node must never "guess" a missing input</w:t>
            </w:r>
          </w:p>
        </w:tc>
      </w:tr>
      <w:tr>
        <w:trPr>
          <w:tblHeader w:val="false"/>
        </w:trPr>
        <w:tc>
          <w:tcPr>
            <w:tcW w:type="dxa" w:w="2800"/>
            <w:tcMar>
              <w:top w:type="dxa" w:w="80"/>
              <w:left w:type="dxa" w:w="100"/>
              <w:bottom w:type="dxa" w:w="80"/>
              <w:right w:type="dxa" w:w="100"/>
            </w:tcMar>
          </w:tcPr>
          <w:p>
            <w:r>
              <w:rPr>
                <w:sz w:val="20"/>
                <w:szCs w:val="20"/>
              </w:rPr>
              <w:t xml:space="preserve">Comparison</w:t>
            </w:r>
          </w:p>
        </w:tc>
        <w:tc>
          <w:tcPr>
            <w:tcW w:type="dxa" w:w="1400"/>
            <w:tcMar>
              <w:top w:type="dxa" w:w="80"/>
              <w:left w:type="dxa" w:w="100"/>
              <w:bottom w:type="dxa" w:w="80"/>
              <w:right w:type="dxa" w:w="100"/>
            </w:tcMar>
          </w:tcPr>
          <w:p>
            <w:r>
              <w:rPr>
                <w:sz w:val="20"/>
                <w:szCs w:val="20"/>
              </w:rPr>
              <w:t xml:space="preserve">multiple </w:t>
            </w:r>
            <w:r>
              <w:rPr>
                <w:rFonts w:ascii="Consolas" w:cs="Consolas" w:eastAsia="Consolas" w:hAnsi="Consolas"/>
                <w:sz w:val="20"/>
                <w:szCs w:val="20"/>
                <w:shd w:fill="F0F0F0" w:val="clear"/>
              </w:rPr>
              <w:t xml:space="preserve">calculation_result</w:t>
            </w:r>
            <w:r>
              <w:rPr>
                <w:sz w:val="20"/>
                <w:szCs w:val="20"/>
              </w:rPr>
              <w:t xml:space="preserve">s</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ranked_comparison</w:t>
            </w:r>
          </w:p>
        </w:tc>
        <w:tc>
          <w:tcPr>
            <w:tcW w:type="dxa" w:w="1400"/>
            <w:tcMar>
              <w:top w:type="dxa" w:w="80"/>
              <w:left w:type="dxa" w:w="100"/>
              <w:bottom w:type="dxa" w:w="80"/>
              <w:right w:type="dxa" w:w="100"/>
            </w:tcMar>
          </w:tcPr>
          <w:p>
            <w:r>
              <w:rPr>
                <w:sz w:val="20"/>
                <w:szCs w:val="20"/>
              </w:rPr>
              <w:t xml:space="preserve">→ Guardrail</w:t>
            </w:r>
          </w:p>
        </w:tc>
        <w:tc>
          <w:tcPr>
            <w:tcW w:type="dxa" w:w="2800"/>
            <w:tcMar>
              <w:top w:type="dxa" w:w="80"/>
              <w:left w:type="dxa" w:w="100"/>
              <w:bottom w:type="dxa" w:w="80"/>
              <w:right w:type="dxa" w:w="100"/>
            </w:tcMar>
          </w:tcPr>
          <w:p>
            <w:r>
              <w:rPr>
                <w:sz w:val="20"/>
                <w:szCs w:val="20"/>
              </w:rPr>
              <w:t xml:space="preserve">N/A (pure function)</w:t>
            </w:r>
          </w:p>
        </w:tc>
      </w:tr>
      <w:tr>
        <w:trPr>
          <w:tblHeader w:val="false"/>
        </w:trPr>
        <w:tc>
          <w:tcPr>
            <w:tcW w:type="dxa" w:w="2800"/>
            <w:tcMar>
              <w:top w:type="dxa" w:w="80"/>
              <w:left w:type="dxa" w:w="100"/>
              <w:bottom w:type="dxa" w:w="80"/>
              <w:right w:type="dxa" w:w="100"/>
            </w:tcMar>
          </w:tcPr>
          <w:p>
            <w:r>
              <w:rPr>
                <w:sz w:val="20"/>
                <w:szCs w:val="20"/>
              </w:rPr>
              <w:t xml:space="preserve">Guardrail</w:t>
            </w:r>
          </w:p>
        </w:tc>
        <w:tc>
          <w:tcPr>
            <w:tcW w:type="dxa" w:w="1400"/>
            <w:tcMar>
              <w:top w:type="dxa" w:w="80"/>
              <w:left w:type="dxa" w:w="100"/>
              <w:bottom w:type="dxa" w:w="80"/>
              <w:right w:type="dxa" w:w="100"/>
            </w:tcMar>
          </w:tcPr>
          <w:p>
            <w:r>
              <w:rPr>
                <w:sz w:val="20"/>
                <w:szCs w:val="20"/>
              </w:rPr>
              <w:t xml:space="preserve">draft answer + </w:t>
            </w:r>
            <w:r>
              <w:rPr>
                <w:rFonts w:ascii="Consolas" w:cs="Consolas" w:eastAsia="Consolas" w:hAnsi="Consolas"/>
                <w:sz w:val="20"/>
                <w:szCs w:val="20"/>
                <w:shd w:fill="F0F0F0" w:val="clear"/>
              </w:rPr>
              <w:t xml:space="preserve">retrieved_chunks</w:t>
            </w:r>
            <w:r>
              <w:rPr>
                <w:sz w:val="20"/>
                <w:szCs w:val="20"/>
              </w:rPr>
              <w:t xml:space="preserve"> + </w:t>
            </w:r>
            <w:r>
              <w:rPr>
                <w:rFonts w:ascii="Consolas" w:cs="Consolas" w:eastAsia="Consolas" w:hAnsi="Consolas"/>
                <w:sz w:val="20"/>
                <w:szCs w:val="20"/>
                <w:shd w:fill="F0F0F0" w:val="clear"/>
              </w:rPr>
              <w:t xml:space="preserve">calculation_result</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guardrail_passed</w:t>
            </w:r>
            <w:r>
              <w:rPr>
                <w:sz w:val="20"/>
                <w:szCs w:val="20"/>
              </w:rPr>
              <w:t xml:space="preserve"> (bool), </w:t>
            </w:r>
            <w:r>
              <w:rPr>
                <w:rFonts w:ascii="Consolas" w:cs="Consolas" w:eastAsia="Consolas" w:hAnsi="Consolas"/>
                <w:sz w:val="20"/>
                <w:szCs w:val="20"/>
                <w:shd w:fill="F0F0F0" w:val="clear"/>
              </w:rPr>
              <w:t xml:space="preserve">violations[]</w:t>
            </w:r>
          </w:p>
        </w:tc>
        <w:tc>
          <w:tcPr>
            <w:tcW w:type="dxa" w:w="1400"/>
            <w:tcMar>
              <w:top w:type="dxa" w:w="80"/>
              <w:left w:type="dxa" w:w="100"/>
              <w:bottom w:type="dxa" w:w="80"/>
              <w:right w:type="dxa" w:w="100"/>
            </w:tcMar>
          </w:tcPr>
          <w:p>
            <w:r>
              <w:rPr>
                <w:sz w:val="20"/>
                <w:szCs w:val="20"/>
              </w:rPr>
              <w:t xml:space="preserve">→ Retrieval (loop, max 2 iterations) if failed, else → Approval or Final Answer</w:t>
            </w:r>
          </w:p>
        </w:tc>
        <w:tc>
          <w:tcPr>
            <w:tcW w:type="dxa" w:w="2800"/>
            <w:tcMar>
              <w:top w:type="dxa" w:w="80"/>
              <w:left w:type="dxa" w:w="100"/>
              <w:bottom w:type="dxa" w:w="80"/>
              <w:right w:type="dxa" w:w="100"/>
            </w:tcMar>
          </w:tcPr>
          <w:p>
            <w:r>
              <w:rPr>
                <w:b/>
                <w:bCs/>
                <w:sz w:val="20"/>
                <w:szCs w:val="20"/>
              </w:rPr>
              <w:t xml:space="preserve">Loop prevention is critical here</w:t>
            </w:r>
            <w:r>
              <w:rPr>
                <w:sz w:val="20"/>
                <w:szCs w:val="20"/>
              </w:rPr>
              <w:t xml:space="preserve">: cap at 2 guardrail-triggered retrieval loops, then hard-refuse rather than looping indefinitely</w:t>
            </w:r>
          </w:p>
        </w:tc>
      </w:tr>
      <w:tr>
        <w:trPr>
          <w:tblHeader w:val="false"/>
        </w:trPr>
        <w:tc>
          <w:tcPr>
            <w:tcW w:type="dxa" w:w="2800"/>
            <w:tcMar>
              <w:top w:type="dxa" w:w="80"/>
              <w:left w:type="dxa" w:w="100"/>
              <w:bottom w:type="dxa" w:w="80"/>
              <w:right w:type="dxa" w:w="100"/>
            </w:tcMar>
          </w:tcPr>
          <w:p>
            <w:r>
              <w:rPr>
                <w:sz w:val="20"/>
                <w:szCs w:val="20"/>
              </w:rPr>
              <w:t xml:space="preserve">Human Approval</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transfer_proposal</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approval_status</w:t>
            </w:r>
          </w:p>
        </w:tc>
        <w:tc>
          <w:tcPr>
            <w:tcW w:type="dxa" w:w="1400"/>
            <w:tcMar>
              <w:top w:type="dxa" w:w="80"/>
              <w:left w:type="dxa" w:w="100"/>
              <w:bottom w:type="dxa" w:w="80"/>
              <w:right w:type="dxa" w:w="100"/>
            </w:tcMar>
          </w:tcPr>
          <w:p>
            <w:r>
              <w:rPr>
                <w:sz w:val="20"/>
                <w:szCs w:val="20"/>
              </w:rPr>
              <w:t xml:space="preserve">→ End (rejected) or Final Answer (approved)</w:t>
            </w:r>
          </w:p>
        </w:tc>
        <w:tc>
          <w:tcPr>
            <w:tcW w:type="dxa" w:w="2800"/>
            <w:tcMar>
              <w:top w:type="dxa" w:w="80"/>
              <w:left w:type="dxa" w:w="100"/>
              <w:bottom w:type="dxa" w:w="80"/>
              <w:right w:type="dxa" w:w="100"/>
            </w:tcMar>
          </w:tcPr>
          <w:p>
            <w:r>
              <w:rPr>
                <w:sz w:val="20"/>
                <w:szCs w:val="20"/>
              </w:rPr>
              <w:t xml:space="preserve">Session timeout → discard state, do not auto-approve; this is a hard safety invariant, not a UX nicety</w:t>
            </w:r>
          </w:p>
        </w:tc>
      </w:tr>
      <w:tr>
        <w:trPr>
          <w:tblHeader w:val="false"/>
        </w:trPr>
        <w:tc>
          <w:tcPr>
            <w:tcW w:type="dxa" w:w="2800"/>
            <w:tcMar>
              <w:top w:type="dxa" w:w="80"/>
              <w:left w:type="dxa" w:w="100"/>
              <w:bottom w:type="dxa" w:w="80"/>
              <w:right w:type="dxa" w:w="100"/>
            </w:tcMar>
          </w:tcPr>
          <w:p>
            <w:r>
              <w:rPr>
                <w:sz w:val="20"/>
                <w:szCs w:val="20"/>
              </w:rPr>
              <w:t xml:space="preserve">Final Answer</w:t>
            </w:r>
          </w:p>
        </w:tc>
        <w:tc>
          <w:tcPr>
            <w:tcW w:type="dxa" w:w="1400"/>
            <w:tcMar>
              <w:top w:type="dxa" w:w="80"/>
              <w:left w:type="dxa" w:w="100"/>
              <w:bottom w:type="dxa" w:w="80"/>
              <w:right w:type="dxa" w:w="100"/>
            </w:tcMar>
          </w:tcPr>
          <w:p>
            <w:r>
              <w:rPr>
                <w:sz w:val="20"/>
                <w:szCs w:val="20"/>
              </w:rPr>
              <w:t xml:space="preserve">all upstream state</w:t>
            </w:r>
          </w:p>
        </w:tc>
        <w:tc>
          <w:tcPr>
            <w:tcW w:type="dxa" w:w="1400"/>
            <w:tcMar>
              <w:top w:type="dxa" w:w="80"/>
              <w:left w:type="dxa" w:w="100"/>
              <w:bottom w:type="dxa" w:w="80"/>
              <w:right w:type="dxa" w:w="100"/>
            </w:tcMar>
          </w:tcPr>
          <w:p>
            <w:r>
              <w:rPr>
                <w:rFonts w:ascii="Consolas" w:cs="Consolas" w:eastAsia="Consolas" w:hAnsi="Consolas"/>
                <w:sz w:val="20"/>
                <w:szCs w:val="20"/>
                <w:shd w:fill="F0F0F0" w:val="clear"/>
              </w:rPr>
              <w:t xml:space="preserve">final_answer</w:t>
            </w:r>
          </w:p>
        </w:tc>
        <w:tc>
          <w:tcPr>
            <w:tcW w:type="dxa" w:w="1400"/>
            <w:tcMar>
              <w:top w:type="dxa" w:w="80"/>
              <w:left w:type="dxa" w:w="100"/>
              <w:bottom w:type="dxa" w:w="80"/>
              <w:right w:type="dxa" w:w="100"/>
            </w:tcMar>
          </w:tcPr>
          <w:p>
            <w:r>
              <w:rPr>
                <w:sz w:val="20"/>
                <w:szCs w:val="20"/>
              </w:rPr>
              <w:t xml:space="preserve">→ End</w:t>
            </w:r>
          </w:p>
        </w:tc>
        <w:tc>
          <w:tcPr>
            <w:tcW w:type="dxa" w:w="2800"/>
            <w:tcMar>
              <w:top w:type="dxa" w:w="80"/>
              <w:left w:type="dxa" w:w="100"/>
              <w:bottom w:type="dxa" w:w="80"/>
              <w:right w:type="dxa" w:w="100"/>
            </w:tcMar>
          </w:tcPr>
          <w:p>
            <w:r>
              <w:rPr>
                <w:sz w:val="20"/>
                <w:szCs w:val="20"/>
              </w:rPr>
              <w:t xml:space="preserve">N/A</w:t>
            </w:r>
          </w:p>
        </w:tc>
      </w:tr>
    </w:tbl>
    <w:p>
      <w:pPr>
        <w:spacing w:after="200"/>
      </w:pPr>
    </w:p>
    <w:p>
      <w:pPr>
        <w:pStyle w:val="Heading2"/>
        <w:spacing w:after="140" w:before="260"/>
      </w:pPr>
      <w:r>
        <w:t xml:space="preserve">14.2 State Design</w:t>
      </w:r>
    </w:p>
    <w:p>
      <w:pPr>
        <w:spacing w:after="160" w:line="300"/>
      </w:pPr>
      <w:r>
        <w:t xml:space="preserve">Use a single </w:t>
      </w:r>
      <w:r>
        <w:rPr>
          <w:b/>
          <w:bCs/>
        </w:rPr>
        <w:t xml:space="preserve">typed state object</w:t>
      </w:r>
      <w:r>
        <w:t xml:space="preserve"> (a </w:t>
      </w:r>
      <w:r>
        <w:rPr>
          <w:rFonts w:ascii="Consolas" w:cs="Consolas" w:eastAsia="Consolas" w:hAnsi="Consolas"/>
          <w:shd w:fill="F0F0F0" w:val="clear"/>
        </w:rPr>
        <w:t xml:space="preserve">TypedDict</w:t>
      </w:r>
      <w:r>
        <w:t xml:space="preserve"> or Pydantic model) threaded through the entire graph — never pass ad-hoc dictionaries between nodes. This gives you static type-checking on every node's inputs/outputs (via mypy, Section 4) and makes the state schema a living, reviewable artifact (</w:t>
      </w:r>
      <w:r>
        <w:rPr>
          <w:rFonts w:ascii="Consolas" w:cs="Consolas" w:eastAsia="Consolas" w:hAnsi="Consolas"/>
          <w:shd w:fill="F0F0F0" w:val="clear"/>
        </w:rPr>
        <w:t xml:space="preserve">agents/state.py</w:t>
      </w:r>
      <w:r>
        <w:t xml:space="preserve">) rather than an implicit contract scattered across node implementations.</w:t>
      </w:r>
    </w:p>
    <w:p>
      <w:pPr>
        <w:pStyle w:val="Heading2"/>
        <w:spacing w:after="140" w:before="260"/>
      </w:pPr>
      <w:r>
        <w:t xml:space="preserve">14.3 Loop Prevention as an Explicit Design Element</w:t>
      </w:r>
    </w:p>
    <w:p>
      <w:pPr>
        <w:spacing w:after="160" w:line="300"/>
      </w:pPr>
      <w:r>
        <w:t xml:space="preserve">Two loops exist in the graph (Clarification→Intent, Guardrail→Retrieval). Both must have a </w:t>
      </w:r>
      <w:r>
        <w:rPr>
          <w:b/>
          <w:bCs/>
        </w:rPr>
        <w:t xml:space="preserve">hard iteration cap enforced in state</w:t>
      </w:r>
      <w:r>
        <w:t xml:space="preserve"> (e.g., </w:t>
      </w:r>
      <w:r>
        <w:rPr>
          <w:rFonts w:ascii="Consolas" w:cs="Consolas" w:eastAsia="Consolas" w:hAnsi="Consolas"/>
          <w:shd w:fill="F0F0F0" w:val="clear"/>
        </w:rPr>
        <w:t xml:space="preserve">state.guardrail_loop_count</w:t>
      </w:r>
      <w:r>
        <w:t xml:space="preserve">), not just an assumption that the LLM "won't loop forever." Untested loop-prevention logic is one of the most common causes of a demo hanging or timing out in front of an audience.</w:t>
      </w:r>
    </w:p>
    <w:p>
      <w:pPr>
        <w:pStyle w:val="Heading1"/>
        <w:pageBreakBefore/>
        <w:spacing w:after="180" w:before="360"/>
      </w:pPr>
      <w:bookmarkStart w:name="sec14" w:id="1"/>
      <w:r>
        <w:t xml:space="preserve">15. Prompt Engineering Workflow</w:t>
      </w:r>
      <w:bookmarkEnd w:id="1"/>
    </w:p>
    <w:p>
      <w:pPr>
        <w:pStyle w:val="Heading2"/>
        <w:spacing w:after="140" w:before="260"/>
      </w:pPr>
      <w:r>
        <w:t xml:space="preserve">15.1 Prompt Inventory</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Prompt</w:t>
            </w:r>
          </w:p>
        </w:tc>
        <w:tc>
          <w:tcPr>
            <w:tcW w:type="dxa" w:w="3266"/>
            <w:shd w:fill="1F4E79" w:color="auto" w:val="clear"/>
            <w:tcMar>
              <w:top w:type="dxa" w:w="80"/>
              <w:left w:type="dxa" w:w="100"/>
              <w:bottom w:type="dxa" w:w="80"/>
              <w:right w:type="dxa" w:w="100"/>
            </w:tcMar>
          </w:tcPr>
          <w:p>
            <w:r>
              <w:rPr>
                <w:b/>
                <w:bCs/>
                <w:color w:val="FFFFFF"/>
                <w:sz w:val="20"/>
                <w:szCs w:val="20"/>
              </w:rPr>
              <w:t xml:space="preserve">Purpose</w:t>
            </w:r>
          </w:p>
        </w:tc>
        <w:tc>
          <w:tcPr>
            <w:tcW w:type="dxa" w:w="3266"/>
            <w:shd w:fill="1F4E79" w:color="auto" w:val="clear"/>
            <w:tcMar>
              <w:top w:type="dxa" w:w="80"/>
              <w:left w:type="dxa" w:w="100"/>
              <w:bottom w:type="dxa" w:w="80"/>
              <w:right w:type="dxa" w:w="100"/>
            </w:tcMar>
          </w:tcPr>
          <w:p>
            <w:r>
              <w:rPr>
                <w:b/>
                <w:bCs/>
                <w:color w:val="FFFFFF"/>
                <w:sz w:val="20"/>
                <w:szCs w:val="20"/>
              </w:rPr>
              <w:t xml:space="preserve">Key constraint to encode</w:t>
            </w:r>
          </w:p>
        </w:tc>
      </w:tr>
      <w:tr>
        <w:trPr>
          <w:tblHeader w:val="false"/>
        </w:trPr>
        <w:tc>
          <w:tcPr>
            <w:tcW w:type="dxa" w:w="3266"/>
            <w:tcMar>
              <w:top w:type="dxa" w:w="80"/>
              <w:left w:type="dxa" w:w="100"/>
              <w:bottom w:type="dxa" w:w="80"/>
              <w:right w:type="dxa" w:w="100"/>
            </w:tcMar>
          </w:tcPr>
          <w:p>
            <w:r>
              <w:rPr>
                <w:sz w:val="20"/>
                <w:szCs w:val="20"/>
              </w:rPr>
              <w:t xml:space="preserve">System prompt</w:t>
            </w:r>
          </w:p>
        </w:tc>
        <w:tc>
          <w:tcPr>
            <w:tcW w:type="dxa" w:w="3266"/>
            <w:tcMar>
              <w:top w:type="dxa" w:w="80"/>
              <w:left w:type="dxa" w:w="100"/>
              <w:bottom w:type="dxa" w:w="80"/>
              <w:right w:type="dxa" w:w="100"/>
            </w:tcMar>
          </w:tcPr>
          <w:p>
            <w:r>
              <w:rPr>
                <w:sz w:val="20"/>
                <w:szCs w:val="20"/>
              </w:rPr>
              <w:t xml:space="preserve">Global behavior contract for the agent</w:t>
            </w:r>
          </w:p>
        </w:tc>
        <w:tc>
          <w:tcPr>
            <w:tcW w:type="dxa" w:w="3266"/>
            <w:tcMar>
              <w:top w:type="dxa" w:w="80"/>
              <w:left w:type="dxa" w:w="100"/>
              <w:bottom w:type="dxa" w:w="80"/>
              <w:right w:type="dxa" w:w="100"/>
            </w:tcMar>
          </w:tcPr>
          <w:p>
            <w:r>
              <w:rPr>
                <w:sz w:val="20"/>
                <w:szCs w:val="20"/>
              </w:rPr>
              <w:t xml:space="preserve">"Answer only from retrieved evidence; never invent rates, partners, or exclusions; always show assumptions and confidence"</w:t>
            </w:r>
          </w:p>
        </w:tc>
      </w:tr>
      <w:tr>
        <w:trPr>
          <w:tblHeader w:val="false"/>
        </w:trPr>
        <w:tc>
          <w:tcPr>
            <w:tcW w:type="dxa" w:w="3266"/>
            <w:tcMar>
              <w:top w:type="dxa" w:w="80"/>
              <w:left w:type="dxa" w:w="100"/>
              <w:bottom w:type="dxa" w:w="80"/>
              <w:right w:type="dxa" w:w="100"/>
            </w:tcMar>
          </w:tcPr>
          <w:p>
            <w:r>
              <w:rPr>
                <w:sz w:val="20"/>
                <w:szCs w:val="20"/>
              </w:rPr>
              <w:t xml:space="preserve">Intent classification prompt</w:t>
            </w:r>
          </w:p>
        </w:tc>
        <w:tc>
          <w:tcPr>
            <w:tcW w:type="dxa" w:w="3266"/>
            <w:tcMar>
              <w:top w:type="dxa" w:w="80"/>
              <w:left w:type="dxa" w:w="100"/>
              <w:bottom w:type="dxa" w:w="80"/>
              <w:right w:type="dxa" w:w="100"/>
            </w:tcMar>
          </w:tcPr>
          <w:p>
            <w:r>
              <w:rPr>
                <w:sz w:val="20"/>
                <w:szCs w:val="20"/>
              </w:rPr>
              <w:t xml:space="preserve">Map query → one of a fixed enum of intents</w:t>
            </w:r>
          </w:p>
        </w:tc>
        <w:tc>
          <w:tcPr>
            <w:tcW w:type="dxa" w:w="3266"/>
            <w:tcMar>
              <w:top w:type="dxa" w:w="80"/>
              <w:left w:type="dxa" w:w="100"/>
              <w:bottom w:type="dxa" w:w="80"/>
              <w:right w:type="dxa" w:w="100"/>
            </w:tcMar>
          </w:tcPr>
          <w:p>
            <w:r>
              <w:rPr>
                <w:sz w:val="20"/>
                <w:szCs w:val="20"/>
              </w:rPr>
              <w:t xml:space="preserve">Constrained output (structured output / function-calling schema), not free text, to avoid parsing ambiguity</w:t>
            </w:r>
          </w:p>
        </w:tc>
      </w:tr>
      <w:tr>
        <w:trPr>
          <w:tblHeader w:val="false"/>
        </w:trPr>
        <w:tc>
          <w:tcPr>
            <w:tcW w:type="dxa" w:w="3266"/>
            <w:tcMar>
              <w:top w:type="dxa" w:w="80"/>
              <w:left w:type="dxa" w:w="100"/>
              <w:bottom w:type="dxa" w:w="80"/>
              <w:right w:type="dxa" w:w="100"/>
            </w:tcMar>
          </w:tcPr>
          <w:p>
            <w:r>
              <w:rPr>
                <w:sz w:val="20"/>
                <w:szCs w:val="20"/>
              </w:rPr>
              <w:t xml:space="preserve">Clarification prompt</w:t>
            </w:r>
          </w:p>
        </w:tc>
        <w:tc>
          <w:tcPr>
            <w:tcW w:type="dxa" w:w="3266"/>
            <w:tcMar>
              <w:top w:type="dxa" w:w="80"/>
              <w:left w:type="dxa" w:w="100"/>
              <w:bottom w:type="dxa" w:w="80"/>
              <w:right w:type="dxa" w:w="100"/>
            </w:tcMar>
          </w:tcPr>
          <w:p>
            <w:r>
              <w:rPr>
                <w:sz w:val="20"/>
                <w:szCs w:val="20"/>
              </w:rPr>
              <w:t xml:space="preserve">Generate one focused follow-up question</w:t>
            </w:r>
          </w:p>
        </w:tc>
        <w:tc>
          <w:tcPr>
            <w:tcW w:type="dxa" w:w="3266"/>
            <w:tcMar>
              <w:top w:type="dxa" w:w="80"/>
              <w:left w:type="dxa" w:w="100"/>
              <w:bottom w:type="dxa" w:w="80"/>
              <w:right w:type="dxa" w:w="100"/>
            </w:tcMar>
          </w:tcPr>
          <w:p>
            <w:r>
              <w:rPr>
                <w:sz w:val="20"/>
                <w:szCs w:val="20"/>
              </w:rPr>
              <w:t xml:space="preserve">Explicitly instructed to ask exactly one question, not a list</w:t>
            </w:r>
          </w:p>
        </w:tc>
      </w:tr>
      <w:tr>
        <w:trPr>
          <w:tblHeader w:val="false"/>
        </w:trPr>
        <w:tc>
          <w:tcPr>
            <w:tcW w:type="dxa" w:w="3266"/>
            <w:tcMar>
              <w:top w:type="dxa" w:w="80"/>
              <w:left w:type="dxa" w:w="100"/>
              <w:bottom w:type="dxa" w:w="80"/>
              <w:right w:type="dxa" w:w="100"/>
            </w:tcMar>
          </w:tcPr>
          <w:p>
            <w:r>
              <w:rPr>
                <w:sz w:val="20"/>
                <w:szCs w:val="20"/>
              </w:rPr>
              <w:t xml:space="preserve">Retriever query-formation prompt (optional)</w:t>
            </w:r>
          </w:p>
        </w:tc>
        <w:tc>
          <w:tcPr>
            <w:tcW w:type="dxa" w:w="3266"/>
            <w:tcMar>
              <w:top w:type="dxa" w:w="80"/>
              <w:left w:type="dxa" w:w="100"/>
              <w:bottom w:type="dxa" w:w="80"/>
              <w:right w:type="dxa" w:w="100"/>
            </w:tcMar>
          </w:tcPr>
          <w:p>
            <w:r>
              <w:rPr>
                <w:sz w:val="20"/>
                <w:szCs w:val="20"/>
              </w:rPr>
              <w:t xml:space="preserve">Rewrite a conversational query into a retrieval-optimized query</w:t>
            </w:r>
          </w:p>
        </w:tc>
        <w:tc>
          <w:tcPr>
            <w:tcW w:type="dxa" w:w="3266"/>
            <w:tcMar>
              <w:top w:type="dxa" w:w="80"/>
              <w:left w:type="dxa" w:w="100"/>
              <w:bottom w:type="dxa" w:w="80"/>
              <w:right w:type="dxa" w:w="100"/>
            </w:tcMar>
          </w:tcPr>
          <w:p>
            <w:r>
              <w:rPr>
                <w:sz w:val="20"/>
                <w:szCs w:val="20"/>
              </w:rPr>
              <w:t xml:space="preserve">Only needed if evaluation shows raw user queries retrieve poorly (see Query Rewriting, Section 23)</w:t>
            </w:r>
          </w:p>
        </w:tc>
      </w:tr>
      <w:tr>
        <w:trPr>
          <w:tblHeader w:val="false"/>
        </w:trPr>
        <w:tc>
          <w:tcPr>
            <w:tcW w:type="dxa" w:w="3266"/>
            <w:tcMar>
              <w:top w:type="dxa" w:w="80"/>
              <w:left w:type="dxa" w:w="100"/>
              <w:bottom w:type="dxa" w:w="80"/>
              <w:right w:type="dxa" w:w="100"/>
            </w:tcMar>
          </w:tcPr>
          <w:p>
            <w:r>
              <w:rPr>
                <w:sz w:val="20"/>
                <w:szCs w:val="20"/>
              </w:rPr>
              <w:t xml:space="preserve">Calculation-explanation prompt</w:t>
            </w:r>
          </w:p>
        </w:tc>
        <w:tc>
          <w:tcPr>
            <w:tcW w:type="dxa" w:w="3266"/>
            <w:tcMar>
              <w:top w:type="dxa" w:w="80"/>
              <w:left w:type="dxa" w:w="100"/>
              <w:bottom w:type="dxa" w:w="80"/>
              <w:right w:type="dxa" w:w="100"/>
            </w:tcMar>
          </w:tcPr>
          <w:p>
            <w:r>
              <w:rPr>
                <w:sz w:val="20"/>
                <w:szCs w:val="20"/>
              </w:rPr>
              <w:t xml:space="preserve">Turn a calculator tool's structured output into a human-readable calculation walkthrough</w:t>
            </w:r>
          </w:p>
        </w:tc>
        <w:tc>
          <w:tcPr>
            <w:tcW w:type="dxa" w:w="3266"/>
            <w:tcMar>
              <w:top w:type="dxa" w:w="80"/>
              <w:left w:type="dxa" w:w="100"/>
              <w:bottom w:type="dxa" w:w="80"/>
              <w:right w:type="dxa" w:w="100"/>
            </w:tcMar>
          </w:tcPr>
          <w:p>
            <w:r>
              <w:rPr>
                <w:sz w:val="20"/>
                <w:szCs w:val="20"/>
              </w:rPr>
              <w:t xml:space="preserve">Must not introduce any number not present in the tool's output — this prompt explains, it never computes</w:t>
            </w:r>
          </w:p>
        </w:tc>
      </w:tr>
      <w:tr>
        <w:trPr>
          <w:tblHeader w:val="false"/>
        </w:trPr>
        <w:tc>
          <w:tcPr>
            <w:tcW w:type="dxa" w:w="3266"/>
            <w:tcMar>
              <w:top w:type="dxa" w:w="80"/>
              <w:left w:type="dxa" w:w="100"/>
              <w:bottom w:type="dxa" w:w="80"/>
              <w:right w:type="dxa" w:w="100"/>
            </w:tcMar>
          </w:tcPr>
          <w:p>
            <w:r>
              <w:rPr>
                <w:sz w:val="20"/>
                <w:szCs w:val="20"/>
              </w:rPr>
              <w:t xml:space="preserve">Comparison prompt</w:t>
            </w:r>
          </w:p>
        </w:tc>
        <w:tc>
          <w:tcPr>
            <w:tcW w:type="dxa" w:w="3266"/>
            <w:tcMar>
              <w:top w:type="dxa" w:w="80"/>
              <w:left w:type="dxa" w:w="100"/>
              <w:bottom w:type="dxa" w:w="80"/>
              <w:right w:type="dxa" w:w="100"/>
            </w:tcMar>
          </w:tcPr>
          <w:p>
            <w:r>
              <w:rPr>
                <w:sz w:val="20"/>
                <w:szCs w:val="20"/>
              </w:rPr>
              <w:t xml:space="preserve">Rank and summarize multiple cards' calculated values</w:t>
            </w:r>
          </w:p>
        </w:tc>
        <w:tc>
          <w:tcPr>
            <w:tcW w:type="dxa" w:w="3266"/>
            <w:tcMar>
              <w:top w:type="dxa" w:w="80"/>
              <w:left w:type="dxa" w:w="100"/>
              <w:bottom w:type="dxa" w:w="80"/>
              <w:right w:type="dxa" w:w="100"/>
            </w:tcMar>
          </w:tcPr>
          <w:p>
            <w:r>
              <w:rPr>
                <w:sz w:val="20"/>
                <w:szCs w:val="20"/>
              </w:rPr>
              <w:t xml:space="preserve">Must cite each card's source chunk, not just its number</w:t>
            </w:r>
          </w:p>
        </w:tc>
      </w:tr>
      <w:tr>
        <w:trPr>
          <w:tblHeader w:val="false"/>
        </w:trPr>
        <w:tc>
          <w:tcPr>
            <w:tcW w:type="dxa" w:w="3266"/>
            <w:tcMar>
              <w:top w:type="dxa" w:w="80"/>
              <w:left w:type="dxa" w:w="100"/>
              <w:bottom w:type="dxa" w:w="80"/>
              <w:right w:type="dxa" w:w="100"/>
            </w:tcMar>
          </w:tcPr>
          <w:p>
            <w:r>
              <w:rPr>
                <w:sz w:val="20"/>
                <w:szCs w:val="20"/>
              </w:rPr>
              <w:t xml:space="preserve">Guardrail-check prompt (if any LLM-assisted checks are used alongside deterministic checks)</w:t>
            </w:r>
          </w:p>
        </w:tc>
        <w:tc>
          <w:tcPr>
            <w:tcW w:type="dxa" w:w="3266"/>
            <w:tcMar>
              <w:top w:type="dxa" w:w="80"/>
              <w:left w:type="dxa" w:w="100"/>
              <w:bottom w:type="dxa" w:w="80"/>
              <w:right w:type="dxa" w:w="100"/>
            </w:tcMar>
          </w:tcPr>
          <w:p>
            <w:r>
              <w:rPr>
                <w:sz w:val="20"/>
                <w:szCs w:val="20"/>
              </w:rPr>
              <w:t xml:space="preserve">Judge whether a draft answer's claims are supported by retrieved evidence</w:t>
            </w:r>
          </w:p>
        </w:tc>
        <w:tc>
          <w:tcPr>
            <w:tcW w:type="dxa" w:w="3266"/>
            <w:tcMar>
              <w:top w:type="dxa" w:w="80"/>
              <w:left w:type="dxa" w:w="100"/>
              <w:bottom w:type="dxa" w:w="80"/>
              <w:right w:type="dxa" w:w="100"/>
            </w:tcMar>
          </w:tcPr>
          <w:p>
            <w:r>
              <w:rPr>
                <w:sz w:val="20"/>
                <w:szCs w:val="20"/>
              </w:rPr>
              <w:t xml:space="preserve">Used only as a supplement to deterministic checks, never as the sole guardrail mechanism</w:t>
            </w:r>
          </w:p>
        </w:tc>
      </w:tr>
      <w:tr>
        <w:trPr>
          <w:tblHeader w:val="false"/>
        </w:trPr>
        <w:tc>
          <w:tcPr>
            <w:tcW w:type="dxa" w:w="3266"/>
            <w:tcMar>
              <w:top w:type="dxa" w:w="80"/>
              <w:left w:type="dxa" w:w="100"/>
              <w:bottom w:type="dxa" w:w="80"/>
              <w:right w:type="dxa" w:w="100"/>
            </w:tcMar>
          </w:tcPr>
          <w:p>
            <w:r>
              <w:rPr>
                <w:sz w:val="20"/>
                <w:szCs w:val="20"/>
              </w:rPr>
              <w:t xml:space="preserve">Final answer composition prompt</w:t>
            </w:r>
          </w:p>
        </w:tc>
        <w:tc>
          <w:tcPr>
            <w:tcW w:type="dxa" w:w="3266"/>
            <w:tcMar>
              <w:top w:type="dxa" w:w="80"/>
              <w:left w:type="dxa" w:w="100"/>
              <w:bottom w:type="dxa" w:w="80"/>
              <w:right w:type="dxa" w:w="100"/>
            </w:tcMar>
          </w:tcPr>
          <w:p>
            <w:r>
              <w:rPr>
                <w:sz w:val="20"/>
                <w:szCs w:val="20"/>
              </w:rPr>
              <w:t xml:space="preserve">Produce the user-facing response in the format specified in the architecture document (Section 13/14)</w:t>
            </w:r>
          </w:p>
        </w:tc>
        <w:tc>
          <w:tcPr>
            <w:tcW w:type="dxa" w:w="3266"/>
            <w:tcMar>
              <w:top w:type="dxa" w:w="80"/>
              <w:left w:type="dxa" w:w="100"/>
              <w:bottom w:type="dxa" w:w="80"/>
              <w:right w:type="dxa" w:w="100"/>
            </w:tcMar>
          </w:tcPr>
          <w:p>
            <w:r>
              <w:rPr>
                <w:sz w:val="20"/>
                <w:szCs w:val="20"/>
              </w:rPr>
              <w:t xml:space="preserve">Fixed structure (recommended card, value, calculation, rules used, caps/exclusions, assumptions, alternatives, confidence) enforced via prompt + output validation</w:t>
            </w:r>
          </w:p>
        </w:tc>
      </w:tr>
      <w:tr>
        <w:trPr>
          <w:tblHeader w:val="false"/>
        </w:trPr>
        <w:tc>
          <w:tcPr>
            <w:tcW w:type="dxa" w:w="3266"/>
            <w:tcMar>
              <w:top w:type="dxa" w:w="80"/>
              <w:left w:type="dxa" w:w="100"/>
              <w:bottom w:type="dxa" w:w="80"/>
              <w:right w:type="dxa" w:w="100"/>
            </w:tcMar>
          </w:tcPr>
          <w:p>
            <w:r>
              <w:rPr>
                <w:sz w:val="20"/>
                <w:szCs w:val="20"/>
              </w:rPr>
              <w:t xml:space="preserve">Evaluation prompt (for RAGAS-style automated grading)</w:t>
            </w:r>
          </w:p>
        </w:tc>
        <w:tc>
          <w:tcPr>
            <w:tcW w:type="dxa" w:w="3266"/>
            <w:tcMar>
              <w:top w:type="dxa" w:w="80"/>
              <w:left w:type="dxa" w:w="100"/>
              <w:bottom w:type="dxa" w:w="80"/>
              <w:right w:type="dxa" w:w="100"/>
            </w:tcMar>
          </w:tcPr>
          <w:p>
            <w:r>
              <w:rPr>
                <w:sz w:val="20"/>
                <w:szCs w:val="20"/>
              </w:rPr>
              <w:t xml:space="preserve">Score faithfulness/relevancy of a generated answer against retrieved context</w:t>
            </w:r>
          </w:p>
        </w:tc>
        <w:tc>
          <w:tcPr>
            <w:tcW w:type="dxa" w:w="3266"/>
            <w:tcMar>
              <w:top w:type="dxa" w:w="80"/>
              <w:left w:type="dxa" w:w="100"/>
              <w:bottom w:type="dxa" w:w="80"/>
              <w:right w:type="dxa" w:w="100"/>
            </w:tcMar>
          </w:tcPr>
          <w:p>
            <w:r>
              <w:rPr>
                <w:sz w:val="20"/>
                <w:szCs w:val="20"/>
              </w:rPr>
              <w:t xml:space="preserve">Kept entirely separate from the production prompts — evaluation prompts live in </w:t>
            </w:r>
            <w:r>
              <w:rPr>
                <w:rFonts w:ascii="Consolas" w:cs="Consolas" w:eastAsia="Consolas" w:hAnsi="Consolas"/>
                <w:sz w:val="20"/>
                <w:szCs w:val="20"/>
                <w:shd w:fill="F0F0F0" w:val="clear"/>
              </w:rPr>
              <w:t xml:space="preserve">evaluation/</w:t>
            </w:r>
            <w:r>
              <w:rPr>
                <w:sz w:val="20"/>
                <w:szCs w:val="20"/>
              </w:rPr>
              <w:t xml:space="preserve">, not </w:t>
            </w:r>
            <w:r>
              <w:rPr>
                <w:rFonts w:ascii="Consolas" w:cs="Consolas" w:eastAsia="Consolas" w:hAnsi="Consolas"/>
                <w:sz w:val="20"/>
                <w:szCs w:val="20"/>
                <w:shd w:fill="F0F0F0" w:val="clear"/>
              </w:rPr>
              <w:t xml:space="preserve">agents/prompts/</w:t>
            </w:r>
          </w:p>
        </w:tc>
      </w:tr>
    </w:tbl>
    <w:p>
      <w:pPr>
        <w:spacing w:after="200"/>
      </w:pPr>
    </w:p>
    <w:p>
      <w:pPr>
        <w:pStyle w:val="Heading2"/>
        <w:spacing w:after="140" w:before="260"/>
      </w:pPr>
      <w:r>
        <w:t xml:space="preserve">15.2 Prompt Versioning</w:t>
      </w:r>
    </w:p>
    <w:p>
      <w:pPr>
        <w:spacing w:after="160" w:line="300"/>
      </w:pPr>
      <w:r>
        <w:t xml:space="preserve">Store each prompt as a standalone, version-controlled file (</w:t>
      </w:r>
      <w:r>
        <w:rPr>
          <w:rFonts w:ascii="Consolas" w:cs="Consolas" w:eastAsia="Consolas" w:hAnsi="Consolas"/>
          <w:shd w:fill="F0F0F0" w:val="clear"/>
        </w:rPr>
        <w:t xml:space="preserve">agents/prompts/final_answer_v3.py</w:t>
      </w:r>
      <w:r>
        <w:t xml:space="preserve">, or a prompt-management table if the team wants runtime swapping without redeploying). Every prompt change that could affect output should be tagged in commit history and, ideally, re-run against the golden set before merging — treat prompt edits with the same rigor as code changes, because a "small wording tweak" is exactly the kind of change most likely to silently regress guardrail compliance.</w:t>
      </w:r>
    </w:p>
    <w:p>
      <w:pPr>
        <w:pStyle w:val="Heading1"/>
        <w:pageBreakBefore/>
        <w:spacing w:after="180" w:before="360"/>
      </w:pPr>
      <w:bookmarkStart w:name="sec15" w:id="1"/>
      <w:r>
        <w:t xml:space="preserve">16. API Development Workflow</w:t>
      </w:r>
      <w:bookmarkEnd w:id="1"/>
    </w:p>
    <w:p>
      <w:pPr>
        <w:spacing w:after="160" w:line="300"/>
      </w:pPr>
      <w:r>
        <w:t xml:space="preserve">Build the endpoints from the architecture document's Section 13 in this order: </w:t>
      </w:r>
      <w:r>
        <w:rPr>
          <w:rFonts w:ascii="Consolas" w:cs="Consolas" w:eastAsia="Consolas" w:hAnsi="Consolas"/>
          <w:shd w:fill="F0F0F0" w:val="clear"/>
        </w:rPr>
        <w:t xml:space="preserve">/health</w:t>
      </w:r>
      <w:r>
        <w:t xml:space="preserve"> → </w:t>
      </w:r>
      <w:r>
        <w:rPr>
          <w:rFonts w:ascii="Consolas" w:cs="Consolas" w:eastAsia="Consolas" w:hAnsi="Consolas"/>
          <w:shd w:fill="F0F0F0" w:val="clear"/>
        </w:rPr>
        <w:t xml:space="preserve">/recommend</w:t>
      </w:r>
      <w:r>
        <w:t xml:space="preserve"> → </w:t>
      </w:r>
      <w:r>
        <w:rPr>
          <w:rFonts w:ascii="Consolas" w:cs="Consolas" w:eastAsia="Consolas" w:hAnsi="Consolas"/>
          <w:shd w:fill="F0F0F0" w:val="clear"/>
        </w:rPr>
        <w:t xml:space="preserve">/cards</w:t>
      </w:r>
      <w:r>
        <w:t xml:space="preserve"> → </w:t>
      </w:r>
      <w:r>
        <w:rPr>
          <w:rFonts w:ascii="Consolas" w:cs="Consolas" w:eastAsia="Consolas" w:hAnsi="Consolas"/>
          <w:shd w:fill="F0F0F0" w:val="clear"/>
        </w:rPr>
        <w:t xml:space="preserve">/user/profile</w:t>
      </w:r>
      <w:r>
        <w:t xml:space="preserve"> → </w:t>
      </w:r>
      <w:r>
        <w:rPr>
          <w:rFonts w:ascii="Consolas" w:cs="Consolas" w:eastAsia="Consolas" w:hAnsi="Consolas"/>
          <w:shd w:fill="F0F0F0" w:val="clear"/>
        </w:rPr>
        <w:t xml:space="preserve">/optimize/monthly</w:t>
      </w:r>
      <w:r>
        <w:t xml:space="preserve"> → </w:t>
      </w:r>
      <w:r>
        <w:rPr>
          <w:rFonts w:ascii="Consolas" w:cs="Consolas" w:eastAsia="Consolas" w:hAnsi="Consolas"/>
          <w:shd w:fill="F0F0F0" w:val="clear"/>
        </w:rPr>
        <w:t xml:space="preserve">/transfer/evaluate</w:t>
      </w:r>
      <w:r>
        <w:t xml:space="preserve"> + </w:t>
      </w:r>
      <w:r>
        <w:rPr>
          <w:rFonts w:ascii="Consolas" w:cs="Consolas" w:eastAsia="Consolas" w:hAnsi="Consolas"/>
          <w:shd w:fill="F0F0F0" w:val="clear"/>
        </w:rPr>
        <w:t xml:space="preserve">/transfer/confirm</w:t>
      </w:r>
      <w:r>
        <w:t xml:space="preserve"> → </w:t>
      </w:r>
      <w:r>
        <w:rPr>
          <w:rFonts w:ascii="Consolas" w:cs="Consolas" w:eastAsia="Consolas" w:hAnsi="Consolas"/>
          <w:shd w:fill="F0F0F0" w:val="clear"/>
        </w:rPr>
        <w:t xml:space="preserve">/feedback</w:t>
      </w:r>
      <w:r>
        <w:t xml:space="preserve"> → </w:t>
      </w:r>
      <w:r>
        <w:rPr>
          <w:rFonts w:ascii="Consolas" w:cs="Consolas" w:eastAsia="Consolas" w:hAnsi="Consolas"/>
          <w:shd w:fill="F0F0F0" w:val="clear"/>
        </w:rPr>
        <w:t xml:space="preserve">/history</w:t>
      </w:r>
      <w:r>
        <w:t xml:space="preserve"> → </w:t>
      </w:r>
      <w:r>
        <w:rPr>
          <w:rFonts w:ascii="Consolas" w:cs="Consolas" w:eastAsia="Consolas" w:hAnsi="Consolas"/>
          <w:shd w:fill="F0F0F0" w:val="clear"/>
        </w:rPr>
        <w:t xml:space="preserve">/admin/documents</w:t>
      </w:r>
      <w:r>
        <w:t xml:space="preserve">. This order front-loads the highest-value, highest-risk endpoint (</w:t>
      </w:r>
      <w:r>
        <w:rPr>
          <w:rFonts w:ascii="Consolas" w:cs="Consolas" w:eastAsia="Consolas" w:hAnsi="Consolas"/>
          <w:shd w:fill="F0F0F0" w:val="clear"/>
        </w:rPr>
        <w:t xml:space="preserve">/recommend</w:t>
      </w:r>
      <w:r>
        <w:t xml:space="preserve">) immediately after the trivial health check, and pushes admin/reporting endpoints (lower risk, well-understood CRUD patterns) to the end.</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tblGrid>
      <w:tr>
        <w:trPr>
          <w:tblHeader/>
        </w:trPr>
        <w:tc>
          <w:tcPr>
            <w:tcW w:type="dxa" w:w="4900"/>
            <w:shd w:fill="1F4E79" w:color="auto" w:val="clear"/>
            <w:tcMar>
              <w:top w:type="dxa" w:w="80"/>
              <w:left w:type="dxa" w:w="100"/>
              <w:bottom w:type="dxa" w:w="80"/>
              <w:right w:type="dxa" w:w="100"/>
            </w:tcMar>
          </w:tcPr>
          <w:p>
            <w:r>
              <w:rPr>
                <w:b/>
                <w:bCs/>
                <w:color w:val="FFFFFF"/>
                <w:sz w:val="20"/>
                <w:szCs w:val="20"/>
              </w:rPr>
              <w:t xml:space="preserve">Concern</w:t>
            </w:r>
          </w:p>
        </w:tc>
        <w:tc>
          <w:tcPr>
            <w:tcW w:type="dxa" w:w="4900"/>
            <w:shd w:fill="1F4E79" w:color="auto" w:val="clear"/>
            <w:tcMar>
              <w:top w:type="dxa" w:w="80"/>
              <w:left w:type="dxa" w:w="100"/>
              <w:bottom w:type="dxa" w:w="80"/>
              <w:right w:type="dxa" w:w="100"/>
            </w:tcMar>
          </w:tcPr>
          <w:p>
            <w:r>
              <w:rPr>
                <w:b/>
                <w:bCs/>
                <w:color w:val="FFFFFF"/>
                <w:sz w:val="20"/>
                <w:szCs w:val="20"/>
              </w:rPr>
              <w:t xml:space="preserve">Approach</w:t>
            </w:r>
          </w:p>
        </w:tc>
      </w:tr>
      <w:tr>
        <w:trPr>
          <w:tblHeader w:val="false"/>
        </w:trPr>
        <w:tc>
          <w:tcPr>
            <w:tcW w:type="dxa" w:w="4900"/>
            <w:tcMar>
              <w:top w:type="dxa" w:w="80"/>
              <w:left w:type="dxa" w:w="100"/>
              <w:bottom w:type="dxa" w:w="80"/>
              <w:right w:type="dxa" w:w="100"/>
            </w:tcMar>
          </w:tcPr>
          <w:p>
            <w:r>
              <w:rPr>
                <w:sz w:val="20"/>
                <w:szCs w:val="20"/>
              </w:rPr>
              <w:t xml:space="preserve">Validation</w:t>
            </w:r>
          </w:p>
        </w:tc>
        <w:tc>
          <w:tcPr>
            <w:tcW w:type="dxa" w:w="4900"/>
            <w:tcMar>
              <w:top w:type="dxa" w:w="80"/>
              <w:left w:type="dxa" w:w="100"/>
              <w:bottom w:type="dxa" w:w="80"/>
              <w:right w:type="dxa" w:w="100"/>
            </w:tcMar>
          </w:tcPr>
          <w:p>
            <w:r>
              <w:rPr>
                <w:sz w:val="20"/>
                <w:szCs w:val="20"/>
              </w:rPr>
              <w:t xml:space="preserve">Pydantic request/response models on every endpoint — reject malformed input at the edge, never inside business logic</w:t>
            </w:r>
          </w:p>
        </w:tc>
      </w:tr>
      <w:tr>
        <w:trPr>
          <w:tblHeader w:val="false"/>
        </w:trPr>
        <w:tc>
          <w:tcPr>
            <w:tcW w:type="dxa" w:w="4900"/>
            <w:tcMar>
              <w:top w:type="dxa" w:w="80"/>
              <w:left w:type="dxa" w:w="100"/>
              <w:bottom w:type="dxa" w:w="80"/>
              <w:right w:type="dxa" w:w="100"/>
            </w:tcMar>
          </w:tcPr>
          <w:p>
            <w:r>
              <w:rPr>
                <w:sz w:val="20"/>
                <w:szCs w:val="20"/>
              </w:rPr>
              <w:t xml:space="preserve">Authentication</w:t>
            </w:r>
          </w:p>
        </w:tc>
        <w:tc>
          <w:tcPr>
            <w:tcW w:type="dxa" w:w="4900"/>
            <w:tcMar>
              <w:top w:type="dxa" w:w="80"/>
              <w:left w:type="dxa" w:w="100"/>
              <w:bottom w:type="dxa" w:w="80"/>
              <w:right w:type="dxa" w:w="100"/>
            </w:tcMar>
          </w:tcPr>
          <w:p>
            <w:r>
              <w:rPr>
                <w:sz w:val="20"/>
                <w:szCs w:val="20"/>
              </w:rPr>
              <w:t xml:space="preserve">JWT bearer tokens from Stage 2 onward (per architecture doc FR-1); MVP can run single-user/no-auth locally</w:t>
            </w:r>
          </w:p>
        </w:tc>
      </w:tr>
      <w:tr>
        <w:trPr>
          <w:tblHeader w:val="false"/>
        </w:trPr>
        <w:tc>
          <w:tcPr>
            <w:tcW w:type="dxa" w:w="4900"/>
            <w:tcMar>
              <w:top w:type="dxa" w:w="80"/>
              <w:left w:type="dxa" w:w="100"/>
              <w:bottom w:type="dxa" w:w="80"/>
              <w:right w:type="dxa" w:w="100"/>
            </w:tcMar>
          </w:tcPr>
          <w:p>
            <w:r>
              <w:rPr>
                <w:sz w:val="20"/>
                <w:szCs w:val="20"/>
              </w:rPr>
              <w:t xml:space="preserve">Pagination</w:t>
            </w:r>
          </w:p>
        </w:tc>
        <w:tc>
          <w:tcPr>
            <w:tcW w:type="dxa" w:w="4900"/>
            <w:tcMar>
              <w:top w:type="dxa" w:w="80"/>
              <w:left w:type="dxa" w:w="100"/>
              <w:bottom w:type="dxa" w:w="80"/>
              <w:right w:type="dxa" w:w="100"/>
            </w:tcMar>
          </w:tcPr>
          <w:p>
            <w:r>
              <w:rPr>
                <w:sz w:val="20"/>
                <w:szCs w:val="20"/>
              </w:rPr>
              <w:t xml:space="preserve">Cursor-based pagination on </w:t>
            </w:r>
            <w:r>
              <w:rPr>
                <w:rFonts w:ascii="Consolas" w:cs="Consolas" w:eastAsia="Consolas" w:hAnsi="Consolas"/>
                <w:sz w:val="20"/>
                <w:szCs w:val="20"/>
                <w:shd w:fill="F0F0F0" w:val="clear"/>
              </w:rPr>
              <w:t xml:space="preserve">/history</w:t>
            </w:r>
            <w:r>
              <w:rPr>
                <w:sz w:val="20"/>
                <w:szCs w:val="20"/>
              </w:rPr>
              <w:t xml:space="preserve"> (offset pagination degrades on large tables and is more prone to skipped/duplicated rows under concurrent writes)</w:t>
            </w:r>
          </w:p>
        </w:tc>
      </w:tr>
      <w:tr>
        <w:trPr>
          <w:tblHeader w:val="false"/>
        </w:trPr>
        <w:tc>
          <w:tcPr>
            <w:tcW w:type="dxa" w:w="4900"/>
            <w:tcMar>
              <w:top w:type="dxa" w:w="80"/>
              <w:left w:type="dxa" w:w="100"/>
              <w:bottom w:type="dxa" w:w="80"/>
              <w:right w:type="dxa" w:w="100"/>
            </w:tcMar>
          </w:tcPr>
          <w:p>
            <w:r>
              <w:rPr>
                <w:sz w:val="20"/>
                <w:szCs w:val="20"/>
              </w:rPr>
              <w:t xml:space="preserve">Rate limiting</w:t>
            </w:r>
          </w:p>
        </w:tc>
        <w:tc>
          <w:tcPr>
            <w:tcW w:type="dxa" w:w="4900"/>
            <w:tcMar>
              <w:top w:type="dxa" w:w="80"/>
              <w:left w:type="dxa" w:w="100"/>
              <w:bottom w:type="dxa" w:w="80"/>
              <w:right w:type="dxa" w:w="100"/>
            </w:tcMar>
          </w:tcPr>
          <w:p>
            <w:r>
              <w:rPr>
                <w:sz w:val="20"/>
                <w:szCs w:val="20"/>
              </w:rPr>
              <w:t xml:space="preserve">Per-user token bucket (e.g., </w:t>
            </w:r>
            <w:r>
              <w:rPr>
                <w:rFonts w:ascii="Consolas" w:cs="Consolas" w:eastAsia="Consolas" w:hAnsi="Consolas"/>
                <w:sz w:val="20"/>
                <w:szCs w:val="20"/>
                <w:shd w:fill="F0F0F0" w:val="clear"/>
              </w:rPr>
              <w:t xml:space="preserve">slowapi</w:t>
            </w:r>
            <w:r>
              <w:rPr>
                <w:sz w:val="20"/>
                <w:szCs w:val="20"/>
              </w:rPr>
              <w:t xml:space="preserve"> for FastAPI) — primarily to bound LLM cost exposure, secondarily to prevent abuse</w:t>
            </w:r>
          </w:p>
        </w:tc>
      </w:tr>
      <w:tr>
        <w:trPr>
          <w:tblHeader w:val="false"/>
        </w:trPr>
        <w:tc>
          <w:tcPr>
            <w:tcW w:type="dxa" w:w="4900"/>
            <w:tcMar>
              <w:top w:type="dxa" w:w="80"/>
              <w:left w:type="dxa" w:w="100"/>
              <w:bottom w:type="dxa" w:w="80"/>
              <w:right w:type="dxa" w:w="100"/>
            </w:tcMar>
          </w:tcPr>
          <w:p>
            <w:r>
              <w:rPr>
                <w:sz w:val="20"/>
                <w:szCs w:val="20"/>
              </w:rPr>
              <w:t xml:space="preserve">Error handling</w:t>
            </w:r>
          </w:p>
        </w:tc>
        <w:tc>
          <w:tcPr>
            <w:tcW w:type="dxa" w:w="4900"/>
            <w:tcMar>
              <w:top w:type="dxa" w:w="80"/>
              <w:left w:type="dxa" w:w="100"/>
              <w:bottom w:type="dxa" w:w="80"/>
              <w:right w:type="dxa" w:w="100"/>
            </w:tcMar>
          </w:tcPr>
          <w:p>
            <w:r>
              <w:rPr>
                <w:sz w:val="20"/>
                <w:szCs w:val="20"/>
              </w:rPr>
              <w:t xml:space="preserve">Consistent error envelope (</w:t>
            </w:r>
            <w:r>
              <w:rPr>
                <w:rFonts w:ascii="Consolas" w:cs="Consolas" w:eastAsia="Consolas" w:hAnsi="Consolas"/>
                <w:sz w:val="20"/>
                <w:szCs w:val="20"/>
                <w:shd w:fill="F0F0F0" w:val="clear"/>
              </w:rPr>
              <w:t xml:space="preserve">{"error": {"code": ..., "message": ...}}</w:t>
            </w:r>
            <w:r>
              <w:rPr>
                <w:sz w:val="20"/>
                <w:szCs w:val="20"/>
              </w:rPr>
              <w:t xml:space="preserve">) across all endpoints, implemented once as FastAPI exception handlers, not repeated per-route</w:t>
            </w:r>
          </w:p>
        </w:tc>
      </w:tr>
      <w:tr>
        <w:trPr>
          <w:tblHeader w:val="false"/>
        </w:trPr>
        <w:tc>
          <w:tcPr>
            <w:tcW w:type="dxa" w:w="4900"/>
            <w:tcMar>
              <w:top w:type="dxa" w:w="80"/>
              <w:left w:type="dxa" w:w="100"/>
              <w:bottom w:type="dxa" w:w="80"/>
              <w:right w:type="dxa" w:w="100"/>
            </w:tcMar>
          </w:tcPr>
          <w:p>
            <w:r>
              <w:rPr>
                <w:sz w:val="20"/>
                <w:szCs w:val="20"/>
              </w:rPr>
              <w:t xml:space="preserve">Versioning</w:t>
            </w:r>
          </w:p>
        </w:tc>
        <w:tc>
          <w:tcPr>
            <w:tcW w:type="dxa" w:w="4900"/>
            <w:tcMar>
              <w:top w:type="dxa" w:w="80"/>
              <w:left w:type="dxa" w:w="100"/>
              <w:bottom w:type="dxa" w:w="80"/>
              <w:right w:type="dxa" w:w="100"/>
            </w:tcMar>
          </w:tcPr>
          <w:p>
            <w:r>
              <w:rPr>
                <w:sz w:val="20"/>
                <w:szCs w:val="20"/>
              </w:rPr>
              <w:t xml:space="preserve">URI-based (</w:t>
            </w:r>
            <w:r>
              <w:rPr>
                <w:rFonts w:ascii="Consolas" w:cs="Consolas" w:eastAsia="Consolas" w:hAnsi="Consolas"/>
                <w:sz w:val="20"/>
                <w:szCs w:val="20"/>
                <w:shd w:fill="F0F0F0" w:val="clear"/>
              </w:rPr>
              <w:t xml:space="preserve">/api/v1/...</w:t>
            </w:r>
            <w:r>
              <w:rPr>
                <w:sz w:val="20"/>
                <w:szCs w:val="20"/>
              </w:rPr>
              <w:t xml:space="preserve">) from day one, even with only one version — retrofitting versioning after a breaking change ships is far more painful than starting with it</w:t>
            </w:r>
          </w:p>
        </w:tc>
      </w:tr>
      <w:tr>
        <w:trPr>
          <w:tblHeader w:val="false"/>
        </w:trPr>
        <w:tc>
          <w:tcPr>
            <w:tcW w:type="dxa" w:w="4900"/>
            <w:tcMar>
              <w:top w:type="dxa" w:w="80"/>
              <w:left w:type="dxa" w:w="100"/>
              <w:bottom w:type="dxa" w:w="80"/>
              <w:right w:type="dxa" w:w="100"/>
            </w:tcMar>
          </w:tcPr>
          <w:p>
            <w:r>
              <w:rPr>
                <w:sz w:val="20"/>
                <w:szCs w:val="20"/>
              </w:rPr>
              <w:t xml:space="preserve">Documentation</w:t>
            </w:r>
          </w:p>
        </w:tc>
        <w:tc>
          <w:tcPr>
            <w:tcW w:type="dxa" w:w="4900"/>
            <w:tcMar>
              <w:top w:type="dxa" w:w="80"/>
              <w:left w:type="dxa" w:w="100"/>
              <w:bottom w:type="dxa" w:w="80"/>
              <w:right w:type="dxa" w:w="100"/>
            </w:tcMar>
          </w:tcPr>
          <w:p>
            <w:r>
              <w:rPr>
                <w:sz w:val="20"/>
                <w:szCs w:val="20"/>
              </w:rPr>
              <w:t xml:space="preserve">FastAPI's built-in OpenAPI/Swagger UI, kept accurate by relying on Pydantic models as the single source of truth rather than hand-written API docs that drift</w:t>
            </w:r>
          </w:p>
        </w:tc>
      </w:tr>
    </w:tbl>
    <w:p>
      <w:pPr>
        <w:spacing w:after="200"/>
      </w:pPr>
    </w:p>
    <w:p>
      <w:pPr>
        <w:pStyle w:val="Heading1"/>
        <w:pageBreakBefore/>
        <w:spacing w:after="180" w:before="360"/>
      </w:pPr>
      <w:bookmarkStart w:name="sec16" w:id="1"/>
      <w:r>
        <w:t xml:space="preserve">17. Frontend Development Workflow</w:t>
      </w:r>
      <w:bookmarkEnd w:id="1"/>
    </w:p>
    <w:p>
      <w:pPr>
        <w:pStyle w:val="Heading2"/>
        <w:spacing w:after="140" w:before="260"/>
      </w:pPr>
      <w:r>
        <w:t xml:space="preserve">17.1 MVP Scope: Streamlit</w:t>
      </w:r>
    </w:p>
    <w:p>
      <w:pPr>
        <w:spacing w:after="160" w:line="300"/>
      </w:pPr>
      <w:r>
        <w:t xml:space="preserve">For Phase 1–3, a Streamlit app is the right choice — it is explicitly the tool recommended in the architecture document, and building a custom SPA before the backend/agent logic is proven would be solving the wrong problem first. Streamlit pages/components needed:</w:t>
      </w:r>
    </w:p>
    <w:p>
      <w:pPr>
        <w:pStyle w:val="ListParagraph"/>
        <w:numPr>
          <w:ilvl w:val="0"/>
          <w:numId w:val="1"/>
        </w:numPr>
        <w:spacing w:after="80" w:line="290"/>
      </w:pPr>
      <w:r>
        <w:rPr>
          <w:b/>
          <w:bCs/>
        </w:rPr>
        <w:t xml:space="preserve">Chat interface:</w:t>
      </w:r>
      <w:r>
        <w:t xml:space="preserve"> the core interaction — a message list plus input box, calling </w:t>
      </w:r>
      <w:r>
        <w:rPr>
          <w:rFonts w:ascii="Consolas" w:cs="Consolas" w:eastAsia="Consolas" w:hAnsi="Consolas"/>
          <w:shd w:fill="F0F0F0" w:val="clear"/>
        </w:rPr>
        <w:t xml:space="preserve">/recommend</w:t>
      </w:r>
      <w:r>
        <w:t xml:space="preserve"> (and follow-up endpoints for multi-turn flows).</w:t>
      </w:r>
    </w:p>
    <w:p>
      <w:pPr>
        <w:pStyle w:val="ListParagraph"/>
        <w:numPr>
          <w:ilvl w:val="0"/>
          <w:numId w:val="1"/>
        </w:numPr>
        <w:spacing w:after="80" w:line="290"/>
      </w:pPr>
      <w:r>
        <w:rPr>
          <w:b/>
          <w:bCs/>
        </w:rPr>
        <w:t xml:space="preserve">Recommendation cards:</w:t>
      </w:r>
      <w:r>
        <w:t xml:space="preserve"> a structured rendering of the response schema (recommended card, value, calculation breakdown, rules used, assumptions, confidence) — do not just dump the raw LLM text; render the structured JSON response into a clear card layout, since the explainability requirement (architecture doc, Section 8) is a </w:t>
      </w:r>
      <w:r>
        <w:rPr>
          <w:i/>
          <w:iCs/>
        </w:rPr>
        <w:t xml:space="preserve">product</w:t>
      </w:r>
      <w:r>
        <w:t xml:space="preserve"> requirement, not just a backend one.</w:t>
      </w:r>
    </w:p>
    <w:p>
      <w:pPr>
        <w:pStyle w:val="ListParagraph"/>
        <w:numPr>
          <w:ilvl w:val="0"/>
          <w:numId w:val="1"/>
        </w:numPr>
        <w:spacing w:after="80" w:line="290"/>
      </w:pPr>
      <w:r>
        <w:rPr>
          <w:b/>
          <w:bCs/>
        </w:rPr>
        <w:t xml:space="preserve">Confirm/Cancel buttons:</w:t>
      </w:r>
      <w:r>
        <w:t xml:space="preserve"> for the Human Approval flow — these must block further interaction until resolved, matching the interrupt/resume semantics of the backend graph.</w:t>
      </w:r>
    </w:p>
    <w:p>
      <w:pPr>
        <w:pStyle w:val="ListParagraph"/>
        <w:numPr>
          <w:ilvl w:val="0"/>
          <w:numId w:val="1"/>
        </w:numPr>
        <w:spacing w:after="80" w:line="290"/>
      </w:pPr>
      <w:r>
        <w:rPr>
          <w:b/>
          <w:bCs/>
        </w:rPr>
        <w:t xml:space="preserve">Basic analytics view:</w:t>
      </w:r>
      <w:r>
        <w:t xml:space="preserve"> a simple table/chart of past recommendations (</w:t>
      </w:r>
      <w:r>
        <w:rPr>
          <w:rFonts w:ascii="Consolas" w:cs="Consolas" w:eastAsia="Consolas" w:hAnsi="Consolas"/>
          <w:shd w:fill="F0F0F0" w:val="clear"/>
        </w:rPr>
        <w:t xml:space="preserve">/history</w:t>
      </w:r>
      <w:r>
        <w:t xml:space="preserve">), useful for both the user and for demoing FR-16.</w:t>
      </w:r>
    </w:p>
    <w:p>
      <w:pPr>
        <w:pStyle w:val="ListParagraph"/>
        <w:numPr>
          <w:ilvl w:val="0"/>
          <w:numId w:val="1"/>
        </w:numPr>
        <w:spacing w:after="80" w:line="290"/>
      </w:pPr>
      <w:r>
        <w:rPr>
          <w:b/>
          <w:bCs/>
        </w:rPr>
        <w:t xml:space="preserve">Admin panel:</w:t>
      </w:r>
      <w:r>
        <w:t xml:space="preserve"> a minimal, separate Streamlit page (or a second app) for document upload and structured-rule review (Section 11.2) — kept intentionally simple; this is an internal tool, not a customer-facing surface.</w:t>
      </w:r>
    </w:p>
    <w:p>
      <w:pPr>
        <w:pStyle w:val="Heading2"/>
        <w:spacing w:after="140" w:before="260"/>
      </w:pPr>
      <w:r>
        <w:t xml:space="preserve">17.2 State Management</w:t>
      </w:r>
    </w:p>
    <w:p>
      <w:pPr>
        <w:spacing w:after="160" w:line="300"/>
      </w:pPr>
      <w:r>
        <w:t xml:space="preserve">Streamlit's built-in </w:t>
      </w:r>
      <w:r>
        <w:rPr>
          <w:rFonts w:ascii="Consolas" w:cs="Consolas" w:eastAsia="Consolas" w:hAnsi="Consolas"/>
          <w:shd w:fill="F0F0F0" w:val="clear"/>
        </w:rPr>
        <w:t xml:space="preserve">st.session_state</w:t>
      </w:r>
      <w:r>
        <w:t xml:space="preserve"> is sufficient for the MVP's conversational state — do not reach for a heavier state-management library at this stage; it would be solving a problem Streamlit's model doesn't actually have yet.</w:t>
      </w:r>
    </w:p>
    <w:p>
      <w:pPr>
        <w:pStyle w:val="Heading2"/>
        <w:spacing w:after="140" w:before="260"/>
      </w:pPr>
      <w:r>
        <w:t xml:space="preserve">17.3 Forms and Validation</w:t>
      </w:r>
    </w:p>
    <w:p>
      <w:pPr>
        <w:spacing w:after="160" w:line="300"/>
      </w:pPr>
      <w:r>
        <w:t xml:space="preserve">Mirror backend Pydantic validation in the UI (e.g., reject negative spend amounts client-side too) for responsiveness, but always treat backend validation as the source of truth — never rely on client-side validation alone for anything that reaches the database or the LLM.</w:t>
      </w:r>
    </w:p>
    <w:p>
      <w:pPr>
        <w:pStyle w:val="Heading2"/>
        <w:spacing w:after="140" w:before="260"/>
      </w:pPr>
      <w:r>
        <w:t xml:space="preserve">17.4 Future Evolution (Explicitly Out of Scope for MVP–Phase 3)</w:t>
      </w:r>
    </w:p>
    <w:p>
      <w:pPr>
        <w:spacing w:after="160" w:line="300"/>
      </w:pPr>
      <w:r>
        <w:t xml:space="preserve">A Next.js (or similar) frontend is a reasonable Phase 4+/production evolution once the API contract (Section 16) has stabilized — building it earlier risks the frontend and backend contracts co-evolving painfully while the core agent logic is still changing weekly.</w:t>
      </w:r>
    </w:p>
    <w:p>
      <w:pPr>
        <w:pStyle w:val="Heading1"/>
        <w:pageBreakBefore/>
        <w:spacing w:after="180" w:before="360"/>
      </w:pPr>
      <w:bookmarkStart w:name="sec17" w:id="1"/>
      <w:r>
        <w:t xml:space="preserve">18. Testing Workflow</w:t>
      </w:r>
      <w:bookmarkEnd w:id="1"/>
    </w:p>
    <w:p>
      <w:pPr>
        <w:pStyle w:val="Heading2"/>
        <w:spacing w:after="140" w:before="260"/>
      </w:pPr>
      <w:r>
        <w:t xml:space="preserve">18.1 Test Pyramid for This Project</w:t>
      </w:r>
    </w:p>
    <w:p>
      <w:pPr>
        <w:spacing w:after="240" w:before="120"/>
        <w:jc w:val="center"/>
      </w:pPr>
      <w:r>
        <w:drawing>
          <wp:inline distT="0" distB="0" distL="0" distR="0">
            <wp:extent cx="5905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619750"/>
                    </a:xfrm>
                    <a:prstGeom prst="rect">
                      <a:avLst/>
                    </a:prstGeom>
                  </pic:spPr>
                </pic:pic>
              </a:graphicData>
            </a:graphic>
          </wp:inline>
        </w:drawing>
      </w:r>
    </w:p>
    <w:p>
      <w:pPr>
        <w:spacing w:after="160" w:line="300"/>
      </w:pPr>
      <w:r>
        <w:t xml:space="preserve">The pyramid is intentionally bottom-heavy: the calculator and chunking logic should have the largest number of fast, isolated unit tests, since they are the deterministic core the entire system's trustworthiness depends on.</w:t>
      </w:r>
    </w:p>
    <w:p>
      <w:pPr>
        <w:pStyle w:val="Heading2"/>
        <w:spacing w:after="140" w:before="260"/>
      </w:pPr>
      <w:r>
        <w:t xml:space="preserve">18.2 Golden Dataset Creation (Do This Early, Not Last)</w:t>
      </w:r>
    </w:p>
    <w:p>
      <w:pPr>
        <w:spacing w:after="160" w:line="300"/>
      </w:pPr>
      <w:r>
        <w:t xml:space="preserve">Start the golden dataset in </w:t>
      </w:r>
      <w:r>
        <w:rPr>
          <w:b/>
          <w:bCs/>
        </w:rPr>
        <w:t xml:space="preserve">Phase 1</w:t>
      </w:r>
      <w:r>
        <w:t xml:space="preserve">, not Phase 4 — write the 20 initial (query, expected retrieved rule, expected calculation, expected recommendation) tuples </w:t>
      </w:r>
      <w:r>
        <w:rPr>
          <w:i/>
          <w:iCs/>
        </w:rPr>
        <w:t xml:space="preserve">before</w:t>
      </w:r>
      <w:r>
        <w:t xml:space="preserve"> the retriever is even fully built, based on manually reading the source PDFs. This ordering matters: a golden set written after the system exists tends to unconsciously encode the system's existing behavior (including its bugs) as "correct," rather than encoding ground truth independently derived from the source documents.</w:t>
      </w:r>
    </w:p>
    <w:p>
      <w:pPr>
        <w:pStyle w:val="Heading2"/>
        <w:spacing w:after="140" w:before="260"/>
      </w:pPr>
      <w:r>
        <w:t xml:space="preserve">18.3 Test Types and Tooling</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Test type</w:t>
            </w:r>
          </w:p>
        </w:tc>
        <w:tc>
          <w:tcPr>
            <w:tcW w:type="dxa" w:w="3266"/>
            <w:shd w:fill="1F4E79" w:color="auto" w:val="clear"/>
            <w:tcMar>
              <w:top w:type="dxa" w:w="80"/>
              <w:left w:type="dxa" w:w="100"/>
              <w:bottom w:type="dxa" w:w="80"/>
              <w:right w:type="dxa" w:w="100"/>
            </w:tcMar>
          </w:tcPr>
          <w:p>
            <w:r>
              <w:rPr>
                <w:b/>
                <w:bCs/>
                <w:color w:val="FFFFFF"/>
                <w:sz w:val="20"/>
                <w:szCs w:val="20"/>
              </w:rPr>
              <w:t xml:space="preserve">Tooling</w:t>
            </w:r>
          </w:p>
        </w:tc>
        <w:tc>
          <w:tcPr>
            <w:tcW w:type="dxa" w:w="3266"/>
            <w:shd w:fill="1F4E79" w:color="auto" w:val="clear"/>
            <w:tcMar>
              <w:top w:type="dxa" w:w="80"/>
              <w:left w:type="dxa" w:w="100"/>
              <w:bottom w:type="dxa" w:w="80"/>
              <w:right w:type="dxa" w:w="100"/>
            </w:tcMar>
          </w:tcPr>
          <w:p>
            <w:r>
              <w:rPr>
                <w:b/>
                <w:bCs/>
                <w:color w:val="FFFFFF"/>
                <w:sz w:val="20"/>
                <w:szCs w:val="20"/>
              </w:rPr>
              <w:t xml:space="preserve">What it catches</w:t>
            </w:r>
          </w:p>
        </w:tc>
      </w:tr>
      <w:tr>
        <w:trPr>
          <w:tblHeader w:val="false"/>
        </w:trPr>
        <w:tc>
          <w:tcPr>
            <w:tcW w:type="dxa" w:w="3266"/>
            <w:tcMar>
              <w:top w:type="dxa" w:w="80"/>
              <w:left w:type="dxa" w:w="100"/>
              <w:bottom w:type="dxa" w:w="80"/>
              <w:right w:type="dxa" w:w="100"/>
            </w:tcMar>
          </w:tcPr>
          <w:p>
            <w:r>
              <w:rPr>
                <w:sz w:val="20"/>
                <w:szCs w:val="20"/>
              </w:rPr>
              <w:t xml:space="preserve">Unit</w:t>
            </w:r>
          </w:p>
        </w:tc>
        <w:tc>
          <w:tcPr>
            <w:tcW w:type="dxa" w:w="3266"/>
            <w:tcMar>
              <w:top w:type="dxa" w:w="80"/>
              <w:left w:type="dxa" w:w="100"/>
              <w:bottom w:type="dxa" w:w="80"/>
              <w:right w:type="dxa" w:w="100"/>
            </w:tcMar>
          </w:tcPr>
          <w:p>
            <w:r>
              <w:rPr>
                <w:sz w:val="20"/>
                <w:szCs w:val="20"/>
              </w:rPr>
              <w:t xml:space="preserve">pytest</w:t>
            </w:r>
          </w:p>
        </w:tc>
        <w:tc>
          <w:tcPr>
            <w:tcW w:type="dxa" w:w="3266"/>
            <w:tcMar>
              <w:top w:type="dxa" w:w="80"/>
              <w:left w:type="dxa" w:w="100"/>
              <w:bottom w:type="dxa" w:w="80"/>
              <w:right w:type="dxa" w:w="100"/>
            </w:tcMar>
          </w:tcPr>
          <w:p>
            <w:r>
              <w:rPr>
                <w:sz w:val="20"/>
                <w:szCs w:val="20"/>
              </w:rPr>
              <w:t xml:space="preserve">Calculator boundary conditions, chunking edge cases, individual node logic in isolation</w:t>
            </w:r>
          </w:p>
        </w:tc>
      </w:tr>
      <w:tr>
        <w:trPr>
          <w:tblHeader w:val="false"/>
        </w:trPr>
        <w:tc>
          <w:tcPr>
            <w:tcW w:type="dxa" w:w="3266"/>
            <w:tcMar>
              <w:top w:type="dxa" w:w="80"/>
              <w:left w:type="dxa" w:w="100"/>
              <w:bottom w:type="dxa" w:w="80"/>
              <w:right w:type="dxa" w:w="100"/>
            </w:tcMar>
          </w:tcPr>
          <w:p>
            <w:r>
              <w:rPr>
                <w:sz w:val="20"/>
                <w:szCs w:val="20"/>
              </w:rPr>
              <w:t xml:space="preserve">Integration</w:t>
            </w:r>
          </w:p>
        </w:tc>
        <w:tc>
          <w:tcPr>
            <w:tcW w:type="dxa" w:w="3266"/>
            <w:tcMar>
              <w:top w:type="dxa" w:w="80"/>
              <w:left w:type="dxa" w:w="100"/>
              <w:bottom w:type="dxa" w:w="80"/>
              <w:right w:type="dxa" w:w="100"/>
            </w:tcMar>
          </w:tcPr>
          <w:p>
            <w:r>
              <w:rPr>
                <w:sz w:val="20"/>
                <w:szCs w:val="20"/>
              </w:rPr>
              <w:t xml:space="preserve">pytest + a test Postgres instance (via </w:t>
            </w:r>
            <w:r>
              <w:rPr>
                <w:rFonts w:ascii="Consolas" w:cs="Consolas" w:eastAsia="Consolas" w:hAnsi="Consolas"/>
                <w:sz w:val="20"/>
                <w:szCs w:val="20"/>
                <w:shd w:fill="F0F0F0" w:val="clear"/>
              </w:rPr>
              <w:t xml:space="preserve">testcontainers</w:t>
            </w:r>
            <w:r>
              <w:rPr>
                <w:sz w:val="20"/>
                <w:szCs w:val="20"/>
              </w:rPr>
              <w:t xml:space="preserve"> or a docker-compose test profile)</w:t>
            </w:r>
          </w:p>
        </w:tc>
        <w:tc>
          <w:tcPr>
            <w:tcW w:type="dxa" w:w="3266"/>
            <w:tcMar>
              <w:top w:type="dxa" w:w="80"/>
              <w:left w:type="dxa" w:w="100"/>
              <w:bottom w:type="dxa" w:w="80"/>
              <w:right w:type="dxa" w:w="100"/>
            </w:tcMar>
          </w:tcPr>
          <w:p>
            <w:r>
              <w:rPr>
                <w:sz w:val="20"/>
                <w:szCs w:val="20"/>
              </w:rPr>
              <w:t xml:space="preserve">Retrieval→calculation→guardrail pipeline wiring bugs</w:t>
            </w:r>
          </w:p>
        </w:tc>
      </w:tr>
      <w:tr>
        <w:trPr>
          <w:tblHeader w:val="false"/>
        </w:trPr>
        <w:tc>
          <w:tcPr>
            <w:tcW w:type="dxa" w:w="3266"/>
            <w:tcMar>
              <w:top w:type="dxa" w:w="80"/>
              <w:left w:type="dxa" w:w="100"/>
              <w:bottom w:type="dxa" w:w="80"/>
              <w:right w:type="dxa" w:w="100"/>
            </w:tcMar>
          </w:tcPr>
          <w:p>
            <w:r>
              <w:rPr>
                <w:sz w:val="20"/>
                <w:szCs w:val="20"/>
              </w:rPr>
              <w:t xml:space="preserve">Agent</w:t>
            </w:r>
          </w:p>
        </w:tc>
        <w:tc>
          <w:tcPr>
            <w:tcW w:type="dxa" w:w="3266"/>
            <w:tcMar>
              <w:top w:type="dxa" w:w="80"/>
              <w:left w:type="dxa" w:w="100"/>
              <w:bottom w:type="dxa" w:w="80"/>
              <w:right w:type="dxa" w:w="100"/>
            </w:tcMar>
          </w:tcPr>
          <w:p>
            <w:r>
              <w:rPr>
                <w:sz w:val="20"/>
                <w:szCs w:val="20"/>
              </w:rPr>
              <w:t xml:space="preserve">pytest driving the compiled LangGraph graph directly (not through the API)</w:t>
            </w:r>
          </w:p>
        </w:tc>
        <w:tc>
          <w:tcPr>
            <w:tcW w:type="dxa" w:w="3266"/>
            <w:tcMar>
              <w:top w:type="dxa" w:w="80"/>
              <w:left w:type="dxa" w:w="100"/>
              <w:bottom w:type="dxa" w:w="80"/>
              <w:right w:type="dxa" w:w="100"/>
            </w:tcMar>
          </w:tcPr>
          <w:p>
            <w:r>
              <w:rPr>
                <w:sz w:val="20"/>
                <w:szCs w:val="20"/>
              </w:rPr>
              <w:t xml:space="preserve">Branching logic (clarification, approval) exercised end-to-end without network/UI overhead</w:t>
            </w:r>
          </w:p>
        </w:tc>
      </w:tr>
      <w:tr>
        <w:trPr>
          <w:tblHeader w:val="false"/>
        </w:trPr>
        <w:tc>
          <w:tcPr>
            <w:tcW w:type="dxa" w:w="3266"/>
            <w:tcMar>
              <w:top w:type="dxa" w:w="80"/>
              <w:left w:type="dxa" w:w="100"/>
              <w:bottom w:type="dxa" w:w="80"/>
              <w:right w:type="dxa" w:w="100"/>
            </w:tcMar>
          </w:tcPr>
          <w:p>
            <w:r>
              <w:rPr>
                <w:sz w:val="20"/>
                <w:szCs w:val="20"/>
              </w:rPr>
              <w:t xml:space="preserve">RAG evaluation</w:t>
            </w:r>
          </w:p>
        </w:tc>
        <w:tc>
          <w:tcPr>
            <w:tcW w:type="dxa" w:w="3266"/>
            <w:tcMar>
              <w:top w:type="dxa" w:w="80"/>
              <w:left w:type="dxa" w:w="100"/>
              <w:bottom w:type="dxa" w:w="80"/>
              <w:right w:type="dxa" w:w="100"/>
            </w:tcMar>
          </w:tcPr>
          <w:p>
            <w:r>
              <w:rPr>
                <w:sz w:val="20"/>
                <w:szCs w:val="20"/>
              </w:rPr>
              <w:t xml:space="preserve">RAGAS or a custom harness against the golden set</w:t>
            </w:r>
          </w:p>
        </w:tc>
        <w:tc>
          <w:tcPr>
            <w:tcW w:type="dxa" w:w="3266"/>
            <w:tcMar>
              <w:top w:type="dxa" w:w="80"/>
              <w:left w:type="dxa" w:w="100"/>
              <w:bottom w:type="dxa" w:w="80"/>
              <w:right w:type="dxa" w:w="100"/>
            </w:tcMar>
          </w:tcPr>
          <w:p>
            <w:r>
              <w:rPr>
                <w:sz w:val="20"/>
                <w:szCs w:val="20"/>
              </w:rPr>
              <w:t xml:space="preserve">Precision@K, recall@K, faithfulness, hallucination rate</w:t>
            </w:r>
          </w:p>
        </w:tc>
      </w:tr>
      <w:tr>
        <w:trPr>
          <w:tblHeader w:val="false"/>
        </w:trPr>
        <w:tc>
          <w:tcPr>
            <w:tcW w:type="dxa" w:w="3266"/>
            <w:tcMar>
              <w:top w:type="dxa" w:w="80"/>
              <w:left w:type="dxa" w:w="100"/>
              <w:bottom w:type="dxa" w:w="80"/>
              <w:right w:type="dxa" w:w="100"/>
            </w:tcMar>
          </w:tcPr>
          <w:p>
            <w:r>
              <w:rPr>
                <w:sz w:val="20"/>
                <w:szCs w:val="20"/>
              </w:rPr>
              <w:t xml:space="preserve">Calculator evaluation</w:t>
            </w:r>
          </w:p>
        </w:tc>
        <w:tc>
          <w:tcPr>
            <w:tcW w:type="dxa" w:w="3266"/>
            <w:tcMar>
              <w:top w:type="dxa" w:w="80"/>
              <w:left w:type="dxa" w:w="100"/>
              <w:bottom w:type="dxa" w:w="80"/>
              <w:right w:type="dxa" w:w="100"/>
            </w:tcMar>
          </w:tcPr>
          <w:p>
            <w:r>
              <w:rPr>
                <w:sz w:val="20"/>
                <w:szCs w:val="20"/>
              </w:rPr>
              <w:t xml:space="preserve">Direct comparison against hand-verified expected values</w:t>
            </w:r>
          </w:p>
        </w:tc>
        <w:tc>
          <w:tcPr>
            <w:tcW w:type="dxa" w:w="3266"/>
            <w:tcMar>
              <w:top w:type="dxa" w:w="80"/>
              <w:left w:type="dxa" w:w="100"/>
              <w:bottom w:type="dxa" w:w="80"/>
              <w:right w:type="dxa" w:w="100"/>
            </w:tcMar>
          </w:tcPr>
          <w:p>
            <w:r>
              <w:rPr>
                <w:sz w:val="20"/>
                <w:szCs w:val="20"/>
              </w:rPr>
              <w:t xml:space="preserve">100%-or-fail bar — no tolerance for arithmetic drift</w:t>
            </w:r>
          </w:p>
        </w:tc>
      </w:tr>
      <w:tr>
        <w:trPr>
          <w:tblHeader w:val="false"/>
        </w:trPr>
        <w:tc>
          <w:tcPr>
            <w:tcW w:type="dxa" w:w="3266"/>
            <w:tcMar>
              <w:top w:type="dxa" w:w="80"/>
              <w:left w:type="dxa" w:w="100"/>
              <w:bottom w:type="dxa" w:w="80"/>
              <w:right w:type="dxa" w:w="100"/>
            </w:tcMar>
          </w:tcPr>
          <w:p>
            <w:r>
              <w:rPr>
                <w:sz w:val="20"/>
                <w:szCs w:val="20"/>
              </w:rPr>
              <w:t xml:space="preserve">Security</w:t>
            </w:r>
          </w:p>
        </w:tc>
        <w:tc>
          <w:tcPr>
            <w:tcW w:type="dxa" w:w="3266"/>
            <w:tcMar>
              <w:top w:type="dxa" w:w="80"/>
              <w:left w:type="dxa" w:w="100"/>
              <w:bottom w:type="dxa" w:w="80"/>
              <w:right w:type="dxa" w:w="100"/>
            </w:tcMar>
          </w:tcPr>
          <w:p>
            <w:r>
              <w:rPr>
                <w:sz w:val="20"/>
                <w:szCs w:val="20"/>
              </w:rPr>
              <w:t xml:space="preserve">Manual red-teaming + a small suite of prompt-injection test cases embedded in test PDFs</w:t>
            </w:r>
          </w:p>
        </w:tc>
        <w:tc>
          <w:tcPr>
            <w:tcW w:type="dxa" w:w="3266"/>
            <w:tcMar>
              <w:top w:type="dxa" w:w="80"/>
              <w:left w:type="dxa" w:w="100"/>
              <w:bottom w:type="dxa" w:w="80"/>
              <w:right w:type="dxa" w:w="100"/>
            </w:tcMar>
          </w:tcPr>
          <w:p>
            <w:r>
              <w:rPr>
                <w:sz w:val="20"/>
                <w:szCs w:val="20"/>
              </w:rPr>
              <w:t xml:space="preserve">Whether ingested document content can override system behavior</w:t>
            </w:r>
          </w:p>
        </w:tc>
      </w:tr>
      <w:tr>
        <w:trPr>
          <w:tblHeader w:val="false"/>
        </w:trPr>
        <w:tc>
          <w:tcPr>
            <w:tcW w:type="dxa" w:w="3266"/>
            <w:tcMar>
              <w:top w:type="dxa" w:w="80"/>
              <w:left w:type="dxa" w:w="100"/>
              <w:bottom w:type="dxa" w:w="80"/>
              <w:right w:type="dxa" w:w="100"/>
            </w:tcMar>
          </w:tcPr>
          <w:p>
            <w:r>
              <w:rPr>
                <w:sz w:val="20"/>
                <w:szCs w:val="20"/>
              </w:rPr>
              <w:t xml:space="preserve">Load</w:t>
            </w:r>
          </w:p>
        </w:tc>
        <w:tc>
          <w:tcPr>
            <w:tcW w:type="dxa" w:w="3266"/>
            <w:tcMar>
              <w:top w:type="dxa" w:w="80"/>
              <w:left w:type="dxa" w:w="100"/>
              <w:bottom w:type="dxa" w:w="80"/>
              <w:right w:type="dxa" w:w="100"/>
            </w:tcMar>
          </w:tcPr>
          <w:p>
            <w:r>
              <w:rPr>
                <w:sz w:val="20"/>
                <w:szCs w:val="20"/>
              </w:rPr>
              <w:t xml:space="preserve">Locust or k6 against the API</w:t>
            </w:r>
          </w:p>
        </w:tc>
        <w:tc>
          <w:tcPr>
            <w:tcW w:type="dxa" w:w="3266"/>
            <w:tcMar>
              <w:top w:type="dxa" w:w="80"/>
              <w:left w:type="dxa" w:w="100"/>
              <w:bottom w:type="dxa" w:w="80"/>
              <w:right w:type="dxa" w:w="100"/>
            </w:tcMar>
          </w:tcPr>
          <w:p>
            <w:r>
              <w:rPr>
                <w:sz w:val="20"/>
                <w:szCs w:val="20"/>
              </w:rPr>
              <w:t xml:space="preserve">Behavior under concurrent users (connection pool exhaustion, latency degradation)</w:t>
            </w:r>
          </w:p>
        </w:tc>
      </w:tr>
      <w:tr>
        <w:trPr>
          <w:tblHeader w:val="false"/>
        </w:trPr>
        <w:tc>
          <w:tcPr>
            <w:tcW w:type="dxa" w:w="3266"/>
            <w:tcMar>
              <w:top w:type="dxa" w:w="80"/>
              <w:left w:type="dxa" w:w="100"/>
              <w:bottom w:type="dxa" w:w="80"/>
              <w:right w:type="dxa" w:w="100"/>
            </w:tcMar>
          </w:tcPr>
          <w:p>
            <w:r>
              <w:rPr>
                <w:sz w:val="20"/>
                <w:szCs w:val="20"/>
              </w:rPr>
              <w:t xml:space="preserve">Regression</w:t>
            </w:r>
          </w:p>
        </w:tc>
        <w:tc>
          <w:tcPr>
            <w:tcW w:type="dxa" w:w="3266"/>
            <w:tcMar>
              <w:top w:type="dxa" w:w="80"/>
              <w:left w:type="dxa" w:w="100"/>
              <w:bottom w:type="dxa" w:w="80"/>
              <w:right w:type="dxa" w:w="100"/>
            </w:tcMar>
          </w:tcPr>
          <w:p>
            <w:r>
              <w:rPr>
                <w:sz w:val="20"/>
                <w:szCs w:val="20"/>
              </w:rPr>
              <w:t xml:space="preserve">The full golden-set evaluation, re-run in CI on every PR that touches </w:t>
            </w:r>
            <w:r>
              <w:rPr>
                <w:rFonts w:ascii="Consolas" w:cs="Consolas" w:eastAsia="Consolas" w:hAnsi="Consolas"/>
                <w:sz w:val="20"/>
                <w:szCs w:val="20"/>
                <w:shd w:fill="F0F0F0" w:val="clear"/>
              </w:rPr>
              <w:t xml:space="preserve">agents/</w:t>
            </w:r>
            <w:r>
              <w:rPr>
                <w:sz w:val="20"/>
                <w:szCs w:val="20"/>
              </w:rPr>
              <w:t xml:space="preserve">, </w:t>
            </w:r>
            <w:r>
              <w:rPr>
                <w:rFonts w:ascii="Consolas" w:cs="Consolas" w:eastAsia="Consolas" w:hAnsi="Consolas"/>
                <w:sz w:val="20"/>
                <w:szCs w:val="20"/>
                <w:shd w:fill="F0F0F0" w:val="clear"/>
              </w:rPr>
              <w:t xml:space="preserve">tools/</w:t>
            </w:r>
            <w:r>
              <w:rPr>
                <w:sz w:val="20"/>
                <w:szCs w:val="20"/>
              </w:rPr>
              <w:t xml:space="preserve">, or </w:t>
            </w:r>
            <w:r>
              <w:rPr>
                <w:rFonts w:ascii="Consolas" w:cs="Consolas" w:eastAsia="Consolas" w:hAnsi="Consolas"/>
                <w:sz w:val="20"/>
                <w:szCs w:val="20"/>
                <w:shd w:fill="F0F0F0" w:val="clear"/>
              </w:rPr>
              <w:t xml:space="preserve">rag/</w:t>
            </w:r>
          </w:p>
        </w:tc>
        <w:tc>
          <w:tcPr>
            <w:tcW w:type="dxa" w:w="3266"/>
            <w:tcMar>
              <w:top w:type="dxa" w:w="80"/>
              <w:left w:type="dxa" w:w="100"/>
              <w:bottom w:type="dxa" w:w="80"/>
              <w:right w:type="dxa" w:w="100"/>
            </w:tcMar>
          </w:tcPr>
          <w:p>
            <w:r>
              <w:rPr>
                <w:sz w:val="20"/>
                <w:szCs w:val="20"/>
              </w:rPr>
              <w:t xml:space="preserve">Silent regressions from prompt or retrieval changes</w:t>
            </w:r>
          </w:p>
        </w:tc>
      </w:tr>
    </w:tbl>
    <w:p>
      <w:pPr>
        <w:spacing w:after="200"/>
      </w:pPr>
    </w:p>
    <w:p>
      <w:pPr>
        <w:pStyle w:val="Heading2"/>
        <w:spacing w:after="140" w:before="260"/>
      </w:pPr>
      <w:r>
        <w:t xml:space="preserve">18.4 CI Gating</w:t>
      </w:r>
    </w:p>
    <w:p>
      <w:pPr>
        <w:spacing w:after="160" w:line="300"/>
      </w:pPr>
      <w:r>
        <w:t xml:space="preserve">Configure CI to </w:t>
      </w:r>
      <w:r>
        <w:rPr>
          <w:b/>
          <w:bCs/>
        </w:rPr>
        <w:t xml:space="preserve">block merges</w:t>
      </w:r>
      <w:r>
        <w:t xml:space="preserve"> if calculation accuracy drops below 100% or hallucination rate rises above 0% on the golden set — these two metrics are non-negotiable given the domain, unlike, say, retrieval precision, which can reasonably have a softer, monitored-but-not-blocking threshold during early iteration.</w:t>
      </w:r>
    </w:p>
    <w:p>
      <w:pPr>
        <w:pStyle w:val="Heading1"/>
        <w:pageBreakBefore/>
        <w:spacing w:after="180" w:before="360"/>
      </w:pPr>
      <w:bookmarkStart w:name="sec18" w:id="1"/>
      <w:r>
        <w:t xml:space="preserve">19. Monitoring Workflow</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tblGrid>
      <w:tr>
        <w:trPr>
          <w:tblHeader/>
        </w:trPr>
        <w:tc>
          <w:tcPr>
            <w:tcW w:type="dxa" w:w="4900"/>
            <w:shd w:fill="1F4E79" w:color="auto" w:val="clear"/>
            <w:tcMar>
              <w:top w:type="dxa" w:w="80"/>
              <w:left w:type="dxa" w:w="100"/>
              <w:bottom w:type="dxa" w:w="80"/>
              <w:right w:type="dxa" w:w="100"/>
            </w:tcMar>
          </w:tcPr>
          <w:p>
            <w:r>
              <w:rPr>
                <w:b/>
                <w:bCs/>
                <w:color w:val="FFFFFF"/>
                <w:sz w:val="20"/>
                <w:szCs w:val="20"/>
              </w:rPr>
              <w:t xml:space="preserve">Concern</w:t>
            </w:r>
          </w:p>
        </w:tc>
        <w:tc>
          <w:tcPr>
            <w:tcW w:type="dxa" w:w="4900"/>
            <w:shd w:fill="1F4E79" w:color="auto" w:val="clear"/>
            <w:tcMar>
              <w:top w:type="dxa" w:w="80"/>
              <w:left w:type="dxa" w:w="100"/>
              <w:bottom w:type="dxa" w:w="80"/>
              <w:right w:type="dxa" w:w="100"/>
            </w:tcMar>
          </w:tcPr>
          <w:p>
            <w:r>
              <w:rPr>
                <w:b/>
                <w:bCs/>
                <w:color w:val="FFFFFF"/>
                <w:sz w:val="20"/>
                <w:szCs w:val="20"/>
              </w:rPr>
              <w:t xml:space="preserve">Approach</w:t>
            </w:r>
          </w:p>
        </w:tc>
      </w:tr>
      <w:tr>
        <w:trPr>
          <w:tblHeader w:val="false"/>
        </w:trPr>
        <w:tc>
          <w:tcPr>
            <w:tcW w:type="dxa" w:w="4900"/>
            <w:tcMar>
              <w:top w:type="dxa" w:w="80"/>
              <w:left w:type="dxa" w:w="100"/>
              <w:bottom w:type="dxa" w:w="80"/>
              <w:right w:type="dxa" w:w="100"/>
            </w:tcMar>
          </w:tcPr>
          <w:p>
            <w:r>
              <w:rPr>
                <w:sz w:val="20"/>
                <w:szCs w:val="20"/>
              </w:rPr>
              <w:t xml:space="preserve">Logging</w:t>
            </w:r>
          </w:p>
        </w:tc>
        <w:tc>
          <w:tcPr>
            <w:tcW w:type="dxa" w:w="4900"/>
            <w:tcMar>
              <w:top w:type="dxa" w:w="80"/>
              <w:left w:type="dxa" w:w="100"/>
              <w:bottom w:type="dxa" w:w="80"/>
              <w:right w:type="dxa" w:w="100"/>
            </w:tcMar>
          </w:tcPr>
          <w:p>
            <w:r>
              <w:rPr>
                <w:sz w:val="20"/>
                <w:szCs w:val="20"/>
              </w:rPr>
              <w:t xml:space="preserve">Structured (JSON) logs for every request: query, intent, retrieved chunk IDs, tool calls, final answer, latency, token usage — written to </w:t>
            </w:r>
            <w:r>
              <w:rPr>
                <w:rFonts w:ascii="Consolas" w:cs="Consolas" w:eastAsia="Consolas" w:hAnsi="Consolas"/>
                <w:sz w:val="20"/>
                <w:szCs w:val="20"/>
                <w:shd w:fill="F0F0F0" w:val="clear"/>
              </w:rPr>
              <w:t xml:space="preserve">recommendation_logs</w:t>
            </w:r>
            <w:r>
              <w:rPr>
                <w:sz w:val="20"/>
                <w:szCs w:val="20"/>
              </w:rPr>
              <w:t xml:space="preserve"> (for product/audit use) and to a standard log stream (for operational debugging)</w:t>
            </w:r>
          </w:p>
        </w:tc>
      </w:tr>
      <w:tr>
        <w:trPr>
          <w:tblHeader w:val="false"/>
        </w:trPr>
        <w:tc>
          <w:tcPr>
            <w:tcW w:type="dxa" w:w="4900"/>
            <w:tcMar>
              <w:top w:type="dxa" w:w="80"/>
              <w:left w:type="dxa" w:w="100"/>
              <w:bottom w:type="dxa" w:w="80"/>
              <w:right w:type="dxa" w:w="100"/>
            </w:tcMar>
          </w:tcPr>
          <w:p>
            <w:r>
              <w:rPr>
                <w:sz w:val="20"/>
                <w:szCs w:val="20"/>
              </w:rPr>
              <w:t xml:space="preserve">Tracing</w:t>
            </w:r>
          </w:p>
        </w:tc>
        <w:tc>
          <w:tcPr>
            <w:tcW w:type="dxa" w:w="4900"/>
            <w:tcMar>
              <w:top w:type="dxa" w:w="80"/>
              <w:left w:type="dxa" w:w="100"/>
              <w:bottom w:type="dxa" w:w="80"/>
              <w:right w:type="dxa" w:w="100"/>
            </w:tcMar>
          </w:tcPr>
          <w:p>
            <w:r>
              <w:rPr>
                <w:sz w:val="20"/>
                <w:szCs w:val="20"/>
              </w:rPr>
              <w:t xml:space="preserve">LangSmith or Phoenix (open-source alternative) wired in from Phase 1 onward — do not defer tracing to Phase 3; debugging agent behavior without traces from the start makes early development significantly slower</w:t>
            </w:r>
          </w:p>
        </w:tc>
      </w:tr>
      <w:tr>
        <w:trPr>
          <w:tblHeader w:val="false"/>
        </w:trPr>
        <w:tc>
          <w:tcPr>
            <w:tcW w:type="dxa" w:w="4900"/>
            <w:tcMar>
              <w:top w:type="dxa" w:w="80"/>
              <w:left w:type="dxa" w:w="100"/>
              <w:bottom w:type="dxa" w:w="80"/>
              <w:right w:type="dxa" w:w="100"/>
            </w:tcMar>
          </w:tcPr>
          <w:p>
            <w:r>
              <w:rPr>
                <w:sz w:val="20"/>
                <w:szCs w:val="20"/>
              </w:rPr>
              <w:t xml:space="preserve">Metrics</w:t>
            </w:r>
          </w:p>
        </w:tc>
        <w:tc>
          <w:tcPr>
            <w:tcW w:type="dxa" w:w="4900"/>
            <w:tcMar>
              <w:top w:type="dxa" w:w="80"/>
              <w:left w:type="dxa" w:w="100"/>
              <w:bottom w:type="dxa" w:w="80"/>
              <w:right w:type="dxa" w:w="100"/>
            </w:tcMar>
          </w:tcPr>
          <w:p>
            <w:r>
              <w:rPr>
                <w:sz w:val="20"/>
                <w:szCs w:val="20"/>
              </w:rPr>
              <w:t xml:space="preserve">Track per-node latency, not just end-to-end latency — this is what lets you identify whether a slowdown is in retrieval, the LLM call, or the calculator</w:t>
            </w:r>
          </w:p>
        </w:tc>
      </w:tr>
      <w:tr>
        <w:trPr>
          <w:tblHeader w:val="false"/>
        </w:trPr>
        <w:tc>
          <w:tcPr>
            <w:tcW w:type="dxa" w:w="4900"/>
            <w:tcMar>
              <w:top w:type="dxa" w:w="80"/>
              <w:left w:type="dxa" w:w="100"/>
              <w:bottom w:type="dxa" w:w="80"/>
              <w:right w:type="dxa" w:w="100"/>
            </w:tcMar>
          </w:tcPr>
          <w:p>
            <w:r>
              <w:rPr>
                <w:sz w:val="20"/>
                <w:szCs w:val="20"/>
              </w:rPr>
              <w:t xml:space="preserve">Token usage / cost tracking</w:t>
            </w:r>
          </w:p>
        </w:tc>
        <w:tc>
          <w:tcPr>
            <w:tcW w:type="dxa" w:w="4900"/>
            <w:tcMar>
              <w:top w:type="dxa" w:w="80"/>
              <w:left w:type="dxa" w:w="100"/>
              <w:bottom w:type="dxa" w:w="80"/>
              <w:right w:type="dxa" w:w="100"/>
            </w:tcMar>
          </w:tcPr>
          <w:p>
            <w:r>
              <w:rPr>
                <w:sz w:val="20"/>
                <w:szCs w:val="20"/>
              </w:rPr>
              <w:t xml:space="preserve">Log tokens per call, tagged by node, so cost attribution is possible (e.g., "the final-answer generation step is 60% of our per-query cost")</w:t>
            </w:r>
          </w:p>
        </w:tc>
      </w:tr>
      <w:tr>
        <w:trPr>
          <w:tblHeader w:val="false"/>
        </w:trPr>
        <w:tc>
          <w:tcPr>
            <w:tcW w:type="dxa" w:w="4900"/>
            <w:tcMar>
              <w:top w:type="dxa" w:w="80"/>
              <w:left w:type="dxa" w:w="100"/>
              <w:bottom w:type="dxa" w:w="80"/>
              <w:right w:type="dxa" w:w="100"/>
            </w:tcMar>
          </w:tcPr>
          <w:p>
            <w:r>
              <w:rPr>
                <w:sz w:val="20"/>
                <w:szCs w:val="20"/>
              </w:rPr>
              <w:t xml:space="preserve">Failure detection</w:t>
            </w:r>
          </w:p>
        </w:tc>
        <w:tc>
          <w:tcPr>
            <w:tcW w:type="dxa" w:w="4900"/>
            <w:tcMar>
              <w:top w:type="dxa" w:w="80"/>
              <w:left w:type="dxa" w:w="100"/>
              <w:bottom w:type="dxa" w:w="80"/>
              <w:right w:type="dxa" w:w="100"/>
            </w:tcMar>
          </w:tcPr>
          <w:p>
            <w:r>
              <w:rPr>
                <w:sz w:val="20"/>
                <w:szCs w:val="20"/>
              </w:rPr>
              <w:t xml:space="preserve">Alert on: guardrail loop-cap hit rate rising, "insufficient information" rate rising sharply (may indicate a retrieval regression), LLM API error rate</w:t>
            </w:r>
          </w:p>
        </w:tc>
      </w:tr>
      <w:tr>
        <w:trPr>
          <w:tblHeader w:val="false"/>
        </w:trPr>
        <w:tc>
          <w:tcPr>
            <w:tcW w:type="dxa" w:w="4900"/>
            <w:tcMar>
              <w:top w:type="dxa" w:w="80"/>
              <w:left w:type="dxa" w:w="100"/>
              <w:bottom w:type="dxa" w:w="80"/>
              <w:right w:type="dxa" w:w="100"/>
            </w:tcMar>
          </w:tcPr>
          <w:p>
            <w:r>
              <w:rPr>
                <w:sz w:val="20"/>
                <w:szCs w:val="20"/>
              </w:rPr>
              <w:t xml:space="preserve">User feedback</w:t>
            </w:r>
          </w:p>
        </w:tc>
        <w:tc>
          <w:tcPr>
            <w:tcW w:type="dxa" w:w="4900"/>
            <w:tcMar>
              <w:top w:type="dxa" w:w="80"/>
              <w:left w:type="dxa" w:w="100"/>
              <w:bottom w:type="dxa" w:w="80"/>
              <w:right w:type="dxa" w:w="100"/>
            </w:tcMar>
          </w:tcPr>
          <w:p>
            <w:r>
              <w:rPr>
                <w:sz w:val="20"/>
                <w:szCs w:val="20"/>
              </w:rPr>
              <w:t xml:space="preserve">The </w:t>
            </w:r>
            <w:r>
              <w:rPr>
                <w:rFonts w:ascii="Consolas" w:cs="Consolas" w:eastAsia="Consolas" w:hAnsi="Consolas"/>
                <w:sz w:val="20"/>
                <w:szCs w:val="20"/>
                <w:shd w:fill="F0F0F0" w:val="clear"/>
              </w:rPr>
              <w:t xml:space="preserve">/feedback</w:t>
            </w:r>
            <w:r>
              <w:rPr>
                <w:sz w:val="20"/>
                <w:szCs w:val="20"/>
              </w:rPr>
              <w:t xml:space="preserve"> endpoint (FR-9) writes directly into </w:t>
            </w:r>
            <w:r>
              <w:rPr>
                <w:rFonts w:ascii="Consolas" w:cs="Consolas" w:eastAsia="Consolas" w:hAnsi="Consolas"/>
                <w:sz w:val="20"/>
                <w:szCs w:val="20"/>
                <w:shd w:fill="F0F0F0" w:val="clear"/>
              </w:rPr>
              <w:t xml:space="preserve">recommendation_logs</w:t>
            </w:r>
            <w:r>
              <w:rPr>
                <w:sz w:val="20"/>
                <w:szCs w:val="20"/>
              </w:rPr>
              <w:t xml:space="preserve">, joined against the original query/answer, so feedback is always traceable to full context, not just a standalone rating number</w:t>
            </w:r>
          </w:p>
        </w:tc>
      </w:tr>
    </w:tbl>
    <w:p>
      <w:pPr>
        <w:spacing w:after="200"/>
      </w:pPr>
    </w:p>
    <w:p>
      <w:pPr>
        <w:pStyle w:val="Heading1"/>
        <w:pageBreakBefore/>
        <w:spacing w:after="180" w:before="360"/>
      </w:pPr>
      <w:bookmarkStart w:name="sec19" w:id="1"/>
      <w:r>
        <w:t xml:space="preserve">20. Deployment Workflow</w:t>
      </w:r>
      <w:bookmarkEnd w:id="1"/>
    </w:p>
    <w:p>
      <w:pPr>
        <w:pStyle w:val="Heading2"/>
        <w:spacing w:after="140" w:before="260"/>
      </w:pPr>
      <w:r>
        <w:t xml:space="preserve">20.1 Dockerization</w:t>
      </w:r>
    </w:p>
    <w:p>
      <w:pPr>
        <w:spacing w:after="160" w:line="300"/>
      </w:pPr>
      <w:r>
        <w:t xml:space="preserve">A multi-stage </w:t>
      </w:r>
      <w:r>
        <w:rPr>
          <w:rFonts w:ascii="Consolas" w:cs="Consolas" w:eastAsia="Consolas" w:hAnsi="Consolas"/>
          <w:shd w:fill="F0F0F0" w:val="clear"/>
        </w:rPr>
        <w:t xml:space="preserve">Dockerfile</w:t>
      </w:r>
      <w:r>
        <w:t xml:space="preserve"> (build stage installs dependencies, runtime stage copies only what's needed) keeps the deployed image lean. </w:t>
      </w:r>
      <w:r>
        <w:rPr>
          <w:rFonts w:ascii="Consolas" w:cs="Consolas" w:eastAsia="Consolas" w:hAnsi="Consolas"/>
          <w:shd w:fill="F0F0F0" w:val="clear"/>
        </w:rPr>
        <w:t xml:space="preserve">docker-compose.yml</w:t>
      </w:r>
      <w:r>
        <w:t xml:space="preserve"> remains the primary local-dev and capstone-demo deployment mechanism; a more elaborate orchestration platform (Kubernetes) is explicitly out of scope at this project's scale — introducing it here would be solving a scaling problem the project doesn't have yet.</w:t>
      </w:r>
    </w:p>
    <w:p>
      <w:pPr>
        <w:pStyle w:val="Heading2"/>
        <w:spacing w:after="140" w:before="260"/>
      </w:pPr>
      <w:r>
        <w:t xml:space="preserve">20.2 CI/CD Pipeline</w:t>
      </w:r>
    </w:p>
    <w:p>
      <w:pPr>
        <w:spacing w:after="240" w:before="120"/>
        <w:jc w:val="center"/>
      </w:pPr>
      <w:r>
        <w:drawing>
          <wp:inline distT="0" distB="0" distL="0" distR="0">
            <wp:extent cx="412432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24325" cy="7810500"/>
                    </a:xfrm>
                    <a:prstGeom prst="rect">
                      <a:avLst/>
                    </a:prstGeom>
                  </pic:spPr>
                </pic:pic>
              </a:graphicData>
            </a:graphic>
          </wp:inline>
        </w:drawing>
      </w:r>
    </w:p>
    <w:p>
      <w:pPr>
        <w:spacing w:after="160" w:line="300"/>
      </w:pPr>
      <w:r>
        <w:rPr>
          <w:b/>
          <w:bCs/>
        </w:rPr>
        <w:t xml:space="preserve">GitHub Actions</w:t>
      </w:r>
      <w:r>
        <w:t xml:space="preserve"> is the recommended CI/CD platform given its zero-setup integration with a GitHub-hosted repo and generous free tier for a capstone project's usage volume. Keep the pipeline linear and fast (target under 5 minutes for the lint+test stages) so it doesn't become a bottleneck the team learns to ignore.</w:t>
      </w:r>
    </w:p>
    <w:p>
      <w:pPr>
        <w:pStyle w:val="Heading2"/>
        <w:spacing w:after="140" w:before="260"/>
      </w:pPr>
      <w:r>
        <w:t xml:space="preserve">20.3 Cloud Deployment</w:t>
      </w:r>
    </w:p>
    <w:p>
      <w:pPr>
        <w:spacing w:after="160" w:line="300"/>
      </w:pPr>
      <w:r>
        <w:t xml:space="preserve">A single small VM or a managed container service (e.g., a basic App Runner/Cloud Run-style service) is sufficient. Database: a managed Postgres instance with pgvector support if available on the chosen provider, otherwise self-hosted Postgres on the same VM for capstone scale — do not over-provision for a load the project will never see during evaluation/demo.</w:t>
      </w:r>
    </w:p>
    <w:p>
      <w:pPr>
        <w:pStyle w:val="Heading2"/>
        <w:spacing w:after="140" w:before="260"/>
      </w:pPr>
      <w:r>
        <w:t xml:space="preserve">20.4 Secrets in Deployment</w:t>
      </w:r>
    </w:p>
    <w:p>
      <w:pPr>
        <w:spacing w:after="160" w:line="300"/>
      </w:pPr>
      <w:r>
        <w:t xml:space="preserve">Injected via the platform's secret manager as environment variables at container start — never baked into the Docker image, never committed, matching the local </w:t>
      </w:r>
      <w:r>
        <w:rPr>
          <w:rFonts w:ascii="Consolas" w:cs="Consolas" w:eastAsia="Consolas" w:hAnsi="Consolas"/>
          <w:shd w:fill="F0F0F0" w:val="clear"/>
        </w:rPr>
        <w:t xml:space="preserve">.env</w:t>
      </w:r>
      <w:r>
        <w:t xml:space="preserve"> pattern from Section 4.</w:t>
      </w:r>
    </w:p>
    <w:p>
      <w:pPr>
        <w:pStyle w:val="Heading2"/>
        <w:spacing w:after="140" w:before="260"/>
      </w:pPr>
      <w:r>
        <w:t xml:space="preserve">20.5 Rollback Strategy</w:t>
      </w:r>
    </w:p>
    <w:p>
      <w:pPr>
        <w:spacing w:after="160" w:line="300"/>
      </w:pPr>
      <w:r>
        <w:t xml:space="preserve">Tag every deployed image with the Git commit SHA; keep the previous image available so a rollback is "redeploy the previous tag," not "revert code and rebuild under pressure." This is a five-minute setup cost that pays for itself the first time a bad deploy needs reverting during a demo week.</w:t>
      </w:r>
    </w:p>
    <w:p>
      <w:pPr>
        <w:pStyle w:val="Heading1"/>
        <w:pageBreakBefore/>
        <w:spacing w:after="180" w:before="360"/>
      </w:pPr>
      <w:bookmarkStart w:name="sec20" w:id="1"/>
      <w:r>
        <w:t xml:space="preserve">21. Development Timeline</w:t>
      </w:r>
      <w:bookmarkEnd w:id="1"/>
    </w:p>
    <w:p>
      <w:pPr>
        <w:spacing w:after="160" w:line="300"/>
      </w:pPr>
      <w:r>
        <w:t xml:space="preserve">A realistic 14–16 week schedule for a 1–2 person team at capstone pace, aligned to the phases in Section 3:</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Week</w:t>
            </w:r>
          </w:p>
        </w:tc>
        <w:tc>
          <w:tcPr>
            <w:tcW w:type="dxa" w:w="3266"/>
            <w:shd w:fill="1F4E79" w:color="auto" w:val="clear"/>
            <w:tcMar>
              <w:top w:type="dxa" w:w="80"/>
              <w:left w:type="dxa" w:w="100"/>
              <w:bottom w:type="dxa" w:w="80"/>
              <w:right w:type="dxa" w:w="100"/>
            </w:tcMar>
          </w:tcPr>
          <w:p>
            <w:r>
              <w:rPr>
                <w:b/>
                <w:bCs/>
                <w:color w:val="FFFFFF"/>
                <w:sz w:val="20"/>
                <w:szCs w:val="20"/>
              </w:rPr>
              <w:t xml:space="preserve">Focus</w:t>
            </w:r>
          </w:p>
        </w:tc>
        <w:tc>
          <w:tcPr>
            <w:tcW w:type="dxa" w:w="3266"/>
            <w:shd w:fill="1F4E79" w:color="auto" w:val="clear"/>
            <w:tcMar>
              <w:top w:type="dxa" w:w="80"/>
              <w:left w:type="dxa" w:w="100"/>
              <w:bottom w:type="dxa" w:w="80"/>
              <w:right w:type="dxa" w:w="100"/>
            </w:tcMar>
          </w:tcPr>
          <w:p>
            <w:r>
              <w:rPr>
                <w:b/>
                <w:bCs/>
                <w:color w:val="FFFFFF"/>
                <w:sz w:val="20"/>
                <w:szCs w:val="20"/>
              </w:rPr>
              <w:t xml:space="preserve">Milestone</w:t>
            </w:r>
          </w:p>
        </w:tc>
      </w:tr>
      <w:tr>
        <w:trPr>
          <w:tblHeader w:val="false"/>
        </w:trPr>
        <w:tc>
          <w:tcPr>
            <w:tcW w:type="dxa" w:w="3266"/>
            <w:tcMar>
              <w:top w:type="dxa" w:w="80"/>
              <w:left w:type="dxa" w:w="100"/>
              <w:bottom w:type="dxa" w:w="80"/>
              <w:right w:type="dxa" w:w="100"/>
            </w:tcMar>
          </w:tcPr>
          <w:p>
            <w:r>
              <w:rPr>
                <w:sz w:val="20"/>
                <w:szCs w:val="20"/>
              </w:rPr>
              <w:t xml:space="preserve">1</w:t>
            </w:r>
          </w:p>
        </w:tc>
        <w:tc>
          <w:tcPr>
            <w:tcW w:type="dxa" w:w="3266"/>
            <w:tcMar>
              <w:top w:type="dxa" w:w="80"/>
              <w:left w:type="dxa" w:w="100"/>
              <w:bottom w:type="dxa" w:w="80"/>
              <w:right w:type="dxa" w:w="100"/>
            </w:tcMar>
          </w:tcPr>
          <w:p>
            <w:r>
              <w:rPr>
                <w:sz w:val="20"/>
                <w:szCs w:val="20"/>
              </w:rPr>
              <w:t xml:space="preserve">Phase 0: repo, Docker, CI skeleton, DB schema drafted</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docker-compose up</w:t>
            </w:r>
            <w:r>
              <w:rPr>
                <w:sz w:val="20"/>
                <w:szCs w:val="20"/>
              </w:rPr>
              <w:t xml:space="preserve"> works; empty CI pipeline green</w:t>
            </w:r>
          </w:p>
        </w:tc>
      </w:tr>
      <w:tr>
        <w:trPr>
          <w:tblHeader w:val="false"/>
        </w:trPr>
        <w:tc>
          <w:tcPr>
            <w:tcW w:type="dxa" w:w="3266"/>
            <w:tcMar>
              <w:top w:type="dxa" w:w="80"/>
              <w:left w:type="dxa" w:w="100"/>
              <w:bottom w:type="dxa" w:w="80"/>
              <w:right w:type="dxa" w:w="100"/>
            </w:tcMar>
          </w:tcPr>
          <w:p>
            <w:r>
              <w:rPr>
                <w:sz w:val="20"/>
                <w:szCs w:val="20"/>
              </w:rPr>
              <w:t xml:space="preserve">2</w:t>
            </w:r>
          </w:p>
        </w:tc>
        <w:tc>
          <w:tcPr>
            <w:tcW w:type="dxa" w:w="3266"/>
            <w:tcMar>
              <w:top w:type="dxa" w:w="80"/>
              <w:left w:type="dxa" w:w="100"/>
              <w:bottom w:type="dxa" w:w="80"/>
              <w:right w:type="dxa" w:w="100"/>
            </w:tcMar>
          </w:tcPr>
          <w:p>
            <w:r>
              <w:rPr>
                <w:sz w:val="20"/>
                <w:szCs w:val="20"/>
              </w:rPr>
              <w:t xml:space="preserve">Data collection (Section 7) + PDF extraction pipeline (Section 8)</w:t>
            </w:r>
          </w:p>
        </w:tc>
        <w:tc>
          <w:tcPr>
            <w:tcW w:type="dxa" w:w="3266"/>
            <w:tcMar>
              <w:top w:type="dxa" w:w="80"/>
              <w:left w:type="dxa" w:w="100"/>
              <w:bottom w:type="dxa" w:w="80"/>
              <w:right w:type="dxa" w:w="100"/>
            </w:tcMar>
          </w:tcPr>
          <w:p>
            <w:r>
              <w:rPr>
                <w:sz w:val="20"/>
                <w:szCs w:val="20"/>
              </w:rPr>
              <w:t xml:space="preserve">4–5 cards' PDFs cleaned, chunked, metadata attached</w:t>
            </w:r>
          </w:p>
        </w:tc>
      </w:tr>
      <w:tr>
        <w:trPr>
          <w:tblHeader w:val="false"/>
        </w:trPr>
        <w:tc>
          <w:tcPr>
            <w:tcW w:type="dxa" w:w="3266"/>
            <w:tcMar>
              <w:top w:type="dxa" w:w="80"/>
              <w:left w:type="dxa" w:w="100"/>
              <w:bottom w:type="dxa" w:w="80"/>
              <w:right w:type="dxa" w:w="100"/>
            </w:tcMar>
          </w:tcPr>
          <w:p>
            <w:r>
              <w:rPr>
                <w:sz w:val="20"/>
                <w:szCs w:val="20"/>
              </w:rPr>
              <w:t xml:space="preserve">3</w:t>
            </w:r>
          </w:p>
        </w:tc>
        <w:tc>
          <w:tcPr>
            <w:tcW w:type="dxa" w:w="3266"/>
            <w:tcMar>
              <w:top w:type="dxa" w:w="80"/>
              <w:left w:type="dxa" w:w="100"/>
              <w:bottom w:type="dxa" w:w="80"/>
              <w:right w:type="dxa" w:w="100"/>
            </w:tcMar>
          </w:tcPr>
          <w:p>
            <w:r>
              <w:rPr>
                <w:sz w:val="20"/>
                <w:szCs w:val="20"/>
              </w:rPr>
              <w:t xml:space="preserve">Embeddings + pgvector storage (Sections 9–10)</w:t>
            </w:r>
          </w:p>
        </w:tc>
        <w:tc>
          <w:tcPr>
            <w:tcW w:type="dxa" w:w="3266"/>
            <w:tcMar>
              <w:top w:type="dxa" w:w="80"/>
              <w:left w:type="dxa" w:w="100"/>
              <w:bottom w:type="dxa" w:w="80"/>
              <w:right w:type="dxa" w:w="100"/>
            </w:tcMar>
          </w:tcPr>
          <w:p>
            <w:r>
              <w:rPr>
                <w:sz w:val="20"/>
                <w:szCs w:val="20"/>
              </w:rPr>
              <w:t xml:space="preserve">Chunks embedded and queryable via raw similarity search</w:t>
            </w:r>
          </w:p>
        </w:tc>
      </w:tr>
      <w:tr>
        <w:trPr>
          <w:tblHeader w:val="false"/>
        </w:trPr>
        <w:tc>
          <w:tcPr>
            <w:tcW w:type="dxa" w:w="3266"/>
            <w:tcMar>
              <w:top w:type="dxa" w:w="80"/>
              <w:left w:type="dxa" w:w="100"/>
              <w:bottom w:type="dxa" w:w="80"/>
              <w:right w:type="dxa" w:w="100"/>
            </w:tcMar>
          </w:tcPr>
          <w:p>
            <w:r>
              <w:rPr>
                <w:sz w:val="20"/>
                <w:szCs w:val="20"/>
              </w:rPr>
              <w:t xml:space="preserve">4</w:t>
            </w:r>
          </w:p>
        </w:tc>
        <w:tc>
          <w:tcPr>
            <w:tcW w:type="dxa" w:w="3266"/>
            <w:tcMar>
              <w:top w:type="dxa" w:w="80"/>
              <w:left w:type="dxa" w:w="100"/>
              <w:bottom w:type="dxa" w:w="80"/>
              <w:right w:type="dxa" w:w="100"/>
            </w:tcMar>
          </w:tcPr>
          <w:p>
            <w:r>
              <w:rPr>
                <w:sz w:val="20"/>
                <w:szCs w:val="20"/>
              </w:rPr>
              <w:t xml:space="preserve">Calculator tool + unit tests; basic retriever function</w:t>
            </w:r>
          </w:p>
        </w:tc>
        <w:tc>
          <w:tcPr>
            <w:tcW w:type="dxa" w:w="3266"/>
            <w:tcMar>
              <w:top w:type="dxa" w:w="80"/>
              <w:left w:type="dxa" w:w="100"/>
              <w:bottom w:type="dxa" w:w="80"/>
              <w:right w:type="dxa" w:w="100"/>
            </w:tcMar>
          </w:tcPr>
          <w:p>
            <w:r>
              <w:rPr>
                <w:sz w:val="20"/>
                <w:szCs w:val="20"/>
              </w:rPr>
              <w:t xml:space="preserve">Calculator has 100% test coverage on golden arithmetic cases</w:t>
            </w:r>
          </w:p>
        </w:tc>
      </w:tr>
      <w:tr>
        <w:trPr>
          <w:tblHeader w:val="false"/>
        </w:trPr>
        <w:tc>
          <w:tcPr>
            <w:tcW w:type="dxa" w:w="3266"/>
            <w:tcMar>
              <w:top w:type="dxa" w:w="80"/>
              <w:left w:type="dxa" w:w="100"/>
              <w:bottom w:type="dxa" w:w="80"/>
              <w:right w:type="dxa" w:w="100"/>
            </w:tcMar>
          </w:tcPr>
          <w:p>
            <w:r>
              <w:rPr>
                <w:sz w:val="20"/>
                <w:szCs w:val="20"/>
              </w:rPr>
              <w:t xml:space="preserve">5</w:t>
            </w:r>
          </w:p>
        </w:tc>
        <w:tc>
          <w:tcPr>
            <w:tcW w:type="dxa" w:w="3266"/>
            <w:tcMar>
              <w:top w:type="dxa" w:w="80"/>
              <w:left w:type="dxa" w:w="100"/>
              <w:bottom w:type="dxa" w:w="80"/>
              <w:right w:type="dxa" w:w="100"/>
            </w:tcMar>
          </w:tcPr>
          <w:p>
            <w:r>
              <w:rPr>
                <w:sz w:val="20"/>
                <w:szCs w:val="20"/>
              </w:rPr>
              <w:t xml:space="preserve">Wire retriever + calculator into a simple non-agent pipeline; start golden dataset</w:t>
            </w:r>
          </w:p>
        </w:tc>
        <w:tc>
          <w:tcPr>
            <w:tcW w:type="dxa" w:w="3266"/>
            <w:tcMar>
              <w:top w:type="dxa" w:w="80"/>
              <w:left w:type="dxa" w:w="100"/>
              <w:bottom w:type="dxa" w:w="80"/>
              <w:right w:type="dxa" w:w="100"/>
            </w:tcMar>
          </w:tcPr>
          <w:p>
            <w:r>
              <w:rPr>
                <w:sz w:val="20"/>
                <w:szCs w:val="20"/>
              </w:rPr>
              <w:t xml:space="preserve">First 10 golden questions answerable end-to-end (no UI yet)</w:t>
            </w:r>
          </w:p>
        </w:tc>
      </w:tr>
      <w:tr>
        <w:trPr>
          <w:tblHeader w:val="false"/>
        </w:trPr>
        <w:tc>
          <w:tcPr>
            <w:tcW w:type="dxa" w:w="3266"/>
            <w:tcMar>
              <w:top w:type="dxa" w:w="80"/>
              <w:left w:type="dxa" w:w="100"/>
              <w:bottom w:type="dxa" w:w="80"/>
              <w:right w:type="dxa" w:w="100"/>
            </w:tcMar>
          </w:tcPr>
          <w:p>
            <w:r>
              <w:rPr>
                <w:sz w:val="20"/>
                <w:szCs w:val="20"/>
              </w:rPr>
              <w:t xml:space="preserve">6</w:t>
            </w:r>
          </w:p>
        </w:tc>
        <w:tc>
          <w:tcPr>
            <w:tcW w:type="dxa" w:w="3266"/>
            <w:tcMar>
              <w:top w:type="dxa" w:w="80"/>
              <w:left w:type="dxa" w:w="100"/>
              <w:bottom w:type="dxa" w:w="80"/>
              <w:right w:type="dxa" w:w="100"/>
            </w:tcMar>
          </w:tcPr>
          <w:p>
            <w:r>
              <w:rPr>
                <w:sz w:val="20"/>
                <w:szCs w:val="20"/>
              </w:rPr>
              <w:t xml:space="preserve">Finish 20 golden questions; Phase 1 acceptance criteria met</w:t>
            </w:r>
          </w:p>
        </w:tc>
        <w:tc>
          <w:tcPr>
            <w:tcW w:type="dxa" w:w="3266"/>
            <w:tcMar>
              <w:top w:type="dxa" w:w="80"/>
              <w:left w:type="dxa" w:w="100"/>
              <w:bottom w:type="dxa" w:w="80"/>
              <w:right w:type="dxa" w:w="100"/>
            </w:tcMar>
          </w:tcPr>
          <w:p>
            <w:r>
              <w:rPr>
                <w:b/>
                <w:bCs/>
                <w:sz w:val="20"/>
                <w:szCs w:val="20"/>
              </w:rPr>
              <w:t xml:space="preserve">Milestone: Phase 1 (MVP) complete</w:t>
            </w:r>
          </w:p>
        </w:tc>
      </w:tr>
      <w:tr>
        <w:trPr>
          <w:tblHeader w:val="false"/>
        </w:trPr>
        <w:tc>
          <w:tcPr>
            <w:tcW w:type="dxa" w:w="3266"/>
            <w:tcMar>
              <w:top w:type="dxa" w:w="80"/>
              <w:left w:type="dxa" w:w="100"/>
              <w:bottom w:type="dxa" w:w="80"/>
              <w:right w:type="dxa" w:w="100"/>
            </w:tcMar>
          </w:tcPr>
          <w:p>
            <w:r>
              <w:rPr>
                <w:sz w:val="20"/>
                <w:szCs w:val="20"/>
              </w:rPr>
              <w:t xml:space="preserve">7</w:t>
            </w:r>
          </w:p>
        </w:tc>
        <w:tc>
          <w:tcPr>
            <w:tcW w:type="dxa" w:w="3266"/>
            <w:tcMar>
              <w:top w:type="dxa" w:w="80"/>
              <w:left w:type="dxa" w:w="100"/>
              <w:bottom w:type="dxa" w:w="80"/>
              <w:right w:type="dxa" w:w="100"/>
            </w:tcMar>
          </w:tcPr>
          <w:p>
            <w:r>
              <w:rPr>
                <w:sz w:val="20"/>
                <w:szCs w:val="20"/>
              </w:rPr>
              <w:t xml:space="preserve">LangGraph skeleton: Intent, Retrieval, Rule Validation, Calculation nodes</w:t>
            </w:r>
          </w:p>
        </w:tc>
        <w:tc>
          <w:tcPr>
            <w:tcW w:type="dxa" w:w="3266"/>
            <w:tcMar>
              <w:top w:type="dxa" w:w="80"/>
              <w:left w:type="dxa" w:w="100"/>
              <w:bottom w:type="dxa" w:w="80"/>
              <w:right w:type="dxa" w:w="100"/>
            </w:tcMar>
          </w:tcPr>
          <w:p>
            <w:r>
              <w:rPr>
                <w:sz w:val="20"/>
                <w:szCs w:val="20"/>
              </w:rPr>
              <w:t xml:space="preserve">Agent graph replaces the linear pipeline for single-transaction queries</w:t>
            </w:r>
          </w:p>
        </w:tc>
      </w:tr>
      <w:tr>
        <w:trPr>
          <w:tblHeader w:val="false"/>
        </w:trPr>
        <w:tc>
          <w:tcPr>
            <w:tcW w:type="dxa" w:w="3266"/>
            <w:tcMar>
              <w:top w:type="dxa" w:w="80"/>
              <w:left w:type="dxa" w:w="100"/>
              <w:bottom w:type="dxa" w:w="80"/>
              <w:right w:type="dxa" w:w="100"/>
            </w:tcMar>
          </w:tcPr>
          <w:p>
            <w:r>
              <w:rPr>
                <w:sz w:val="20"/>
                <w:szCs w:val="20"/>
              </w:rPr>
              <w:t xml:space="preserve">8</w:t>
            </w:r>
          </w:p>
        </w:tc>
        <w:tc>
          <w:tcPr>
            <w:tcW w:type="dxa" w:w="3266"/>
            <w:tcMar>
              <w:top w:type="dxa" w:w="80"/>
              <w:left w:type="dxa" w:w="100"/>
              <w:bottom w:type="dxa" w:w="80"/>
              <w:right w:type="dxa" w:w="100"/>
            </w:tcMar>
          </w:tcPr>
          <w:p>
            <w:r>
              <w:rPr>
                <w:sz w:val="20"/>
                <w:szCs w:val="20"/>
              </w:rPr>
              <w:t xml:space="preserve">Comparison node; spend-category classifier; </w:t>
            </w:r>
            <w:r>
              <w:rPr>
                <w:rFonts w:ascii="Consolas" w:cs="Consolas" w:eastAsia="Consolas" w:hAnsi="Consolas"/>
                <w:sz w:val="20"/>
                <w:szCs w:val="20"/>
                <w:shd w:fill="F0F0F0" w:val="clear"/>
              </w:rPr>
              <w:t xml:space="preserve">user_profiles</w:t>
            </w:r>
            <w:r>
              <w:rPr>
                <w:sz w:val="20"/>
                <w:szCs w:val="20"/>
              </w:rPr>
              <w:t xml:space="preserve"> table</w:t>
            </w:r>
          </w:p>
        </w:tc>
        <w:tc>
          <w:tcPr>
            <w:tcW w:type="dxa" w:w="3266"/>
            <w:tcMar>
              <w:top w:type="dxa" w:w="80"/>
              <w:left w:type="dxa" w:w="100"/>
              <w:bottom w:type="dxa" w:w="80"/>
              <w:right w:type="dxa" w:w="100"/>
            </w:tcMar>
          </w:tcPr>
          <w:p>
            <w:r>
              <w:rPr>
                <w:sz w:val="20"/>
                <w:szCs w:val="20"/>
              </w:rPr>
              <w:t xml:space="preserve">Monthly-optimization use case answerable</w:t>
            </w:r>
          </w:p>
        </w:tc>
      </w:tr>
      <w:tr>
        <w:trPr>
          <w:tblHeader w:val="false"/>
        </w:trPr>
        <w:tc>
          <w:tcPr>
            <w:tcW w:type="dxa" w:w="3266"/>
            <w:tcMar>
              <w:top w:type="dxa" w:w="80"/>
              <w:left w:type="dxa" w:w="100"/>
              <w:bottom w:type="dxa" w:w="80"/>
              <w:right w:type="dxa" w:w="100"/>
            </w:tcMar>
          </w:tcPr>
          <w:p>
            <w:r>
              <w:rPr>
                <w:sz w:val="20"/>
                <w:szCs w:val="20"/>
              </w:rPr>
              <w:t xml:space="preserve">9</w:t>
            </w:r>
          </w:p>
        </w:tc>
        <w:tc>
          <w:tcPr>
            <w:tcW w:type="dxa" w:w="3266"/>
            <w:tcMar>
              <w:top w:type="dxa" w:w="80"/>
              <w:left w:type="dxa" w:w="100"/>
              <w:bottom w:type="dxa" w:w="80"/>
              <w:right w:type="dxa" w:w="100"/>
            </w:tcMar>
          </w:tcPr>
          <w:p>
            <w:r>
              <w:rPr>
                <w:sz w:val="20"/>
                <w:szCs w:val="20"/>
              </w:rPr>
              <w:t xml:space="preserve">Conversation memory; multi-turn clarification</w:t>
            </w:r>
          </w:p>
        </w:tc>
        <w:tc>
          <w:tcPr>
            <w:tcW w:type="dxa" w:w="3266"/>
            <w:tcMar>
              <w:top w:type="dxa" w:w="80"/>
              <w:left w:type="dxa" w:w="100"/>
              <w:bottom w:type="dxa" w:w="80"/>
              <w:right w:type="dxa" w:w="100"/>
            </w:tcMar>
          </w:tcPr>
          <w:p>
            <w:r>
              <w:rPr>
                <w:sz w:val="20"/>
                <w:szCs w:val="20"/>
              </w:rPr>
              <w:t xml:space="preserve">Multi-turn scenarios from the architecture doc's Section 10 work correctly</w:t>
            </w:r>
          </w:p>
        </w:tc>
      </w:tr>
      <w:tr>
        <w:trPr>
          <w:tblHeader w:val="false"/>
        </w:trPr>
        <w:tc>
          <w:tcPr>
            <w:tcW w:type="dxa" w:w="3266"/>
            <w:tcMar>
              <w:top w:type="dxa" w:w="80"/>
              <w:left w:type="dxa" w:w="100"/>
              <w:bottom w:type="dxa" w:w="80"/>
              <w:right w:type="dxa" w:w="100"/>
            </w:tcMar>
          </w:tcPr>
          <w:p>
            <w:r>
              <w:rPr>
                <w:sz w:val="20"/>
                <w:szCs w:val="20"/>
              </w:rPr>
              <w:t xml:space="preserve">10</w:t>
            </w:r>
          </w:p>
        </w:tc>
        <w:tc>
          <w:tcPr>
            <w:tcW w:type="dxa" w:w="3266"/>
            <w:tcMar>
              <w:top w:type="dxa" w:w="80"/>
              <w:left w:type="dxa" w:w="100"/>
              <w:bottom w:type="dxa" w:w="80"/>
              <w:right w:type="dxa" w:w="100"/>
            </w:tcMar>
          </w:tcPr>
          <w:p>
            <w:r>
              <w:rPr>
                <w:sz w:val="20"/>
                <w:szCs w:val="20"/>
              </w:rPr>
              <w:t xml:space="preserve">Expand golden set to 40+; fix retrieval/chunking issues found</w:t>
            </w:r>
          </w:p>
        </w:tc>
        <w:tc>
          <w:tcPr>
            <w:tcW w:type="dxa" w:w="3266"/>
            <w:tcMar>
              <w:top w:type="dxa" w:w="80"/>
              <w:left w:type="dxa" w:w="100"/>
              <w:bottom w:type="dxa" w:w="80"/>
              <w:right w:type="dxa" w:w="100"/>
            </w:tcMar>
          </w:tcPr>
          <w:p>
            <w:r>
              <w:rPr>
                <w:b/>
                <w:bCs/>
                <w:sz w:val="20"/>
                <w:szCs w:val="20"/>
              </w:rPr>
              <w:t xml:space="preserve">Milestone: Phase 2 complete</w:t>
            </w:r>
          </w:p>
        </w:tc>
      </w:tr>
      <w:tr>
        <w:trPr>
          <w:tblHeader w:val="false"/>
        </w:trPr>
        <w:tc>
          <w:tcPr>
            <w:tcW w:type="dxa" w:w="3266"/>
            <w:tcMar>
              <w:top w:type="dxa" w:w="80"/>
              <w:left w:type="dxa" w:w="100"/>
              <w:bottom w:type="dxa" w:w="80"/>
              <w:right w:type="dxa" w:w="100"/>
            </w:tcMar>
          </w:tcPr>
          <w:p>
            <w:r>
              <w:rPr>
                <w:sz w:val="20"/>
                <w:szCs w:val="20"/>
              </w:rPr>
              <w:t xml:space="preserve">11</w:t>
            </w:r>
          </w:p>
        </w:tc>
        <w:tc>
          <w:tcPr>
            <w:tcW w:type="dxa" w:w="3266"/>
            <w:tcMar>
              <w:top w:type="dxa" w:w="80"/>
              <w:left w:type="dxa" w:w="100"/>
              <w:bottom w:type="dxa" w:w="80"/>
              <w:right w:type="dxa" w:w="100"/>
            </w:tcMar>
          </w:tcPr>
          <w:p>
            <w:r>
              <w:rPr>
                <w:sz w:val="20"/>
                <w:szCs w:val="20"/>
              </w:rPr>
              <w:t xml:space="preserve">Guardrail node + unit tests independent of LLM output</w:t>
            </w:r>
          </w:p>
        </w:tc>
        <w:tc>
          <w:tcPr>
            <w:tcW w:type="dxa" w:w="3266"/>
            <w:tcMar>
              <w:top w:type="dxa" w:w="80"/>
              <w:left w:type="dxa" w:w="100"/>
              <w:bottom w:type="dxa" w:w="80"/>
              <w:right w:type="dxa" w:w="100"/>
            </w:tcMar>
          </w:tcPr>
          <w:p>
            <w:r>
              <w:rPr>
                <w:sz w:val="20"/>
                <w:szCs w:val="20"/>
              </w:rPr>
              <w:t xml:space="preserve">Guardrail blocks a deliberately-injected bad-answer test case</w:t>
            </w:r>
          </w:p>
        </w:tc>
      </w:tr>
      <w:tr>
        <w:trPr>
          <w:tblHeader w:val="false"/>
        </w:trPr>
        <w:tc>
          <w:tcPr>
            <w:tcW w:type="dxa" w:w="3266"/>
            <w:tcMar>
              <w:top w:type="dxa" w:w="80"/>
              <w:left w:type="dxa" w:w="100"/>
              <w:bottom w:type="dxa" w:w="80"/>
              <w:right w:type="dxa" w:w="100"/>
            </w:tcMar>
          </w:tcPr>
          <w:p>
            <w:r>
              <w:rPr>
                <w:sz w:val="20"/>
                <w:szCs w:val="20"/>
              </w:rPr>
              <w:t xml:space="preserve">12</w:t>
            </w:r>
          </w:p>
        </w:tc>
        <w:tc>
          <w:tcPr>
            <w:tcW w:type="dxa" w:w="3266"/>
            <w:tcMar>
              <w:top w:type="dxa" w:w="80"/>
              <w:left w:type="dxa" w:w="100"/>
              <w:bottom w:type="dxa" w:w="80"/>
              <w:right w:type="dxa" w:w="100"/>
            </w:tcMar>
          </w:tcPr>
          <w:p>
            <w:r>
              <w:rPr>
                <w:sz w:val="20"/>
                <w:szCs w:val="20"/>
              </w:rPr>
              <w:t xml:space="preserve">Human Approval node (interrupt/resume) + transfer-strategy use case</w:t>
            </w:r>
          </w:p>
        </w:tc>
        <w:tc>
          <w:tcPr>
            <w:tcW w:type="dxa" w:w="3266"/>
            <w:tcMar>
              <w:top w:type="dxa" w:w="80"/>
              <w:left w:type="dxa" w:w="100"/>
              <w:bottom w:type="dxa" w:w="80"/>
              <w:right w:type="dxa" w:w="100"/>
            </w:tcMar>
          </w:tcPr>
          <w:p>
            <w:r>
              <w:rPr>
                <w:sz w:val="20"/>
                <w:szCs w:val="20"/>
              </w:rPr>
              <w:t xml:space="preserve">Transfer queries correctly gate on explicit user confirmation</w:t>
            </w:r>
          </w:p>
        </w:tc>
      </w:tr>
      <w:tr>
        <w:trPr>
          <w:tblHeader w:val="false"/>
        </w:trPr>
        <w:tc>
          <w:tcPr>
            <w:tcW w:type="dxa" w:w="3266"/>
            <w:tcMar>
              <w:top w:type="dxa" w:w="80"/>
              <w:left w:type="dxa" w:w="100"/>
              <w:bottom w:type="dxa" w:w="80"/>
              <w:right w:type="dxa" w:w="100"/>
            </w:tcMar>
          </w:tcPr>
          <w:p>
            <w:r>
              <w:rPr>
                <w:sz w:val="20"/>
                <w:szCs w:val="20"/>
              </w:rPr>
              <w:t xml:space="preserve">13</w:t>
            </w:r>
          </w:p>
        </w:tc>
        <w:tc>
          <w:tcPr>
            <w:tcW w:type="dxa" w:w="3266"/>
            <w:tcMar>
              <w:top w:type="dxa" w:w="80"/>
              <w:left w:type="dxa" w:w="100"/>
              <w:bottom w:type="dxa" w:w="80"/>
              <w:right w:type="dxa" w:w="100"/>
            </w:tcMar>
          </w:tcPr>
          <w:p>
            <w:r>
              <w:rPr>
                <w:sz w:val="20"/>
                <w:szCs w:val="20"/>
              </w:rPr>
              <w:t xml:space="preserve">Streamlit UI wrapping the full API; LangSmith/Phoenix tracing wired in</w:t>
            </w:r>
          </w:p>
        </w:tc>
        <w:tc>
          <w:tcPr>
            <w:tcW w:type="dxa" w:w="3266"/>
            <w:tcMar>
              <w:top w:type="dxa" w:w="80"/>
              <w:left w:type="dxa" w:w="100"/>
              <w:bottom w:type="dxa" w:w="80"/>
              <w:right w:type="dxa" w:w="100"/>
            </w:tcMar>
          </w:tcPr>
          <w:p>
            <w:r>
              <w:rPr>
                <w:sz w:val="20"/>
                <w:szCs w:val="20"/>
              </w:rPr>
              <w:t xml:space="preserve">Full demo flow runnable end-to-end via UI</w:t>
            </w:r>
          </w:p>
        </w:tc>
      </w:tr>
      <w:tr>
        <w:trPr>
          <w:tblHeader w:val="false"/>
        </w:trPr>
        <w:tc>
          <w:tcPr>
            <w:tcW w:type="dxa" w:w="3266"/>
            <w:tcMar>
              <w:top w:type="dxa" w:w="80"/>
              <w:left w:type="dxa" w:w="100"/>
              <w:bottom w:type="dxa" w:w="80"/>
              <w:right w:type="dxa" w:w="100"/>
            </w:tcMar>
          </w:tcPr>
          <w:p>
            <w:r>
              <w:rPr>
                <w:sz w:val="20"/>
                <w:szCs w:val="20"/>
              </w:rPr>
              <w:t xml:space="preserve">14</w:t>
            </w:r>
          </w:p>
        </w:tc>
        <w:tc>
          <w:tcPr>
            <w:tcW w:type="dxa" w:w="3266"/>
            <w:tcMar>
              <w:top w:type="dxa" w:w="80"/>
              <w:left w:type="dxa" w:w="100"/>
              <w:bottom w:type="dxa" w:w="80"/>
              <w:right w:type="dxa" w:w="100"/>
            </w:tcMar>
          </w:tcPr>
          <w:p>
            <w:r>
              <w:rPr>
                <w:b/>
                <w:bCs/>
                <w:sz w:val="20"/>
                <w:szCs w:val="20"/>
              </w:rPr>
              <w:t xml:space="preserve">Milestone: Phase 3 complete</w:t>
            </w:r>
            <w:r>
              <w:rPr>
                <w:sz w:val="20"/>
                <w:szCs w:val="20"/>
              </w:rPr>
              <w:t xml:space="preserve">; begin full evaluation harness run</w:t>
            </w:r>
          </w:p>
        </w:tc>
        <w:tc>
          <w:tcPr>
            <w:tcW w:type="dxa" w:w="3266"/>
            <w:tcMar>
              <w:top w:type="dxa" w:w="80"/>
              <w:left w:type="dxa" w:w="100"/>
              <w:bottom w:type="dxa" w:w="80"/>
              <w:right w:type="dxa" w:w="100"/>
            </w:tcMar>
          </w:tcPr>
          <w:p>
            <w:r>
              <w:rPr>
                <w:sz w:val="20"/>
                <w:szCs w:val="20"/>
              </w:rPr>
              <w:t xml:space="preserve">Hallucination rate and calculation accuracy measured against full golden set</w:t>
            </w:r>
          </w:p>
        </w:tc>
      </w:tr>
      <w:tr>
        <w:trPr>
          <w:tblHeader w:val="false"/>
        </w:trPr>
        <w:tc>
          <w:tcPr>
            <w:tcW w:type="dxa" w:w="3266"/>
            <w:tcMar>
              <w:top w:type="dxa" w:w="80"/>
              <w:left w:type="dxa" w:w="100"/>
              <w:bottom w:type="dxa" w:w="80"/>
              <w:right w:type="dxa" w:w="100"/>
            </w:tcMar>
          </w:tcPr>
          <w:p>
            <w:r>
              <w:rPr>
                <w:sz w:val="20"/>
                <w:szCs w:val="20"/>
              </w:rPr>
              <w:t xml:space="preserve">15</w:t>
            </w:r>
          </w:p>
        </w:tc>
        <w:tc>
          <w:tcPr>
            <w:tcW w:type="dxa" w:w="3266"/>
            <w:tcMar>
              <w:top w:type="dxa" w:w="80"/>
              <w:left w:type="dxa" w:w="100"/>
              <w:bottom w:type="dxa" w:w="80"/>
              <w:right w:type="dxa" w:w="100"/>
            </w:tcMar>
          </w:tcPr>
          <w:p>
            <w:r>
              <w:rPr>
                <w:sz w:val="20"/>
                <w:szCs w:val="20"/>
              </w:rPr>
              <w:t xml:space="preserve">Fix regressions found in evaluation; write README and architecture docs</w:t>
            </w:r>
          </w:p>
        </w:tc>
        <w:tc>
          <w:tcPr>
            <w:tcW w:type="dxa" w:w="3266"/>
            <w:tcMar>
              <w:top w:type="dxa" w:w="80"/>
              <w:left w:type="dxa" w:w="100"/>
              <w:bottom w:type="dxa" w:w="80"/>
              <w:right w:type="dxa" w:w="100"/>
            </w:tcMar>
          </w:tcPr>
          <w:p>
            <w:r>
              <w:rPr>
                <w:sz w:val="20"/>
                <w:szCs w:val="20"/>
              </w:rPr>
              <w:t xml:space="preserve">Evaluation report finalized</w:t>
            </w:r>
          </w:p>
        </w:tc>
      </w:tr>
      <w:tr>
        <w:trPr>
          <w:tblHeader w:val="false"/>
        </w:trPr>
        <w:tc>
          <w:tcPr>
            <w:tcW w:type="dxa" w:w="3266"/>
            <w:tcMar>
              <w:top w:type="dxa" w:w="80"/>
              <w:left w:type="dxa" w:w="100"/>
              <w:bottom w:type="dxa" w:w="80"/>
              <w:right w:type="dxa" w:w="100"/>
            </w:tcMar>
          </w:tcPr>
          <w:p>
            <w:r>
              <w:rPr>
                <w:sz w:val="20"/>
                <w:szCs w:val="20"/>
              </w:rPr>
              <w:t xml:space="preserve">16</w:t>
            </w:r>
          </w:p>
        </w:tc>
        <w:tc>
          <w:tcPr>
            <w:tcW w:type="dxa" w:w="3266"/>
            <w:tcMar>
              <w:top w:type="dxa" w:w="80"/>
              <w:left w:type="dxa" w:w="100"/>
              <w:bottom w:type="dxa" w:w="80"/>
              <w:right w:type="dxa" w:w="100"/>
            </w:tcMar>
          </w:tcPr>
          <w:p>
            <w:r>
              <w:rPr>
                <w:sz w:val="20"/>
                <w:szCs w:val="20"/>
              </w:rPr>
              <w:t xml:space="preserve">Record demo video; final polish and buffer</w:t>
            </w:r>
          </w:p>
        </w:tc>
        <w:tc>
          <w:tcPr>
            <w:tcW w:type="dxa" w:w="3266"/>
            <w:tcMar>
              <w:top w:type="dxa" w:w="80"/>
              <w:left w:type="dxa" w:w="100"/>
              <w:bottom w:type="dxa" w:w="80"/>
              <w:right w:type="dxa" w:w="100"/>
            </w:tcMar>
          </w:tcPr>
          <w:p>
            <w:r>
              <w:rPr>
                <w:b/>
                <w:bCs/>
                <w:sz w:val="20"/>
                <w:szCs w:val="20"/>
              </w:rPr>
              <w:t xml:space="preserve">Milestone: submission-ready</w:t>
            </w:r>
          </w:p>
        </w:tc>
      </w:tr>
    </w:tbl>
    <w:p>
      <w:pPr>
        <w:spacing w:after="200"/>
      </w:pPr>
    </w:p>
    <w:p>
      <w:pPr>
        <w:pStyle w:val="Heading1"/>
        <w:pageBreakBefore/>
        <w:spacing w:after="180" w:before="360"/>
      </w:pPr>
      <w:bookmarkStart w:name="sec21" w:id="1"/>
      <w:r>
        <w:t xml:space="preserve">22. Coding Standards</w:t>
      </w:r>
      <w:bookmarkEnd w:id="1"/>
    </w:p>
    <w:p>
      <w:pPr>
        <w:pStyle w:val="Heading2"/>
        <w:spacing w:after="140" w:before="260"/>
      </w:pPr>
      <w:r>
        <w:t xml:space="preserve">22.1 Architecture Principles</w:t>
      </w:r>
    </w:p>
    <w:p>
      <w:pPr>
        <w:pStyle w:val="ListParagraph"/>
        <w:numPr>
          <w:ilvl w:val="0"/>
          <w:numId w:val="1"/>
        </w:numPr>
        <w:spacing w:after="80" w:line="290"/>
      </w:pPr>
      <w:r>
        <w:rPr>
          <w:b/>
          <w:bCs/>
        </w:rPr>
        <w:t xml:space="preserve">Separation of concerns</w:t>
      </w:r>
      <w:r>
        <w:t xml:space="preserve"> (Section 1.2) is the single most important principle for this project specifically — enforce it in code review as strictly as any style rule.</w:t>
      </w:r>
    </w:p>
    <w:p>
      <w:pPr>
        <w:pStyle w:val="ListParagraph"/>
        <w:numPr>
          <w:ilvl w:val="0"/>
          <w:numId w:val="1"/>
        </w:numPr>
        <w:spacing w:after="80" w:line="290"/>
      </w:pPr>
      <w:r>
        <w:rPr>
          <w:b/>
          <w:bCs/>
        </w:rPr>
        <w:t xml:space="preserve">Dependency direction:</w:t>
      </w:r>
      <w:r>
        <w:t xml:space="preserve"> </w:t>
      </w:r>
      <w:r>
        <w:rPr>
          <w:rFonts w:ascii="Consolas" w:cs="Consolas" w:eastAsia="Consolas" w:hAnsi="Consolas"/>
          <w:shd w:fill="F0F0F0" w:val="clear"/>
        </w:rPr>
        <w:t xml:space="preserve">agents/</w:t>
      </w:r>
      <w:r>
        <w:t xml:space="preserve"> may depend on </w:t>
      </w:r>
      <w:r>
        <w:rPr>
          <w:rFonts w:ascii="Consolas" w:cs="Consolas" w:eastAsia="Consolas" w:hAnsi="Consolas"/>
          <w:shd w:fill="F0F0F0" w:val="clear"/>
        </w:rPr>
        <w:t xml:space="preserve">tools/</w:t>
      </w:r>
      <w:r>
        <w:t xml:space="preserve"> and </w:t>
      </w:r>
      <w:r>
        <w:rPr>
          <w:rFonts w:ascii="Consolas" w:cs="Consolas" w:eastAsia="Consolas" w:hAnsi="Consolas"/>
          <w:shd w:fill="F0F0F0" w:val="clear"/>
        </w:rPr>
        <w:t xml:space="preserve">database/</w:t>
      </w:r>
      <w:r>
        <w:t xml:space="preserve">; </w:t>
      </w:r>
      <w:r>
        <w:rPr>
          <w:rFonts w:ascii="Consolas" w:cs="Consolas" w:eastAsia="Consolas" w:hAnsi="Consolas"/>
          <w:shd w:fill="F0F0F0" w:val="clear"/>
        </w:rPr>
        <w:t xml:space="preserve">tools/</w:t>
      </w:r>
      <w:r>
        <w:t xml:space="preserve"> must never depend on </w:t>
      </w:r>
      <w:r>
        <w:rPr>
          <w:rFonts w:ascii="Consolas" w:cs="Consolas" w:eastAsia="Consolas" w:hAnsi="Consolas"/>
          <w:shd w:fill="F0F0F0" w:val="clear"/>
        </w:rPr>
        <w:t xml:space="preserve">agents/</w:t>
      </w:r>
      <w:r>
        <w:t xml:space="preserve"> — this one-way dependency is what keeps tools independently testable and reusable.</w:t>
      </w:r>
    </w:p>
    <w:p>
      <w:pPr>
        <w:pStyle w:val="Heading2"/>
        <w:spacing w:after="140" w:before="260"/>
      </w:pPr>
      <w:r>
        <w:t xml:space="preserve">22.2 SOLID, DRY, KISS — Applied Pragmatically</w:t>
      </w:r>
    </w:p>
    <w:p>
      <w:pPr>
        <w:pStyle w:val="ListParagraph"/>
        <w:numPr>
          <w:ilvl w:val="0"/>
          <w:numId w:val="1"/>
        </w:numPr>
        <w:spacing w:after="80" w:line="290"/>
      </w:pPr>
      <w:r>
        <w:rPr>
          <w:b/>
          <w:bCs/>
        </w:rPr>
        <w:t xml:space="preserve">Single Responsibility:</w:t>
      </w:r>
      <w:r>
        <w:t xml:space="preserve"> each LangGraph node does exactly one thing (the node table in Section 14 is effectively a Single-Responsibility checklist).</w:t>
      </w:r>
    </w:p>
    <w:p>
      <w:pPr>
        <w:pStyle w:val="ListParagraph"/>
        <w:numPr>
          <w:ilvl w:val="0"/>
          <w:numId w:val="1"/>
        </w:numPr>
        <w:spacing w:after="80" w:line="290"/>
      </w:pPr>
      <w:r>
        <w:rPr>
          <w:b/>
          <w:bCs/>
        </w:rPr>
        <w:t xml:space="preserve">Open/Closed:</w:t>
      </w:r>
      <w:r>
        <w:t xml:space="preserve"> the calculator should be extensible to new </w:t>
      </w:r>
      <w:r>
        <w:rPr>
          <w:rFonts w:ascii="Consolas" w:cs="Consolas" w:eastAsia="Consolas" w:hAnsi="Consolas"/>
          <w:shd w:fill="F0F0F0" w:val="clear"/>
        </w:rPr>
        <w:t xml:space="preserve">reward_unit</w:t>
      </w:r>
      <w:r>
        <w:t xml:space="preserve"> types (miles, cashback, points) without modifying its core arithmetic loop — use a small strategy/lookup pattern for unit conversion rather than a growing if/elif chain.</w:t>
      </w:r>
    </w:p>
    <w:p>
      <w:pPr>
        <w:pStyle w:val="ListParagraph"/>
        <w:numPr>
          <w:ilvl w:val="0"/>
          <w:numId w:val="1"/>
        </w:numPr>
        <w:spacing w:after="80" w:line="290"/>
      </w:pPr>
      <w:r>
        <w:rPr>
          <w:b/>
          <w:bCs/>
        </w:rPr>
        <w:t xml:space="preserve">DRY, with restraint:</w:t>
      </w:r>
      <w:r>
        <w:t xml:space="preserve"> apply the "rule of three" (Section 2.2) — don't abstract shared logic until a third caller needs it; premature abstraction in a fast-moving capstone project costs more than the duplication it prevents.</w:t>
      </w:r>
    </w:p>
    <w:p>
      <w:pPr>
        <w:pStyle w:val="ListParagraph"/>
        <w:numPr>
          <w:ilvl w:val="0"/>
          <w:numId w:val="1"/>
        </w:numPr>
        <w:spacing w:after="80" w:line="290"/>
      </w:pPr>
      <w:r>
        <w:rPr>
          <w:b/>
          <w:bCs/>
        </w:rPr>
        <w:t xml:space="preserve">KISS:</w:t>
      </w:r>
      <w:r>
        <w:t xml:space="preserve"> resist Section 23's suggestions until the MVP is stable — every one of them is individually reasonable and collectively a scope-creep risk.</w:t>
      </w:r>
    </w:p>
    <w:p>
      <w:pPr>
        <w:pStyle w:val="Heading2"/>
        <w:spacing w:after="140" w:before="260"/>
      </w:pPr>
      <w:r>
        <w:t xml:space="preserve">22.3 Clean Architecture Framing</w:t>
      </w:r>
    </w:p>
    <w:p>
      <w:pPr>
        <w:spacing w:after="160" w:line="300"/>
      </w:pPr>
      <w:r>
        <w:t xml:space="preserve">This project's dependency structure (API → Services → Tools/Repositories → Database) is a lightweight, pragmatic application of Clean Architecture's dependency-inversion idea, without adopting its full ceremony (no strict "entities/use-cases/interface-adapters" folder taxonomy) — right-sized for the team and timeline.</w:t>
      </w:r>
    </w:p>
    <w:p>
      <w:pPr>
        <w:pStyle w:val="Heading2"/>
        <w:spacing w:after="140" w:before="260"/>
      </w:pPr>
      <w:r>
        <w:t xml:space="preserve">22.4 Error Handling and Logging Standards</w:t>
      </w:r>
    </w:p>
    <w:p>
      <w:pPr>
        <w:pStyle w:val="ListParagraph"/>
        <w:numPr>
          <w:ilvl w:val="0"/>
          <w:numId w:val="1"/>
        </w:numPr>
        <w:spacing w:after="80" w:line="290"/>
      </w:pPr>
      <w:r>
        <w:t xml:space="preserve">Never swallow an exception silently (</w:t>
      </w:r>
      <w:r>
        <w:rPr>
          <w:rFonts w:ascii="Consolas" w:cs="Consolas" w:eastAsia="Consolas" w:hAnsi="Consolas"/>
          <w:shd w:fill="F0F0F0" w:val="clear"/>
        </w:rPr>
        <w:t xml:space="preserve">except: pass</w:t>
      </w:r>
      <w:r>
        <w:t xml:space="preserve"> is banned in code review).</w:t>
      </w:r>
    </w:p>
    <w:p>
      <w:pPr>
        <w:pStyle w:val="ListParagraph"/>
        <w:numPr>
          <w:ilvl w:val="0"/>
          <w:numId w:val="1"/>
        </w:numPr>
        <w:spacing w:after="80" w:line="290"/>
      </w:pPr>
      <w:r>
        <w:t xml:space="preserve">Every caught exception at a service boundary is logged with enough context (query ID, user ID if available, node name) to reproduce the failure from logs alone.</w:t>
      </w:r>
    </w:p>
    <w:p>
      <w:pPr>
        <w:pStyle w:val="ListParagraph"/>
        <w:numPr>
          <w:ilvl w:val="0"/>
          <w:numId w:val="1"/>
        </w:numPr>
        <w:spacing w:after="80" w:line="290"/>
      </w:pPr>
      <w:r>
        <w:t xml:space="preserve">Log levels used consistently: </w:t>
      </w:r>
      <w:r>
        <w:rPr>
          <w:rFonts w:ascii="Consolas" w:cs="Consolas" w:eastAsia="Consolas" w:hAnsi="Consolas"/>
          <w:shd w:fill="F0F0F0" w:val="clear"/>
        </w:rPr>
        <w:t xml:space="preserve">DEBUG</w:t>
      </w:r>
      <w:r>
        <w:t xml:space="preserve"> for chunk-level retrieval detail, </w:t>
      </w:r>
      <w:r>
        <w:rPr>
          <w:rFonts w:ascii="Consolas" w:cs="Consolas" w:eastAsia="Consolas" w:hAnsi="Consolas"/>
          <w:shd w:fill="F0F0F0" w:val="clear"/>
        </w:rPr>
        <w:t xml:space="preserve">INFO</w:t>
      </w:r>
      <w:r>
        <w:t xml:space="preserve"> for request lifecycle events, </w:t>
      </w:r>
      <w:r>
        <w:rPr>
          <w:rFonts w:ascii="Consolas" w:cs="Consolas" w:eastAsia="Consolas" w:hAnsi="Consolas"/>
          <w:shd w:fill="F0F0F0" w:val="clear"/>
        </w:rPr>
        <w:t xml:space="preserve">WARNING</w:t>
      </w:r>
      <w:r>
        <w:t xml:space="preserve"> for guardrail triggers/refusals, </w:t>
      </w:r>
      <w:r>
        <w:rPr>
          <w:rFonts w:ascii="Consolas" w:cs="Consolas" w:eastAsia="Consolas" w:hAnsi="Consolas"/>
          <w:shd w:fill="F0F0F0" w:val="clear"/>
        </w:rPr>
        <w:t xml:space="preserve">ERROR</w:t>
      </w:r>
      <w:r>
        <w:t xml:space="preserve"> for system failures.</w:t>
      </w:r>
    </w:p>
    <w:p>
      <w:pPr>
        <w:pStyle w:val="Heading2"/>
        <w:spacing w:after="140" w:before="260"/>
      </w:pPr>
      <w:r>
        <w:t xml:space="preserve">22.5 Documentation Standards</w:t>
      </w:r>
    </w:p>
    <w:p>
      <w:pPr>
        <w:spacing w:after="160" w:line="300"/>
      </w:pPr>
      <w:r>
        <w:t xml:space="preserve">Every tool function (</w:t>
      </w:r>
      <w:r>
        <w:rPr>
          <w:rFonts w:ascii="Consolas" w:cs="Consolas" w:eastAsia="Consolas" w:hAnsi="Consolas"/>
          <w:shd w:fill="F0F0F0" w:val="clear"/>
        </w:rPr>
        <w:t xml:space="preserve">calculator.py</w:t>
      </w:r>
      <w:r>
        <w:t xml:space="preserve">, </w:t>
      </w:r>
      <w:r>
        <w:rPr>
          <w:rFonts w:ascii="Consolas" w:cs="Consolas" w:eastAsia="Consolas" w:hAnsi="Consolas"/>
          <w:shd w:fill="F0F0F0" w:val="clear"/>
        </w:rPr>
        <w:t xml:space="preserve">retriever.py</w:t>
      </w:r>
      <w:r>
        <w:t xml:space="preserve">) has a docstring specifying inputs, outputs, and failure modes — since these are the functions most likely to be reused or referenced outside their original context (evaluation scripts, future interfaces).</w:t>
      </w:r>
    </w:p>
    <w:p>
      <w:pPr>
        <w:pStyle w:val="Heading1"/>
        <w:pageBreakBefore/>
        <w:spacing w:after="180" w:before="360"/>
      </w:pPr>
      <w:bookmarkStart w:name="sec22" w:id="1"/>
      <w:r>
        <w:t xml:space="preserve">23. Suggestions &amp; Best Practices</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gridCol w:w="100"/>
      </w:tblGrid>
      <w:tr>
        <w:trPr>
          <w:tblHeader/>
        </w:trPr>
        <w:tc>
          <w:tcPr>
            <w:tcW w:type="dxa" w:w="2800"/>
            <w:shd w:fill="1F4E79" w:color="auto" w:val="clear"/>
            <w:tcMar>
              <w:top w:type="dxa" w:w="80"/>
              <w:left w:type="dxa" w:w="100"/>
              <w:bottom w:type="dxa" w:w="80"/>
              <w:right w:type="dxa" w:w="100"/>
            </w:tcMar>
          </w:tcPr>
          <w:p>
            <w:r>
              <w:rPr>
                <w:b/>
                <w:bCs/>
                <w:color w:val="FFFFFF"/>
                <w:sz w:val="20"/>
                <w:szCs w:val="20"/>
              </w:rPr>
              <w:t xml:space="preserve">Suggestion</w:t>
            </w:r>
          </w:p>
        </w:tc>
        <w:tc>
          <w:tcPr>
            <w:tcW w:type="dxa" w:w="1400"/>
            <w:shd w:fill="1F4E79" w:color="auto" w:val="clear"/>
            <w:tcMar>
              <w:top w:type="dxa" w:w="80"/>
              <w:left w:type="dxa" w:w="100"/>
              <w:bottom w:type="dxa" w:w="80"/>
              <w:right w:type="dxa" w:w="100"/>
            </w:tcMar>
          </w:tcPr>
          <w:p>
            <w:r>
              <w:rPr>
                <w:b/>
                <w:bCs/>
                <w:color w:val="FFFFFF"/>
                <w:sz w:val="20"/>
                <w:szCs w:val="20"/>
              </w:rPr>
              <w:t xml:space="preserve">Why useful</w:t>
            </w:r>
          </w:p>
        </w:tc>
        <w:tc>
          <w:tcPr>
            <w:tcW w:type="dxa" w:w="1400"/>
            <w:shd w:fill="1F4E79" w:color="auto" w:val="clear"/>
            <w:tcMar>
              <w:top w:type="dxa" w:w="80"/>
              <w:left w:type="dxa" w:w="100"/>
              <w:bottom w:type="dxa" w:w="80"/>
              <w:right w:type="dxa" w:w="100"/>
            </w:tcMar>
          </w:tcPr>
          <w:p>
            <w:r>
              <w:rPr>
                <w:b/>
                <w:bCs/>
                <w:color w:val="FFFFFF"/>
                <w:sz w:val="20"/>
                <w:szCs w:val="20"/>
              </w:rPr>
              <w:t xml:space="preserve">Complexity</w:t>
            </w:r>
          </w:p>
        </w:tc>
        <w:tc>
          <w:tcPr>
            <w:tcW w:type="dxa" w:w="1400"/>
            <w:shd w:fill="1F4E79" w:color="auto" w:val="clear"/>
            <w:tcMar>
              <w:top w:type="dxa" w:w="80"/>
              <w:left w:type="dxa" w:w="100"/>
              <w:bottom w:type="dxa" w:w="80"/>
              <w:right w:type="dxa" w:w="100"/>
            </w:tcMar>
          </w:tcPr>
          <w:p>
            <w:r>
              <w:rPr>
                <w:b/>
                <w:bCs/>
                <w:color w:val="FFFFFF"/>
                <w:sz w:val="20"/>
                <w:szCs w:val="20"/>
              </w:rPr>
              <w:t xml:space="preserve">Priority</w:t>
            </w:r>
          </w:p>
        </w:tc>
        <w:tc>
          <w:tcPr>
            <w:tcW w:type="dxa" w:w="2800"/>
            <w:shd w:fill="1F4E79" w:color="auto" w:val="clear"/>
            <w:tcMar>
              <w:top w:type="dxa" w:w="80"/>
              <w:left w:type="dxa" w:w="100"/>
              <w:bottom w:type="dxa" w:w="80"/>
              <w:right w:type="dxa" w:w="100"/>
            </w:tcMar>
          </w:tcPr>
          <w:p>
            <w:r>
              <w:rPr>
                <w:b/>
                <w:bCs/>
                <w:color w:val="FFFFFF"/>
                <w:sz w:val="20"/>
                <w:szCs w:val="20"/>
              </w:rPr>
              <w:t xml:space="preserve">When</w:t>
            </w:r>
          </w:p>
        </w:tc>
      </w:tr>
      <w:tr>
        <w:trPr>
          <w:tblHeader w:val="false"/>
        </w:trPr>
        <w:tc>
          <w:tcPr>
            <w:tcW w:type="dxa" w:w="2800"/>
            <w:tcMar>
              <w:top w:type="dxa" w:w="80"/>
              <w:left w:type="dxa" w:w="100"/>
              <w:bottom w:type="dxa" w:w="80"/>
              <w:right w:type="dxa" w:w="100"/>
            </w:tcMar>
          </w:tcPr>
          <w:p>
            <w:r>
              <w:rPr>
                <w:sz w:val="20"/>
                <w:szCs w:val="20"/>
              </w:rPr>
              <w:t xml:space="preserve">Hybrid search (BM25 + vector)</w:t>
            </w:r>
          </w:p>
        </w:tc>
        <w:tc>
          <w:tcPr>
            <w:tcW w:type="dxa" w:w="1400"/>
            <w:tcMar>
              <w:top w:type="dxa" w:w="80"/>
              <w:left w:type="dxa" w:w="100"/>
              <w:bottom w:type="dxa" w:w="80"/>
              <w:right w:type="dxa" w:w="100"/>
            </w:tcMar>
          </w:tcPr>
          <w:p>
            <w:r>
              <w:rPr>
                <w:sz w:val="20"/>
                <w:szCs w:val="20"/>
              </w:rPr>
              <w:t xml:space="preserve">Catches exact-term queries (merchant names, card names) embeddings under-rank</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Phase 2</w:t>
            </w:r>
          </w:p>
        </w:tc>
      </w:tr>
      <w:tr>
        <w:trPr>
          <w:tblHeader w:val="false"/>
        </w:trPr>
        <w:tc>
          <w:tcPr>
            <w:tcW w:type="dxa" w:w="2800"/>
            <w:tcMar>
              <w:top w:type="dxa" w:w="80"/>
              <w:left w:type="dxa" w:w="100"/>
              <w:bottom w:type="dxa" w:w="80"/>
              <w:right w:type="dxa" w:w="100"/>
            </w:tcMar>
          </w:tcPr>
          <w:p>
            <w:r>
              <w:rPr>
                <w:sz w:val="20"/>
                <w:szCs w:val="20"/>
              </w:rPr>
              <w:t xml:space="preserve">Query rewriting</w:t>
            </w:r>
          </w:p>
        </w:tc>
        <w:tc>
          <w:tcPr>
            <w:tcW w:type="dxa" w:w="1400"/>
            <w:tcMar>
              <w:top w:type="dxa" w:w="80"/>
              <w:left w:type="dxa" w:w="100"/>
              <w:bottom w:type="dxa" w:w="80"/>
              <w:right w:type="dxa" w:w="100"/>
            </w:tcMar>
          </w:tcPr>
          <w:p>
            <w:r>
              <w:rPr>
                <w:sz w:val="20"/>
                <w:szCs w:val="20"/>
              </w:rPr>
              <w:t xml:space="preserve">Improves retrieval for conversational, underspecified queries</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Phase 2</w:t>
            </w:r>
          </w:p>
        </w:tc>
      </w:tr>
      <w:tr>
        <w:trPr>
          <w:tblHeader w:val="false"/>
        </w:trPr>
        <w:tc>
          <w:tcPr>
            <w:tcW w:type="dxa" w:w="2800"/>
            <w:tcMar>
              <w:top w:type="dxa" w:w="80"/>
              <w:left w:type="dxa" w:w="100"/>
              <w:bottom w:type="dxa" w:w="80"/>
              <w:right w:type="dxa" w:w="100"/>
            </w:tcMar>
          </w:tcPr>
          <w:p>
            <w:r>
              <w:rPr>
                <w:sz w:val="20"/>
                <w:szCs w:val="20"/>
              </w:rPr>
              <w:t xml:space="preserve">Context compression</w:t>
            </w:r>
          </w:p>
        </w:tc>
        <w:tc>
          <w:tcPr>
            <w:tcW w:type="dxa" w:w="1400"/>
            <w:tcMar>
              <w:top w:type="dxa" w:w="80"/>
              <w:left w:type="dxa" w:w="100"/>
              <w:bottom w:type="dxa" w:w="80"/>
              <w:right w:type="dxa" w:w="100"/>
            </w:tcMar>
          </w:tcPr>
          <w:p>
            <w:r>
              <w:rPr>
                <w:sz w:val="20"/>
                <w:szCs w:val="20"/>
              </w:rPr>
              <w:t xml:space="preserve">Reduces token cost and noise when many chunks are retrieved</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Nice to Have</w:t>
            </w:r>
          </w:p>
        </w:tc>
        <w:tc>
          <w:tcPr>
            <w:tcW w:type="dxa" w:w="2800"/>
            <w:tcMar>
              <w:top w:type="dxa" w:w="80"/>
              <w:left w:type="dxa" w:w="100"/>
              <w:bottom w:type="dxa" w:w="80"/>
              <w:right w:type="dxa" w:w="100"/>
            </w:tcMar>
          </w:tcPr>
          <w:p>
            <w:r>
              <w:rPr>
                <w:sz w:val="20"/>
                <w:szCs w:val="20"/>
              </w:rPr>
              <w:t xml:space="preserve">Phase 2/3</w:t>
            </w:r>
          </w:p>
        </w:tc>
      </w:tr>
      <w:tr>
        <w:trPr>
          <w:tblHeader w:val="false"/>
        </w:trPr>
        <w:tc>
          <w:tcPr>
            <w:tcW w:type="dxa" w:w="2800"/>
            <w:tcMar>
              <w:top w:type="dxa" w:w="80"/>
              <w:left w:type="dxa" w:w="100"/>
              <w:bottom w:type="dxa" w:w="80"/>
              <w:right w:type="dxa" w:w="100"/>
            </w:tcMar>
          </w:tcPr>
          <w:p>
            <w:r>
              <w:rPr>
                <w:sz w:val="20"/>
                <w:szCs w:val="20"/>
              </w:rPr>
              <w:t xml:space="preserve">Rerankers (Cohere, BGE reranker)</w:t>
            </w:r>
          </w:p>
        </w:tc>
        <w:tc>
          <w:tcPr>
            <w:tcW w:type="dxa" w:w="1400"/>
            <w:tcMar>
              <w:top w:type="dxa" w:w="80"/>
              <w:left w:type="dxa" w:w="100"/>
              <w:bottom w:type="dxa" w:w="80"/>
              <w:right w:type="dxa" w:w="100"/>
            </w:tcMar>
          </w:tcPr>
          <w:p>
            <w:r>
              <w:rPr>
                <w:sz w:val="20"/>
                <w:szCs w:val="20"/>
              </w:rPr>
              <w:t xml:space="preserve">Improves precision of final top-K after initial retrieval</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Phase 2</w:t>
            </w:r>
          </w:p>
        </w:tc>
      </w:tr>
      <w:tr>
        <w:trPr>
          <w:tblHeader w:val="false"/>
        </w:trPr>
        <w:tc>
          <w:tcPr>
            <w:tcW w:type="dxa" w:w="2800"/>
            <w:tcMar>
              <w:top w:type="dxa" w:w="80"/>
              <w:left w:type="dxa" w:w="100"/>
              <w:bottom w:type="dxa" w:w="80"/>
              <w:right w:type="dxa" w:w="100"/>
            </w:tcMar>
          </w:tcPr>
          <w:p>
            <w:r>
              <w:rPr>
                <w:sz w:val="20"/>
                <w:szCs w:val="20"/>
              </w:rPr>
              <w:t xml:space="preserve">Knowledge graph integration</w:t>
            </w:r>
          </w:p>
        </w:tc>
        <w:tc>
          <w:tcPr>
            <w:tcW w:type="dxa" w:w="1400"/>
            <w:tcMar>
              <w:top w:type="dxa" w:w="80"/>
              <w:left w:type="dxa" w:w="100"/>
              <w:bottom w:type="dxa" w:w="80"/>
              <w:right w:type="dxa" w:w="100"/>
            </w:tcMar>
          </w:tcPr>
          <w:p>
            <w:r>
              <w:rPr>
                <w:sz w:val="20"/>
                <w:szCs w:val="20"/>
              </w:rPr>
              <w:t xml:space="preserve">Could model transfer-partner relationships more richly than flat tables</w:t>
            </w:r>
          </w:p>
        </w:tc>
        <w:tc>
          <w:tcPr>
            <w:tcW w:type="dxa" w:w="1400"/>
            <w:tcMar>
              <w:top w:type="dxa" w:w="80"/>
              <w:left w:type="dxa" w:w="100"/>
              <w:bottom w:type="dxa" w:w="80"/>
              <w:right w:type="dxa" w:w="100"/>
            </w:tcMar>
          </w:tcPr>
          <w:p>
            <w:r>
              <w:rPr>
                <w:sz w:val="20"/>
                <w:szCs w:val="20"/>
              </w:rPr>
              <w:t xml:space="preserve">High</w:t>
            </w:r>
          </w:p>
        </w:tc>
        <w:tc>
          <w:tcPr>
            <w:tcW w:type="dxa" w:w="1400"/>
            <w:tcMar>
              <w:top w:type="dxa" w:w="80"/>
              <w:left w:type="dxa" w:w="100"/>
              <w:bottom w:type="dxa" w:w="80"/>
              <w:right w:type="dxa" w:w="100"/>
            </w:tcMar>
          </w:tcPr>
          <w:p>
            <w:r>
              <w:rPr>
                <w:sz w:val="20"/>
                <w:szCs w:val="20"/>
              </w:rPr>
              <w:t xml:space="preserve">Nice to Have</w:t>
            </w:r>
          </w:p>
        </w:tc>
        <w:tc>
          <w:tcPr>
            <w:tcW w:type="dxa" w:w="2800"/>
            <w:tcMar>
              <w:top w:type="dxa" w:w="80"/>
              <w:left w:type="dxa" w:w="100"/>
              <w:bottom w:type="dxa" w:w="80"/>
              <w:right w:type="dxa" w:w="100"/>
            </w:tcMar>
          </w:tcPr>
          <w:p>
            <w:r>
              <w:rPr>
                <w:sz w:val="20"/>
                <w:szCs w:val="20"/>
              </w:rPr>
              <w:t xml:space="preserve">Production (only if scaling to many issuers/partners)</w:t>
            </w:r>
          </w:p>
        </w:tc>
      </w:tr>
      <w:tr>
        <w:trPr>
          <w:tblHeader w:val="false"/>
        </w:trPr>
        <w:tc>
          <w:tcPr>
            <w:tcW w:type="dxa" w:w="2800"/>
            <w:tcMar>
              <w:top w:type="dxa" w:w="80"/>
              <w:left w:type="dxa" w:w="100"/>
              <w:bottom w:type="dxa" w:w="80"/>
              <w:right w:type="dxa" w:w="100"/>
            </w:tcMar>
          </w:tcPr>
          <w:p>
            <w:r>
              <w:rPr>
                <w:sz w:val="20"/>
                <w:szCs w:val="20"/>
              </w:rPr>
              <w:t xml:space="preserve">MCP (Model Context Protocol) support</w:t>
            </w:r>
          </w:p>
        </w:tc>
        <w:tc>
          <w:tcPr>
            <w:tcW w:type="dxa" w:w="1400"/>
            <w:tcMar>
              <w:top w:type="dxa" w:w="80"/>
              <w:left w:type="dxa" w:w="100"/>
              <w:bottom w:type="dxa" w:w="80"/>
              <w:right w:type="dxa" w:w="100"/>
            </w:tcMar>
          </w:tcPr>
          <w:p>
            <w:r>
              <w:rPr>
                <w:sz w:val="20"/>
                <w:szCs w:val="20"/>
              </w:rPr>
              <w:t xml:space="preserve">Standardizes tool exposure if integrating with external agent ecosystems later</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Nice to Have</w:t>
            </w:r>
          </w:p>
        </w:tc>
        <w:tc>
          <w:tcPr>
            <w:tcW w:type="dxa" w:w="2800"/>
            <w:tcMar>
              <w:top w:type="dxa" w:w="80"/>
              <w:left w:type="dxa" w:w="100"/>
              <w:bottom w:type="dxa" w:w="80"/>
              <w:right w:type="dxa" w:w="100"/>
            </w:tcMar>
          </w:tcPr>
          <w:p>
            <w:r>
              <w:rPr>
                <w:sz w:val="20"/>
                <w:szCs w:val="20"/>
              </w:rPr>
              <w:t xml:space="preserve">Production</w:t>
            </w:r>
          </w:p>
        </w:tc>
      </w:tr>
      <w:tr>
        <w:trPr>
          <w:tblHeader w:val="false"/>
        </w:trPr>
        <w:tc>
          <w:tcPr>
            <w:tcW w:type="dxa" w:w="2800"/>
            <w:tcMar>
              <w:top w:type="dxa" w:w="80"/>
              <w:left w:type="dxa" w:w="100"/>
              <w:bottom w:type="dxa" w:w="80"/>
              <w:right w:type="dxa" w:w="100"/>
            </w:tcMar>
          </w:tcPr>
          <w:p>
            <w:r>
              <w:rPr>
                <w:sz w:val="20"/>
                <w:szCs w:val="20"/>
              </w:rPr>
              <w:t xml:space="preserve">Real-time reward updates</w:t>
            </w:r>
          </w:p>
        </w:tc>
        <w:tc>
          <w:tcPr>
            <w:tcW w:type="dxa" w:w="1400"/>
            <w:tcMar>
              <w:top w:type="dxa" w:w="80"/>
              <w:left w:type="dxa" w:w="100"/>
              <w:bottom w:type="dxa" w:w="80"/>
              <w:right w:type="dxa" w:w="100"/>
            </w:tcMar>
          </w:tcPr>
          <w:p>
            <w:r>
              <w:rPr>
                <w:sz w:val="20"/>
                <w:szCs w:val="20"/>
              </w:rPr>
              <w:t xml:space="preserve">Removes staleness risk entirely</w:t>
            </w:r>
          </w:p>
        </w:tc>
        <w:tc>
          <w:tcPr>
            <w:tcW w:type="dxa" w:w="1400"/>
            <w:tcMar>
              <w:top w:type="dxa" w:w="80"/>
              <w:left w:type="dxa" w:w="100"/>
              <w:bottom w:type="dxa" w:w="80"/>
              <w:right w:type="dxa" w:w="100"/>
            </w:tcMar>
          </w:tcPr>
          <w:p>
            <w:r>
              <w:rPr>
                <w:sz w:val="20"/>
                <w:szCs w:val="20"/>
              </w:rPr>
              <w:t xml:space="preserve">High (requires issuer API access, largely unavailable)</w:t>
            </w:r>
          </w:p>
        </w:tc>
        <w:tc>
          <w:tcPr>
            <w:tcW w:type="dxa" w:w="1400"/>
            <w:tcMar>
              <w:top w:type="dxa" w:w="80"/>
              <w:left w:type="dxa" w:w="100"/>
              <w:bottom w:type="dxa" w:w="80"/>
              <w:right w:type="dxa" w:w="100"/>
            </w:tcMar>
          </w:tcPr>
          <w:p>
            <w:r>
              <w:rPr>
                <w:sz w:val="20"/>
                <w:szCs w:val="20"/>
              </w:rPr>
              <w:t xml:space="preserve">Nice to Have</w:t>
            </w:r>
          </w:p>
        </w:tc>
        <w:tc>
          <w:tcPr>
            <w:tcW w:type="dxa" w:w="2800"/>
            <w:tcMar>
              <w:top w:type="dxa" w:w="80"/>
              <w:left w:type="dxa" w:w="100"/>
              <w:bottom w:type="dxa" w:w="80"/>
              <w:right w:type="dxa" w:w="100"/>
            </w:tcMar>
          </w:tcPr>
          <w:p>
            <w:r>
              <w:rPr>
                <w:sz w:val="20"/>
                <w:szCs w:val="20"/>
              </w:rPr>
              <w:t xml:space="preserve">Future Scope (architecture doc, Section 23)</w:t>
            </w:r>
          </w:p>
        </w:tc>
      </w:tr>
      <w:tr>
        <w:trPr>
          <w:tblHeader w:val="false"/>
        </w:trPr>
        <w:tc>
          <w:tcPr>
            <w:tcW w:type="dxa" w:w="2800"/>
            <w:tcMar>
              <w:top w:type="dxa" w:w="80"/>
              <w:left w:type="dxa" w:w="100"/>
              <w:bottom w:type="dxa" w:w="80"/>
              <w:right w:type="dxa" w:w="100"/>
            </w:tcMar>
          </w:tcPr>
          <w:p>
            <w:r>
              <w:rPr>
                <w:sz w:val="20"/>
                <w:szCs w:val="20"/>
              </w:rPr>
              <w:t xml:space="preserve">OCR fallback for scanned PDFs</w:t>
            </w:r>
          </w:p>
        </w:tc>
        <w:tc>
          <w:tcPr>
            <w:tcW w:type="dxa" w:w="1400"/>
            <w:tcMar>
              <w:top w:type="dxa" w:w="80"/>
              <w:left w:type="dxa" w:w="100"/>
              <w:bottom w:type="dxa" w:w="80"/>
              <w:right w:type="dxa" w:w="100"/>
            </w:tcMar>
          </w:tcPr>
          <w:p>
            <w:r>
              <w:rPr>
                <w:sz w:val="20"/>
                <w:szCs w:val="20"/>
              </w:rPr>
              <w:t xml:space="preserve">Prevents silent data loss from non-text-layer documents</w:t>
            </w:r>
          </w:p>
        </w:tc>
        <w:tc>
          <w:tcPr>
            <w:tcW w:type="dxa" w:w="1400"/>
            <w:tcMar>
              <w:top w:type="dxa" w:w="80"/>
              <w:left w:type="dxa" w:w="100"/>
              <w:bottom w:type="dxa" w:w="80"/>
              <w:right w:type="dxa" w:w="100"/>
            </w:tcMar>
          </w:tcPr>
          <w:p>
            <w:r>
              <w:rPr>
                <w:sz w:val="20"/>
                <w:szCs w:val="20"/>
              </w:rPr>
              <w:t xml:space="preserve">Low-Medium</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MVP (as a guard, per Section 8.6), full pipeline Phase 2</w:t>
            </w:r>
          </w:p>
        </w:tc>
      </w:tr>
      <w:tr>
        <w:trPr>
          <w:tblHeader w:val="false"/>
        </w:trPr>
        <w:tc>
          <w:tcPr>
            <w:tcW w:type="dxa" w:w="2800"/>
            <w:tcMar>
              <w:top w:type="dxa" w:w="80"/>
              <w:left w:type="dxa" w:w="100"/>
              <w:bottom w:type="dxa" w:w="80"/>
              <w:right w:type="dxa" w:w="100"/>
            </w:tcMar>
          </w:tcPr>
          <w:p>
            <w:r>
              <w:rPr>
                <w:sz w:val="20"/>
                <w:szCs w:val="20"/>
              </w:rPr>
              <w:t xml:space="preserve">Cost optimization (model tiering: cheap model for classification, strong model for final answer)</w:t>
            </w:r>
          </w:p>
        </w:tc>
        <w:tc>
          <w:tcPr>
            <w:tcW w:type="dxa" w:w="1400"/>
            <w:tcMar>
              <w:top w:type="dxa" w:w="80"/>
              <w:left w:type="dxa" w:w="100"/>
              <w:bottom w:type="dxa" w:w="80"/>
              <w:right w:type="dxa" w:w="100"/>
            </w:tcMar>
          </w:tcPr>
          <w:p>
            <w:r>
              <w:rPr>
                <w:sz w:val="20"/>
                <w:szCs w:val="20"/>
              </w:rPr>
              <w:t xml:space="preserve">Meaningfully reduces per-query LLM spend</w:t>
            </w:r>
          </w:p>
        </w:tc>
        <w:tc>
          <w:tcPr>
            <w:tcW w:type="dxa" w:w="1400"/>
            <w:tcMar>
              <w:top w:type="dxa" w:w="80"/>
              <w:left w:type="dxa" w:w="100"/>
              <w:bottom w:type="dxa" w:w="80"/>
              <w:right w:type="dxa" w:w="100"/>
            </w:tcMar>
          </w:tcPr>
          <w:p>
            <w:r>
              <w:rPr>
                <w:sz w:val="20"/>
                <w:szCs w:val="20"/>
              </w:rPr>
              <w:t xml:space="preserve">Low</w:t>
            </w:r>
          </w:p>
        </w:tc>
        <w:tc>
          <w:tcPr>
            <w:tcW w:type="dxa" w:w="1400"/>
            <w:tcMar>
              <w:top w:type="dxa" w:w="80"/>
              <w:left w:type="dxa" w:w="100"/>
              <w:bottom w:type="dxa" w:w="80"/>
              <w:right w:type="dxa" w:w="100"/>
            </w:tcMar>
          </w:tcPr>
          <w:p>
            <w:r>
              <w:rPr>
                <w:sz w:val="20"/>
                <w:szCs w:val="20"/>
              </w:rPr>
              <w:t xml:space="preserve">Must Have</w:t>
            </w:r>
          </w:p>
        </w:tc>
        <w:tc>
          <w:tcPr>
            <w:tcW w:type="dxa" w:w="2800"/>
            <w:tcMar>
              <w:top w:type="dxa" w:w="80"/>
              <w:left w:type="dxa" w:w="100"/>
              <w:bottom w:type="dxa" w:w="80"/>
              <w:right w:type="dxa" w:w="100"/>
            </w:tcMar>
          </w:tcPr>
          <w:p>
            <w:r>
              <w:rPr>
                <w:sz w:val="20"/>
                <w:szCs w:val="20"/>
              </w:rPr>
              <w:t xml:space="preserve">MVP</w:t>
            </w:r>
          </w:p>
        </w:tc>
      </w:tr>
      <w:tr>
        <w:trPr>
          <w:tblHeader w:val="false"/>
        </w:trPr>
        <w:tc>
          <w:tcPr>
            <w:tcW w:type="dxa" w:w="2800"/>
            <w:tcMar>
              <w:top w:type="dxa" w:w="80"/>
              <w:left w:type="dxa" w:w="100"/>
              <w:bottom w:type="dxa" w:w="80"/>
              <w:right w:type="dxa" w:w="100"/>
            </w:tcMar>
          </w:tcPr>
          <w:p>
            <w:r>
              <w:rPr>
                <w:sz w:val="20"/>
                <w:szCs w:val="20"/>
              </w:rPr>
              <w:t xml:space="preserve">Response caching</w:t>
            </w:r>
          </w:p>
        </w:tc>
        <w:tc>
          <w:tcPr>
            <w:tcW w:type="dxa" w:w="1400"/>
            <w:tcMar>
              <w:top w:type="dxa" w:w="80"/>
              <w:left w:type="dxa" w:w="100"/>
              <w:bottom w:type="dxa" w:w="80"/>
              <w:right w:type="dxa" w:w="100"/>
            </w:tcMar>
          </w:tcPr>
          <w:p>
            <w:r>
              <w:rPr>
                <w:sz w:val="20"/>
                <w:szCs w:val="20"/>
              </w:rPr>
              <w:t xml:space="preserve">Avoids recomputation for identical repeated queries</w:t>
            </w:r>
          </w:p>
        </w:tc>
        <w:tc>
          <w:tcPr>
            <w:tcW w:type="dxa" w:w="1400"/>
            <w:tcMar>
              <w:top w:type="dxa" w:w="80"/>
              <w:left w:type="dxa" w:w="100"/>
              <w:bottom w:type="dxa" w:w="80"/>
              <w:right w:type="dxa" w:w="100"/>
            </w:tcMar>
          </w:tcPr>
          <w:p>
            <w:r>
              <w:rPr>
                <w:sz w:val="20"/>
                <w:szCs w:val="20"/>
              </w:rPr>
              <w:t xml:space="preserve">Low</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Phase 2</w:t>
            </w:r>
          </w:p>
        </w:tc>
      </w:tr>
      <w:tr>
        <w:trPr>
          <w:tblHeader w:val="false"/>
        </w:trPr>
        <w:tc>
          <w:tcPr>
            <w:tcW w:type="dxa" w:w="2800"/>
            <w:tcMar>
              <w:top w:type="dxa" w:w="80"/>
              <w:left w:type="dxa" w:w="100"/>
              <w:bottom w:type="dxa" w:w="80"/>
              <w:right w:type="dxa" w:w="100"/>
            </w:tcMar>
          </w:tcPr>
          <w:p>
            <w:r>
              <w:rPr>
                <w:sz w:val="20"/>
                <w:szCs w:val="20"/>
              </w:rPr>
              <w:t xml:space="preserve">Background jobs (Celery/RQ)</w:t>
            </w:r>
          </w:p>
        </w:tc>
        <w:tc>
          <w:tcPr>
            <w:tcW w:type="dxa" w:w="1400"/>
            <w:tcMar>
              <w:top w:type="dxa" w:w="80"/>
              <w:left w:type="dxa" w:w="100"/>
              <w:bottom w:type="dxa" w:w="80"/>
              <w:right w:type="dxa" w:w="100"/>
            </w:tcMar>
          </w:tcPr>
          <w:p>
            <w:r>
              <w:rPr>
                <w:sz w:val="20"/>
                <w:szCs w:val="20"/>
              </w:rPr>
              <w:t xml:space="preserve">Needed once ingestion or evaluation runs become long-running/async</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Phase 2 (for ingestion), Production (for scheduled re-evaluation)</w:t>
            </w:r>
          </w:p>
        </w:tc>
      </w:tr>
      <w:tr>
        <w:trPr>
          <w:tblHeader w:val="false"/>
        </w:trPr>
        <w:tc>
          <w:tcPr>
            <w:tcW w:type="dxa" w:w="2800"/>
            <w:tcMar>
              <w:top w:type="dxa" w:w="80"/>
              <w:left w:type="dxa" w:w="100"/>
              <w:bottom w:type="dxa" w:w="80"/>
              <w:right w:type="dxa" w:w="100"/>
            </w:tcMar>
          </w:tcPr>
          <w:p>
            <w:r>
              <w:rPr>
                <w:sz w:val="20"/>
                <w:szCs w:val="20"/>
              </w:rPr>
              <w:t xml:space="preserve">Redis caching</w:t>
            </w:r>
          </w:p>
        </w:tc>
        <w:tc>
          <w:tcPr>
            <w:tcW w:type="dxa" w:w="1400"/>
            <w:tcMar>
              <w:top w:type="dxa" w:w="80"/>
              <w:left w:type="dxa" w:w="100"/>
              <w:bottom w:type="dxa" w:w="80"/>
              <w:right w:type="dxa" w:w="100"/>
            </w:tcMar>
          </w:tcPr>
          <w:p>
            <w:r>
              <w:rPr>
                <w:sz w:val="20"/>
                <w:szCs w:val="20"/>
              </w:rPr>
              <w:t xml:space="preserve">Backing store for response caching and rate limiting</w:t>
            </w:r>
          </w:p>
        </w:tc>
        <w:tc>
          <w:tcPr>
            <w:tcW w:type="dxa" w:w="1400"/>
            <w:tcMar>
              <w:top w:type="dxa" w:w="80"/>
              <w:left w:type="dxa" w:w="100"/>
              <w:bottom w:type="dxa" w:w="80"/>
              <w:right w:type="dxa" w:w="100"/>
            </w:tcMar>
          </w:tcPr>
          <w:p>
            <w:r>
              <w:rPr>
                <w:sz w:val="20"/>
                <w:szCs w:val="20"/>
              </w:rPr>
              <w:t xml:space="preserve">Low</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Phase 2</w:t>
            </w:r>
          </w:p>
        </w:tc>
      </w:tr>
      <w:tr>
        <w:trPr>
          <w:tblHeader w:val="false"/>
        </w:trPr>
        <w:tc>
          <w:tcPr>
            <w:tcW w:type="dxa" w:w="2800"/>
            <w:tcMar>
              <w:top w:type="dxa" w:w="80"/>
              <w:left w:type="dxa" w:w="100"/>
              <w:bottom w:type="dxa" w:w="80"/>
              <w:right w:type="dxa" w:w="100"/>
            </w:tcMar>
          </w:tcPr>
          <w:p>
            <w:r>
              <w:rPr>
                <w:sz w:val="20"/>
                <w:szCs w:val="20"/>
              </w:rPr>
              <w:t xml:space="preserve">Feature flags</w:t>
            </w:r>
          </w:p>
        </w:tc>
        <w:tc>
          <w:tcPr>
            <w:tcW w:type="dxa" w:w="1400"/>
            <w:tcMar>
              <w:top w:type="dxa" w:w="80"/>
              <w:left w:type="dxa" w:w="100"/>
              <w:bottom w:type="dxa" w:w="80"/>
              <w:right w:type="dxa" w:w="100"/>
            </w:tcMar>
          </w:tcPr>
          <w:p>
            <w:r>
              <w:rPr>
                <w:sz w:val="20"/>
                <w:szCs w:val="20"/>
              </w:rPr>
              <w:t xml:space="preserve">De-risks rolling out guardrail/prompt changes without a full deploy</w:t>
            </w:r>
          </w:p>
        </w:tc>
        <w:tc>
          <w:tcPr>
            <w:tcW w:type="dxa" w:w="1400"/>
            <w:tcMar>
              <w:top w:type="dxa" w:w="80"/>
              <w:left w:type="dxa" w:w="100"/>
              <w:bottom w:type="dxa" w:w="80"/>
              <w:right w:type="dxa" w:w="100"/>
            </w:tcMar>
          </w:tcPr>
          <w:p>
            <w:r>
              <w:rPr>
                <w:sz w:val="20"/>
                <w:szCs w:val="20"/>
              </w:rPr>
              <w:t xml:space="preserve">Low</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Phase 2/3</w:t>
            </w:r>
          </w:p>
        </w:tc>
      </w:tr>
      <w:tr>
        <w:trPr>
          <w:tblHeader w:val="false"/>
        </w:trPr>
        <w:tc>
          <w:tcPr>
            <w:tcW w:type="dxa" w:w="2800"/>
            <w:tcMar>
              <w:top w:type="dxa" w:w="80"/>
              <w:left w:type="dxa" w:w="100"/>
              <w:bottom w:type="dxa" w:w="80"/>
              <w:right w:type="dxa" w:w="100"/>
            </w:tcMar>
          </w:tcPr>
          <w:p>
            <w:r>
              <w:rPr>
                <w:sz w:val="20"/>
                <w:szCs w:val="20"/>
              </w:rPr>
              <w:t xml:space="preserve">A/B testing</w:t>
            </w:r>
          </w:p>
        </w:tc>
        <w:tc>
          <w:tcPr>
            <w:tcW w:type="dxa" w:w="1400"/>
            <w:tcMar>
              <w:top w:type="dxa" w:w="80"/>
              <w:left w:type="dxa" w:w="100"/>
              <w:bottom w:type="dxa" w:w="80"/>
              <w:right w:type="dxa" w:w="100"/>
            </w:tcMar>
          </w:tcPr>
          <w:p>
            <w:r>
              <w:rPr>
                <w:sz w:val="20"/>
                <w:szCs w:val="20"/>
              </w:rPr>
              <w:t xml:space="preserve">Useful once there's real user traffic to compare prompt/model variants against</w:t>
            </w:r>
          </w:p>
        </w:tc>
        <w:tc>
          <w:tcPr>
            <w:tcW w:type="dxa" w:w="1400"/>
            <w:tcMar>
              <w:top w:type="dxa" w:w="80"/>
              <w:left w:type="dxa" w:w="100"/>
              <w:bottom w:type="dxa" w:w="80"/>
              <w:right w:type="dxa" w:w="100"/>
            </w:tcMar>
          </w:tcPr>
          <w:p>
            <w:r>
              <w:rPr>
                <w:sz w:val="20"/>
                <w:szCs w:val="20"/>
              </w:rPr>
              <w:t xml:space="preserve">High (needs traffic + stats rigor)</w:t>
            </w:r>
          </w:p>
        </w:tc>
        <w:tc>
          <w:tcPr>
            <w:tcW w:type="dxa" w:w="1400"/>
            <w:tcMar>
              <w:top w:type="dxa" w:w="80"/>
              <w:left w:type="dxa" w:w="100"/>
              <w:bottom w:type="dxa" w:w="80"/>
              <w:right w:type="dxa" w:w="100"/>
            </w:tcMar>
          </w:tcPr>
          <w:p>
            <w:r>
              <w:rPr>
                <w:sz w:val="20"/>
                <w:szCs w:val="20"/>
              </w:rPr>
              <w:t xml:space="preserve">Nice to Have</w:t>
            </w:r>
          </w:p>
        </w:tc>
        <w:tc>
          <w:tcPr>
            <w:tcW w:type="dxa" w:w="2800"/>
            <w:tcMar>
              <w:top w:type="dxa" w:w="80"/>
              <w:left w:type="dxa" w:w="100"/>
              <w:bottom w:type="dxa" w:w="80"/>
              <w:right w:type="dxa" w:w="100"/>
            </w:tcMar>
          </w:tcPr>
          <w:p>
            <w:r>
              <w:rPr>
                <w:sz w:val="20"/>
                <w:szCs w:val="20"/>
              </w:rPr>
              <w:t xml:space="preserve">Production</w:t>
            </w:r>
          </w:p>
        </w:tc>
      </w:tr>
      <w:tr>
        <w:trPr>
          <w:tblHeader w:val="false"/>
        </w:trPr>
        <w:tc>
          <w:tcPr>
            <w:tcW w:type="dxa" w:w="2800"/>
            <w:tcMar>
              <w:top w:type="dxa" w:w="80"/>
              <w:left w:type="dxa" w:w="100"/>
              <w:bottom w:type="dxa" w:w="80"/>
              <w:right w:type="dxa" w:w="100"/>
            </w:tcMar>
          </w:tcPr>
          <w:p>
            <w:r>
              <w:rPr>
                <w:sz w:val="20"/>
                <w:szCs w:val="20"/>
              </w:rPr>
              <w:t xml:space="preserve">User analytics</w:t>
            </w:r>
          </w:p>
        </w:tc>
        <w:tc>
          <w:tcPr>
            <w:tcW w:type="dxa" w:w="1400"/>
            <w:tcMar>
              <w:top w:type="dxa" w:w="80"/>
              <w:left w:type="dxa" w:w="100"/>
              <w:bottom w:type="dxa" w:w="80"/>
              <w:right w:type="dxa" w:w="100"/>
            </w:tcMar>
          </w:tcPr>
          <w:p>
            <w:r>
              <w:rPr>
                <w:sz w:val="20"/>
                <w:szCs w:val="20"/>
              </w:rPr>
              <w:t xml:space="preserve">Informs which categories/cards need better data coverage</w:t>
            </w:r>
          </w:p>
        </w:tc>
        <w:tc>
          <w:tcPr>
            <w:tcW w:type="dxa" w:w="1400"/>
            <w:tcMar>
              <w:top w:type="dxa" w:w="80"/>
              <w:left w:type="dxa" w:w="100"/>
              <w:bottom w:type="dxa" w:w="80"/>
              <w:right w:type="dxa" w:w="100"/>
            </w:tcMar>
          </w:tcPr>
          <w:p>
            <w:r>
              <w:rPr>
                <w:sz w:val="20"/>
                <w:szCs w:val="20"/>
              </w:rPr>
              <w:t xml:space="preserve">Low-Medium</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Phase 3</w:t>
            </w:r>
          </w:p>
        </w:tc>
      </w:tr>
      <w:tr>
        <w:trPr>
          <w:tblHeader w:val="false"/>
        </w:trPr>
        <w:tc>
          <w:tcPr>
            <w:tcW w:type="dxa" w:w="2800"/>
            <w:tcMar>
              <w:top w:type="dxa" w:w="80"/>
              <w:left w:type="dxa" w:w="100"/>
              <w:bottom w:type="dxa" w:w="80"/>
              <w:right w:type="dxa" w:w="100"/>
            </w:tcMar>
          </w:tcPr>
          <w:p>
            <w:r>
              <w:rPr>
                <w:sz w:val="20"/>
                <w:szCs w:val="20"/>
              </w:rPr>
              <w:t xml:space="preserve">Feedback learning loop</w:t>
            </w:r>
          </w:p>
        </w:tc>
        <w:tc>
          <w:tcPr>
            <w:tcW w:type="dxa" w:w="1400"/>
            <w:tcMar>
              <w:top w:type="dxa" w:w="80"/>
              <w:left w:type="dxa" w:w="100"/>
              <w:bottom w:type="dxa" w:w="80"/>
              <w:right w:type="dxa" w:w="100"/>
            </w:tcMar>
          </w:tcPr>
          <w:p>
            <w:r>
              <w:rPr>
                <w:sz w:val="20"/>
                <w:szCs w:val="20"/>
              </w:rPr>
              <w:t xml:space="preserve">Turns </w:t>
            </w:r>
            <w:r>
              <w:rPr>
                <w:rFonts w:ascii="Consolas" w:cs="Consolas" w:eastAsia="Consolas" w:hAnsi="Consolas"/>
                <w:sz w:val="20"/>
                <w:szCs w:val="20"/>
                <w:shd w:fill="F0F0F0" w:val="clear"/>
              </w:rPr>
              <w:t xml:space="preserve">/feedback</w:t>
            </w:r>
            <w:r>
              <w:rPr>
                <w:sz w:val="20"/>
                <w:szCs w:val="20"/>
              </w:rPr>
              <w:t xml:space="preserve"> data into actual golden-set/prompt improvements</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Phase 3/Production</w:t>
            </w:r>
          </w:p>
        </w:tc>
      </w:tr>
      <w:tr>
        <w:trPr>
          <w:tblHeader w:val="false"/>
        </w:trPr>
        <w:tc>
          <w:tcPr>
            <w:tcW w:type="dxa" w:w="2800"/>
            <w:tcMar>
              <w:top w:type="dxa" w:w="80"/>
              <w:left w:type="dxa" w:w="100"/>
              <w:bottom w:type="dxa" w:w="80"/>
              <w:right w:type="dxa" w:w="100"/>
            </w:tcMar>
          </w:tcPr>
          <w:p>
            <w:r>
              <w:rPr>
                <w:sz w:val="20"/>
                <w:szCs w:val="20"/>
              </w:rPr>
              <w:t xml:space="preserve">Multi-LLM support</w:t>
            </w:r>
          </w:p>
        </w:tc>
        <w:tc>
          <w:tcPr>
            <w:tcW w:type="dxa" w:w="1400"/>
            <w:tcMar>
              <w:top w:type="dxa" w:w="80"/>
              <w:left w:type="dxa" w:w="100"/>
              <w:bottom w:type="dxa" w:w="80"/>
              <w:right w:type="dxa" w:w="100"/>
            </w:tcMar>
          </w:tcPr>
          <w:p>
            <w:r>
              <w:rPr>
                <w:sz w:val="20"/>
                <w:szCs w:val="20"/>
              </w:rPr>
              <w:t xml:space="preserve">Reduces vendor lock-in risk (architecture doc risk analysis)</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Nice to Have</w:t>
            </w:r>
          </w:p>
        </w:tc>
        <w:tc>
          <w:tcPr>
            <w:tcW w:type="dxa" w:w="2800"/>
            <w:tcMar>
              <w:top w:type="dxa" w:w="80"/>
              <w:left w:type="dxa" w:w="100"/>
              <w:bottom w:type="dxa" w:w="80"/>
              <w:right w:type="dxa" w:w="100"/>
            </w:tcMar>
          </w:tcPr>
          <w:p>
            <w:r>
              <w:rPr>
                <w:sz w:val="20"/>
                <w:szCs w:val="20"/>
              </w:rPr>
              <w:t xml:space="preserve">Production</w:t>
            </w:r>
          </w:p>
        </w:tc>
      </w:tr>
      <w:tr>
        <w:trPr>
          <w:tblHeader w:val="false"/>
        </w:trPr>
        <w:tc>
          <w:tcPr>
            <w:tcW w:type="dxa" w:w="2800"/>
            <w:tcMar>
              <w:top w:type="dxa" w:w="80"/>
              <w:left w:type="dxa" w:w="100"/>
              <w:bottom w:type="dxa" w:w="80"/>
              <w:right w:type="dxa" w:w="100"/>
            </w:tcMar>
          </w:tcPr>
          <w:p>
            <w:r>
              <w:rPr>
                <w:sz w:val="20"/>
                <w:szCs w:val="20"/>
              </w:rPr>
              <w:t xml:space="preserve">Explainability dashboard</w:t>
            </w:r>
          </w:p>
        </w:tc>
        <w:tc>
          <w:tcPr>
            <w:tcW w:type="dxa" w:w="1400"/>
            <w:tcMar>
              <w:top w:type="dxa" w:w="80"/>
              <w:left w:type="dxa" w:w="100"/>
              <w:bottom w:type="dxa" w:w="80"/>
              <w:right w:type="dxa" w:w="100"/>
            </w:tcMar>
          </w:tcPr>
          <w:p>
            <w:r>
              <w:rPr>
                <w:sz w:val="20"/>
                <w:szCs w:val="20"/>
              </w:rPr>
              <w:t xml:space="preserve">Makes the "why" behind recommendations inspectable at a glance, reinforcing the project's core trust thesis</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Should Have</w:t>
            </w:r>
          </w:p>
        </w:tc>
        <w:tc>
          <w:tcPr>
            <w:tcW w:type="dxa" w:w="2800"/>
            <w:tcMar>
              <w:top w:type="dxa" w:w="80"/>
              <w:left w:type="dxa" w:w="100"/>
              <w:bottom w:type="dxa" w:w="80"/>
              <w:right w:type="dxa" w:w="100"/>
            </w:tcMar>
          </w:tcPr>
          <w:p>
            <w:r>
              <w:rPr>
                <w:sz w:val="20"/>
                <w:szCs w:val="20"/>
              </w:rPr>
              <w:t xml:space="preserve">Phase 3</w:t>
            </w:r>
          </w:p>
        </w:tc>
      </w:tr>
      <w:tr>
        <w:trPr>
          <w:tblHeader w:val="false"/>
        </w:trPr>
        <w:tc>
          <w:tcPr>
            <w:tcW w:type="dxa" w:w="2800"/>
            <w:tcMar>
              <w:top w:type="dxa" w:w="80"/>
              <w:left w:type="dxa" w:w="100"/>
              <w:bottom w:type="dxa" w:w="80"/>
              <w:right w:type="dxa" w:w="100"/>
            </w:tcMar>
          </w:tcPr>
          <w:p>
            <w:r>
              <w:rPr>
                <w:sz w:val="20"/>
                <w:szCs w:val="20"/>
              </w:rPr>
              <w:t xml:space="preserve">Agent memory improvements (vector-based long-term memory vs. flat summary)</w:t>
            </w:r>
          </w:p>
        </w:tc>
        <w:tc>
          <w:tcPr>
            <w:tcW w:type="dxa" w:w="1400"/>
            <w:tcMar>
              <w:top w:type="dxa" w:w="80"/>
              <w:left w:type="dxa" w:w="100"/>
              <w:bottom w:type="dxa" w:w="80"/>
              <w:right w:type="dxa" w:w="100"/>
            </w:tcMar>
          </w:tcPr>
          <w:p>
            <w:r>
              <w:rPr>
                <w:sz w:val="20"/>
                <w:szCs w:val="20"/>
              </w:rPr>
              <w:t xml:space="preserve">More scalable personalization as conversation history grows</w:t>
            </w:r>
          </w:p>
        </w:tc>
        <w:tc>
          <w:tcPr>
            <w:tcW w:type="dxa" w:w="1400"/>
            <w:tcMar>
              <w:top w:type="dxa" w:w="80"/>
              <w:left w:type="dxa" w:w="100"/>
              <w:bottom w:type="dxa" w:w="80"/>
              <w:right w:type="dxa" w:w="100"/>
            </w:tcMar>
          </w:tcPr>
          <w:p>
            <w:r>
              <w:rPr>
                <w:sz w:val="20"/>
                <w:szCs w:val="20"/>
              </w:rPr>
              <w:t xml:space="preserve">High</w:t>
            </w:r>
          </w:p>
        </w:tc>
        <w:tc>
          <w:tcPr>
            <w:tcW w:type="dxa" w:w="1400"/>
            <w:tcMar>
              <w:top w:type="dxa" w:w="80"/>
              <w:left w:type="dxa" w:w="100"/>
              <w:bottom w:type="dxa" w:w="80"/>
              <w:right w:type="dxa" w:w="100"/>
            </w:tcMar>
          </w:tcPr>
          <w:p>
            <w:r>
              <w:rPr>
                <w:sz w:val="20"/>
                <w:szCs w:val="20"/>
              </w:rPr>
              <w:t xml:space="preserve">Nice to Have</w:t>
            </w:r>
          </w:p>
        </w:tc>
        <w:tc>
          <w:tcPr>
            <w:tcW w:type="dxa" w:w="2800"/>
            <w:tcMar>
              <w:top w:type="dxa" w:w="80"/>
              <w:left w:type="dxa" w:w="100"/>
              <w:bottom w:type="dxa" w:w="80"/>
              <w:right w:type="dxa" w:w="100"/>
            </w:tcMar>
          </w:tcPr>
          <w:p>
            <w:r>
              <w:rPr>
                <w:sz w:val="20"/>
                <w:szCs w:val="20"/>
              </w:rPr>
              <w:t xml:space="preserve">Production</w:t>
            </w:r>
          </w:p>
        </w:tc>
      </w:tr>
      <w:tr>
        <w:trPr>
          <w:tblHeader w:val="false"/>
        </w:trPr>
        <w:tc>
          <w:tcPr>
            <w:tcW w:type="dxa" w:w="2800"/>
            <w:tcMar>
              <w:top w:type="dxa" w:w="80"/>
              <w:left w:type="dxa" w:w="100"/>
              <w:bottom w:type="dxa" w:w="80"/>
              <w:right w:type="dxa" w:w="100"/>
            </w:tcMar>
          </w:tcPr>
          <w:p>
            <w:r>
              <w:rPr>
                <w:sz w:val="20"/>
                <w:szCs w:val="20"/>
              </w:rPr>
              <w:t xml:space="preserve">Observability with LangSmith/Phoenix</w:t>
            </w:r>
          </w:p>
        </w:tc>
        <w:tc>
          <w:tcPr>
            <w:tcW w:type="dxa" w:w="1400"/>
            <w:tcMar>
              <w:top w:type="dxa" w:w="80"/>
              <w:left w:type="dxa" w:w="100"/>
              <w:bottom w:type="dxa" w:w="80"/>
              <w:right w:type="dxa" w:w="100"/>
            </w:tcMar>
          </w:tcPr>
          <w:p>
            <w:r>
              <w:rPr>
                <w:sz w:val="20"/>
                <w:szCs w:val="20"/>
              </w:rPr>
              <w:t xml:space="preserve">Already covered as </w:t>
            </w:r>
            <w:r>
              <w:rPr>
                <w:b/>
                <w:bCs/>
                <w:sz w:val="20"/>
                <w:szCs w:val="20"/>
              </w:rPr>
              <w:t xml:space="preserve">Must Have</w:t>
            </w:r>
            <w:r>
              <w:rPr>
                <w:sz w:val="20"/>
                <w:szCs w:val="20"/>
              </w:rPr>
              <w:t xml:space="preserve"> from Phase 1 (Section 19) — listed here for completeness</w:t>
            </w:r>
          </w:p>
        </w:tc>
        <w:tc>
          <w:tcPr>
            <w:tcW w:type="dxa" w:w="1400"/>
            <w:tcMar>
              <w:top w:type="dxa" w:w="80"/>
              <w:left w:type="dxa" w:w="100"/>
              <w:bottom w:type="dxa" w:w="80"/>
              <w:right w:type="dxa" w:w="100"/>
            </w:tcMar>
          </w:tcPr>
          <w:p>
            <w:r>
              <w:rPr>
                <w:sz w:val="20"/>
                <w:szCs w:val="20"/>
              </w:rPr>
              <w:t xml:space="preserve">Low</w:t>
            </w:r>
          </w:p>
        </w:tc>
        <w:tc>
          <w:tcPr>
            <w:tcW w:type="dxa" w:w="1400"/>
            <w:tcMar>
              <w:top w:type="dxa" w:w="80"/>
              <w:left w:type="dxa" w:w="100"/>
              <w:bottom w:type="dxa" w:w="80"/>
              <w:right w:type="dxa" w:w="100"/>
            </w:tcMar>
          </w:tcPr>
          <w:p>
            <w:r>
              <w:rPr>
                <w:sz w:val="20"/>
                <w:szCs w:val="20"/>
              </w:rPr>
              <w:t xml:space="preserve">Must Have</w:t>
            </w:r>
          </w:p>
        </w:tc>
        <w:tc>
          <w:tcPr>
            <w:tcW w:type="dxa" w:w="2800"/>
            <w:tcMar>
              <w:top w:type="dxa" w:w="80"/>
              <w:left w:type="dxa" w:w="100"/>
              <w:bottom w:type="dxa" w:w="80"/>
              <w:right w:type="dxa" w:w="100"/>
            </w:tcMar>
          </w:tcPr>
          <w:p>
            <w:r>
              <w:rPr>
                <w:sz w:val="20"/>
                <w:szCs w:val="20"/>
              </w:rPr>
              <w:t xml:space="preserve">MVP</w:t>
            </w:r>
          </w:p>
        </w:tc>
      </w:tr>
      <w:tr>
        <w:trPr>
          <w:tblHeader w:val="false"/>
        </w:trPr>
        <w:tc>
          <w:tcPr>
            <w:tcW w:type="dxa" w:w="2800"/>
            <w:tcMar>
              <w:top w:type="dxa" w:w="80"/>
              <w:left w:type="dxa" w:w="100"/>
              <w:bottom w:type="dxa" w:w="80"/>
              <w:right w:type="dxa" w:w="100"/>
            </w:tcMar>
          </w:tcPr>
          <w:p>
            <w:r>
              <w:rPr>
                <w:sz w:val="20"/>
                <w:szCs w:val="20"/>
              </w:rPr>
              <w:t xml:space="preserve">Security hardening (input sanitization, prompt-injection defenses, secrets audit)</w:t>
            </w:r>
          </w:p>
        </w:tc>
        <w:tc>
          <w:tcPr>
            <w:tcW w:type="dxa" w:w="1400"/>
            <w:tcMar>
              <w:top w:type="dxa" w:w="80"/>
              <w:left w:type="dxa" w:w="100"/>
              <w:bottom w:type="dxa" w:w="80"/>
              <w:right w:type="dxa" w:w="100"/>
            </w:tcMar>
          </w:tcPr>
          <w:p>
            <w:r>
              <w:rPr>
                <w:sz w:val="20"/>
                <w:szCs w:val="20"/>
              </w:rPr>
              <w:t xml:space="preserve">Directly mitigates the P0 risks in the architecture document's risk analysis</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Must Have</w:t>
            </w:r>
          </w:p>
        </w:tc>
        <w:tc>
          <w:tcPr>
            <w:tcW w:type="dxa" w:w="2800"/>
            <w:tcMar>
              <w:top w:type="dxa" w:w="80"/>
              <w:left w:type="dxa" w:w="100"/>
              <w:bottom w:type="dxa" w:w="80"/>
              <w:right w:type="dxa" w:w="100"/>
            </w:tcMar>
          </w:tcPr>
          <w:p>
            <w:r>
              <w:rPr>
                <w:sz w:val="20"/>
                <w:szCs w:val="20"/>
              </w:rPr>
              <w:t xml:space="preserve">Phase 3</w:t>
            </w:r>
          </w:p>
        </w:tc>
      </w:tr>
      <w:tr>
        <w:trPr>
          <w:tblHeader w:val="false"/>
        </w:trPr>
        <w:tc>
          <w:tcPr>
            <w:tcW w:type="dxa" w:w="2800"/>
            <w:tcMar>
              <w:top w:type="dxa" w:w="80"/>
              <w:left w:type="dxa" w:w="100"/>
              <w:bottom w:type="dxa" w:w="80"/>
              <w:right w:type="dxa" w:w="100"/>
            </w:tcMar>
          </w:tcPr>
          <w:p>
            <w:r>
              <w:rPr>
                <w:sz w:val="20"/>
                <w:szCs w:val="20"/>
              </w:rPr>
              <w:t xml:space="preserve">Financial compliance considerations (disclaimers, scope-limitation language, audit trail)</w:t>
            </w:r>
          </w:p>
        </w:tc>
        <w:tc>
          <w:tcPr>
            <w:tcW w:type="dxa" w:w="1400"/>
            <w:tcMar>
              <w:top w:type="dxa" w:w="80"/>
              <w:left w:type="dxa" w:w="100"/>
              <w:bottom w:type="dxa" w:w="80"/>
              <w:right w:type="dxa" w:w="100"/>
            </w:tcMar>
          </w:tcPr>
          <w:p>
            <w:r>
              <w:rPr>
                <w:sz w:val="20"/>
                <w:szCs w:val="20"/>
              </w:rPr>
              <w:t xml:space="preserve">Directly mitigates the compliance risk flagged throughout the architecture document</w:t>
            </w:r>
          </w:p>
        </w:tc>
        <w:tc>
          <w:tcPr>
            <w:tcW w:type="dxa" w:w="1400"/>
            <w:tcMar>
              <w:top w:type="dxa" w:w="80"/>
              <w:left w:type="dxa" w:w="100"/>
              <w:bottom w:type="dxa" w:w="80"/>
              <w:right w:type="dxa" w:w="100"/>
            </w:tcMar>
          </w:tcPr>
          <w:p>
            <w:r>
              <w:rPr>
                <w:sz w:val="20"/>
                <w:szCs w:val="20"/>
              </w:rPr>
              <w:t xml:space="preserve">Low</w:t>
            </w:r>
          </w:p>
        </w:tc>
        <w:tc>
          <w:tcPr>
            <w:tcW w:type="dxa" w:w="1400"/>
            <w:tcMar>
              <w:top w:type="dxa" w:w="80"/>
              <w:left w:type="dxa" w:w="100"/>
              <w:bottom w:type="dxa" w:w="80"/>
              <w:right w:type="dxa" w:w="100"/>
            </w:tcMar>
          </w:tcPr>
          <w:p>
            <w:r>
              <w:rPr>
                <w:sz w:val="20"/>
                <w:szCs w:val="20"/>
              </w:rPr>
              <w:t xml:space="preserve">Must Have</w:t>
            </w:r>
          </w:p>
        </w:tc>
        <w:tc>
          <w:tcPr>
            <w:tcW w:type="dxa" w:w="2800"/>
            <w:tcMar>
              <w:top w:type="dxa" w:w="80"/>
              <w:left w:type="dxa" w:w="100"/>
              <w:bottom w:type="dxa" w:w="80"/>
              <w:right w:type="dxa" w:w="100"/>
            </w:tcMar>
          </w:tcPr>
          <w:p>
            <w:r>
              <w:rPr>
                <w:sz w:val="20"/>
                <w:szCs w:val="20"/>
              </w:rPr>
              <w:t xml:space="preserve">MVP (disclaimers), Phase 3 (full audit trail via </w:t>
            </w:r>
            <w:r>
              <w:rPr>
                <w:rFonts w:ascii="Consolas" w:cs="Consolas" w:eastAsia="Consolas" w:hAnsi="Consolas"/>
                <w:sz w:val="20"/>
                <w:szCs w:val="20"/>
                <w:shd w:fill="F0F0F0" w:val="clear"/>
              </w:rPr>
              <w:t xml:space="preserve">recommendation_logs</w:t>
            </w:r>
            <w:r>
              <w:rPr>
                <w:sz w:val="20"/>
                <w:szCs w:val="20"/>
              </w:rPr>
              <w:t xml:space="preserve">)</w:t>
            </w:r>
          </w:p>
        </w:tc>
      </w:tr>
    </w:tbl>
    <w:p>
      <w:pPr>
        <w:spacing w:after="200"/>
      </w:pPr>
    </w:p>
    <w:p>
      <w:pPr>
        <w:spacing w:after="160" w:line="300"/>
      </w:pPr>
      <w:r>
        <w:rPr>
          <w:b/>
          <w:bCs/>
        </w:rPr>
        <w:t xml:space="preserve">How to use this table:</w:t>
      </w:r>
      <w:r>
        <w:t xml:space="preserve"> at the start of each phase in Section 3, filter this table to that phase's "When" column and treat only those rows as in-scope. Everything else is explicitly deferred, not forgotten — this table itself is the record.</w:t>
      </w:r>
    </w:p>
    <w:p>
      <w:pPr>
        <w:pStyle w:val="Heading1"/>
        <w:pageBreakBefore/>
        <w:spacing w:after="180" w:before="360"/>
      </w:pPr>
      <w:bookmarkStart w:name="sec23" w:id="1"/>
      <w:r>
        <w:t xml:space="preserve">24. Common Pitfalls</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Pitfall</w:t>
            </w:r>
          </w:p>
        </w:tc>
        <w:tc>
          <w:tcPr>
            <w:tcW w:type="dxa" w:w="3266"/>
            <w:shd w:fill="1F4E79" w:color="auto" w:val="clear"/>
            <w:tcMar>
              <w:top w:type="dxa" w:w="80"/>
              <w:left w:type="dxa" w:w="100"/>
              <w:bottom w:type="dxa" w:w="80"/>
              <w:right w:type="dxa" w:w="100"/>
            </w:tcMar>
          </w:tcPr>
          <w:p>
            <w:r>
              <w:rPr>
                <w:b/>
                <w:bCs/>
                <w:color w:val="FFFFFF"/>
                <w:sz w:val="20"/>
                <w:szCs w:val="20"/>
              </w:rPr>
              <w:t xml:space="preserve">Why it happens</w:t>
            </w:r>
          </w:p>
        </w:tc>
        <w:tc>
          <w:tcPr>
            <w:tcW w:type="dxa" w:w="3266"/>
            <w:shd w:fill="1F4E79" w:color="auto" w:val="clear"/>
            <w:tcMar>
              <w:top w:type="dxa" w:w="80"/>
              <w:left w:type="dxa" w:w="100"/>
              <w:bottom w:type="dxa" w:w="80"/>
              <w:right w:type="dxa" w:w="100"/>
            </w:tcMar>
          </w:tcPr>
          <w:p>
            <w:r>
              <w:rPr>
                <w:b/>
                <w:bCs/>
                <w:color w:val="FFFFFF"/>
                <w:sz w:val="20"/>
                <w:szCs w:val="20"/>
              </w:rPr>
              <w:t xml:space="preserve">How to avoid it</w:t>
            </w:r>
          </w:p>
        </w:tc>
      </w:tr>
      <w:tr>
        <w:trPr>
          <w:tblHeader w:val="false"/>
        </w:trPr>
        <w:tc>
          <w:tcPr>
            <w:tcW w:type="dxa" w:w="3266"/>
            <w:tcMar>
              <w:top w:type="dxa" w:w="80"/>
              <w:left w:type="dxa" w:w="100"/>
              <w:bottom w:type="dxa" w:w="80"/>
              <w:right w:type="dxa" w:w="100"/>
            </w:tcMar>
          </w:tcPr>
          <w:p>
            <w:r>
              <w:rPr>
                <w:sz w:val="20"/>
                <w:szCs w:val="20"/>
              </w:rPr>
              <w:t xml:space="preserve">Letting the LLM do arithmetic "just this once"</w:t>
            </w:r>
          </w:p>
        </w:tc>
        <w:tc>
          <w:tcPr>
            <w:tcW w:type="dxa" w:w="3266"/>
            <w:tcMar>
              <w:top w:type="dxa" w:w="80"/>
              <w:left w:type="dxa" w:w="100"/>
              <w:bottom w:type="dxa" w:w="80"/>
              <w:right w:type="dxa" w:w="100"/>
            </w:tcMar>
          </w:tcPr>
          <w:p>
            <w:r>
              <w:rPr>
                <w:sz w:val="20"/>
                <w:szCs w:val="20"/>
              </w:rPr>
              <w:t xml:space="preserve">Feels faster than routing through the calculator tool for a simple case</w:t>
            </w:r>
          </w:p>
        </w:tc>
        <w:tc>
          <w:tcPr>
            <w:tcW w:type="dxa" w:w="3266"/>
            <w:tcMar>
              <w:top w:type="dxa" w:w="80"/>
              <w:left w:type="dxa" w:w="100"/>
              <w:bottom w:type="dxa" w:w="80"/>
              <w:right w:type="dxa" w:w="100"/>
            </w:tcMar>
          </w:tcPr>
          <w:p>
            <w:r>
              <w:rPr>
                <w:sz w:val="20"/>
                <w:szCs w:val="20"/>
              </w:rPr>
              <w:t xml:space="preserve">Enforce via code review and a guardrail check that flags any numeric claim not traceable to a tool output</w:t>
            </w:r>
          </w:p>
        </w:tc>
      </w:tr>
      <w:tr>
        <w:trPr>
          <w:tblHeader w:val="false"/>
        </w:trPr>
        <w:tc>
          <w:tcPr>
            <w:tcW w:type="dxa" w:w="3266"/>
            <w:tcMar>
              <w:top w:type="dxa" w:w="80"/>
              <w:left w:type="dxa" w:w="100"/>
              <w:bottom w:type="dxa" w:w="80"/>
              <w:right w:type="dxa" w:w="100"/>
            </w:tcMar>
          </w:tcPr>
          <w:p>
            <w:r>
              <w:rPr>
                <w:sz w:val="20"/>
                <w:szCs w:val="20"/>
              </w:rPr>
              <w:t xml:space="preserve">Treating the golden dataset as a Phase 4 afterthought</w:t>
            </w:r>
          </w:p>
        </w:tc>
        <w:tc>
          <w:tcPr>
            <w:tcW w:type="dxa" w:w="3266"/>
            <w:tcMar>
              <w:top w:type="dxa" w:w="80"/>
              <w:left w:type="dxa" w:w="100"/>
              <w:bottom w:type="dxa" w:w="80"/>
              <w:right w:type="dxa" w:w="100"/>
            </w:tcMar>
          </w:tcPr>
          <w:p>
            <w:r>
              <w:rPr>
                <w:sz w:val="20"/>
                <w:szCs w:val="20"/>
              </w:rPr>
              <w:t xml:space="preserve">Testing feels less urgent than "making it work"</w:t>
            </w:r>
          </w:p>
        </w:tc>
        <w:tc>
          <w:tcPr>
            <w:tcW w:type="dxa" w:w="3266"/>
            <w:tcMar>
              <w:top w:type="dxa" w:w="80"/>
              <w:left w:type="dxa" w:w="100"/>
              <w:bottom w:type="dxa" w:w="80"/>
              <w:right w:type="dxa" w:w="100"/>
            </w:tcMar>
          </w:tcPr>
          <w:p>
            <w:r>
              <w:rPr>
                <w:sz w:val="20"/>
                <w:szCs w:val="20"/>
              </w:rPr>
              <w:t xml:space="preserve">Start the golden set in Phase 1 (Section 18.2) — it is a specification, not just a test suite</w:t>
            </w:r>
          </w:p>
        </w:tc>
      </w:tr>
      <w:tr>
        <w:trPr>
          <w:tblHeader w:val="false"/>
        </w:trPr>
        <w:tc>
          <w:tcPr>
            <w:tcW w:type="dxa" w:w="3266"/>
            <w:tcMar>
              <w:top w:type="dxa" w:w="80"/>
              <w:left w:type="dxa" w:w="100"/>
              <w:bottom w:type="dxa" w:w="80"/>
              <w:right w:type="dxa" w:w="100"/>
            </w:tcMar>
          </w:tcPr>
          <w:p>
            <w:r>
              <w:rPr>
                <w:sz w:val="20"/>
                <w:szCs w:val="20"/>
              </w:rPr>
              <w:t xml:space="preserve">Building the full LangGraph graph before validating retrieval quality</w:t>
            </w:r>
          </w:p>
        </w:tc>
        <w:tc>
          <w:tcPr>
            <w:tcW w:type="dxa" w:w="3266"/>
            <w:tcMar>
              <w:top w:type="dxa" w:w="80"/>
              <w:left w:type="dxa" w:w="100"/>
              <w:bottom w:type="dxa" w:w="80"/>
              <w:right w:type="dxa" w:w="100"/>
            </w:tcMar>
          </w:tcPr>
          <w:p>
            <w:r>
              <w:rPr>
                <w:sz w:val="20"/>
                <w:szCs w:val="20"/>
              </w:rPr>
              <w:t xml:space="preserve">Agent orchestration is the "exciting" part to build</w:t>
            </w:r>
          </w:p>
        </w:tc>
        <w:tc>
          <w:tcPr>
            <w:tcW w:type="dxa" w:w="3266"/>
            <w:tcMar>
              <w:top w:type="dxa" w:w="80"/>
              <w:left w:type="dxa" w:w="100"/>
              <w:bottom w:type="dxa" w:w="80"/>
              <w:right w:type="dxa" w:w="100"/>
            </w:tcMar>
          </w:tcPr>
          <w:p>
            <w:r>
              <w:rPr>
                <w:sz w:val="20"/>
                <w:szCs w:val="20"/>
              </w:rPr>
              <w:t xml:space="preserve">Follow the bottom-up order in Section 13.1; prove retrieval and calculation work as plain functions first</w:t>
            </w:r>
          </w:p>
        </w:tc>
      </w:tr>
      <w:tr>
        <w:trPr>
          <w:tblHeader w:val="false"/>
        </w:trPr>
        <w:tc>
          <w:tcPr>
            <w:tcW w:type="dxa" w:w="3266"/>
            <w:tcMar>
              <w:top w:type="dxa" w:w="80"/>
              <w:left w:type="dxa" w:w="100"/>
              <w:bottom w:type="dxa" w:w="80"/>
              <w:right w:type="dxa" w:w="100"/>
            </w:tcMar>
          </w:tcPr>
          <w:p>
            <w:r>
              <w:rPr>
                <w:sz w:val="20"/>
                <w:szCs w:val="20"/>
              </w:rPr>
              <w:t xml:space="preserve">Weakening guardrails under demo-day time pressure</w:t>
            </w:r>
          </w:p>
        </w:tc>
        <w:tc>
          <w:tcPr>
            <w:tcW w:type="dxa" w:w="3266"/>
            <w:tcMar>
              <w:top w:type="dxa" w:w="80"/>
              <w:left w:type="dxa" w:w="100"/>
              <w:bottom w:type="dxa" w:w="80"/>
              <w:right w:type="dxa" w:w="100"/>
            </w:tcMar>
          </w:tcPr>
          <w:p>
            <w:r>
              <w:rPr>
                <w:sz w:val="20"/>
                <w:szCs w:val="20"/>
              </w:rPr>
              <w:t xml:space="preserve">A guardrail blocking an answer looks like a bug when you're rushing</w:t>
            </w:r>
          </w:p>
        </w:tc>
        <w:tc>
          <w:tcPr>
            <w:tcW w:type="dxa" w:w="3266"/>
            <w:tcMar>
              <w:top w:type="dxa" w:w="80"/>
              <w:left w:type="dxa" w:w="100"/>
              <w:bottom w:type="dxa" w:w="80"/>
              <w:right w:type="dxa" w:w="100"/>
            </w:tcMar>
          </w:tcPr>
          <w:p>
            <w:r>
              <w:rPr>
                <w:sz w:val="20"/>
                <w:szCs w:val="20"/>
              </w:rPr>
              <w:t xml:space="preserve">Treat every guardrail trigger as a signal to fix the underlying data/retrieval issue, never as a rule to loosen</w:t>
            </w:r>
          </w:p>
        </w:tc>
      </w:tr>
      <w:tr>
        <w:trPr>
          <w:tblHeader w:val="false"/>
        </w:trPr>
        <w:tc>
          <w:tcPr>
            <w:tcW w:type="dxa" w:w="3266"/>
            <w:tcMar>
              <w:top w:type="dxa" w:w="80"/>
              <w:left w:type="dxa" w:w="100"/>
              <w:bottom w:type="dxa" w:w="80"/>
              <w:right w:type="dxa" w:w="100"/>
            </w:tcMar>
          </w:tcPr>
          <w:p>
            <w:r>
              <w:rPr>
                <w:sz w:val="20"/>
                <w:szCs w:val="20"/>
              </w:rPr>
              <w:t xml:space="preserve">Naive fixed-length chunking without inspecting the results</w:t>
            </w:r>
          </w:p>
        </w:tc>
        <w:tc>
          <w:tcPr>
            <w:tcW w:type="dxa" w:w="3266"/>
            <w:tcMar>
              <w:top w:type="dxa" w:w="80"/>
              <w:left w:type="dxa" w:w="100"/>
              <w:bottom w:type="dxa" w:w="80"/>
              <w:right w:type="dxa" w:w="100"/>
            </w:tcMar>
          </w:tcPr>
          <w:p>
            <w:r>
              <w:rPr>
                <w:sz w:val="20"/>
                <w:szCs w:val="20"/>
              </w:rPr>
              <w:t xml:space="preserve">Chunking "ran without errors," so it's assumed to be fine</w:t>
            </w:r>
          </w:p>
        </w:tc>
        <w:tc>
          <w:tcPr>
            <w:tcW w:type="dxa" w:w="3266"/>
            <w:tcMar>
              <w:top w:type="dxa" w:w="80"/>
              <w:left w:type="dxa" w:w="100"/>
              <w:bottom w:type="dxa" w:w="80"/>
              <w:right w:type="dxa" w:w="100"/>
            </w:tcMar>
          </w:tcPr>
          <w:p>
            <w:r>
              <w:rPr>
                <w:sz w:val="20"/>
                <w:szCs w:val="20"/>
              </w:rPr>
              <w:t xml:space="preserve">Manually spot-check chunks against source PDFs (Section 8.7) — a silent chunking failure is invisible until a specific evaluation question exposes it</w:t>
            </w:r>
          </w:p>
        </w:tc>
      </w:tr>
      <w:tr>
        <w:trPr>
          <w:tblHeader w:val="false"/>
        </w:trPr>
        <w:tc>
          <w:tcPr>
            <w:tcW w:type="dxa" w:w="3266"/>
            <w:tcMar>
              <w:top w:type="dxa" w:w="80"/>
              <w:left w:type="dxa" w:w="100"/>
              <w:bottom w:type="dxa" w:w="80"/>
              <w:right w:type="dxa" w:w="100"/>
            </w:tcMar>
          </w:tcPr>
          <w:p>
            <w:r>
              <w:rPr>
                <w:sz w:val="20"/>
                <w:szCs w:val="20"/>
              </w:rPr>
              <w:t xml:space="preserve">Skipping metadata filtering on retrieval</w:t>
            </w:r>
          </w:p>
        </w:tc>
        <w:tc>
          <w:tcPr>
            <w:tcW w:type="dxa" w:w="3266"/>
            <w:tcMar>
              <w:top w:type="dxa" w:w="80"/>
              <w:left w:type="dxa" w:w="100"/>
              <w:bottom w:type="dxa" w:w="80"/>
              <w:right w:type="dxa" w:w="100"/>
            </w:tcMar>
          </w:tcPr>
          <w:p>
            <w:r>
              <w:rPr>
                <w:sz w:val="20"/>
                <w:szCs w:val="20"/>
              </w:rPr>
              <w:t xml:space="preserve">Vector similarity alone often "looks" like it's working with only 1–2 cards loaded</w:t>
            </w:r>
          </w:p>
        </w:tc>
        <w:tc>
          <w:tcPr>
            <w:tcW w:type="dxa" w:w="3266"/>
            <w:tcMar>
              <w:top w:type="dxa" w:w="80"/>
              <w:left w:type="dxa" w:w="100"/>
              <w:bottom w:type="dxa" w:w="80"/>
              <w:right w:type="dxa" w:w="100"/>
            </w:tcMar>
          </w:tcPr>
          <w:p>
            <w:r>
              <w:rPr>
                <w:sz w:val="20"/>
                <w:szCs w:val="20"/>
              </w:rPr>
              <w:t xml:space="preserve">Add </w:t>
            </w:r>
            <w:r>
              <w:rPr>
                <w:rFonts w:ascii="Consolas" w:cs="Consolas" w:eastAsia="Consolas" w:hAnsi="Consolas"/>
                <w:sz w:val="20"/>
                <w:szCs w:val="20"/>
                <w:shd w:fill="F0F0F0" w:val="clear"/>
              </w:rPr>
              <w:t xml:space="preserve">card_name</w:t>
            </w:r>
            <w:r>
              <w:rPr>
                <w:sz w:val="20"/>
                <w:szCs w:val="20"/>
              </w:rPr>
              <w:t xml:space="preserve"> filtering from day one, even with a small corpus — the bug is latent, not absent, at small scale</w:t>
            </w:r>
          </w:p>
        </w:tc>
      </w:tr>
      <w:tr>
        <w:trPr>
          <w:tblHeader w:val="false"/>
        </w:trPr>
        <w:tc>
          <w:tcPr>
            <w:tcW w:type="dxa" w:w="3266"/>
            <w:tcMar>
              <w:top w:type="dxa" w:w="80"/>
              <w:left w:type="dxa" w:w="100"/>
              <w:bottom w:type="dxa" w:w="80"/>
              <w:right w:type="dxa" w:w="100"/>
            </w:tcMar>
          </w:tcPr>
          <w:p>
            <w:r>
              <w:rPr>
                <w:sz w:val="20"/>
                <w:szCs w:val="20"/>
              </w:rPr>
              <w:t xml:space="preserve">No loop-prevention caps on graph cycles</w:t>
            </w:r>
          </w:p>
        </w:tc>
        <w:tc>
          <w:tcPr>
            <w:tcW w:type="dxa" w:w="3266"/>
            <w:tcMar>
              <w:top w:type="dxa" w:w="80"/>
              <w:left w:type="dxa" w:w="100"/>
              <w:bottom w:type="dxa" w:w="80"/>
              <w:right w:type="dxa" w:w="100"/>
            </w:tcMar>
          </w:tcPr>
          <w:p>
            <w:r>
              <w:rPr>
                <w:sz w:val="20"/>
                <w:szCs w:val="20"/>
              </w:rPr>
              <w:t xml:space="preserve">Assuming the LLM "won't" loop forever</w:t>
            </w:r>
          </w:p>
        </w:tc>
        <w:tc>
          <w:tcPr>
            <w:tcW w:type="dxa" w:w="3266"/>
            <w:tcMar>
              <w:top w:type="dxa" w:w="80"/>
              <w:left w:type="dxa" w:w="100"/>
              <w:bottom w:type="dxa" w:w="80"/>
              <w:right w:type="dxa" w:w="100"/>
            </w:tcMar>
          </w:tcPr>
          <w:p>
            <w:r>
              <w:rPr>
                <w:sz w:val="20"/>
                <w:szCs w:val="20"/>
              </w:rPr>
              <w:t xml:space="preserve">Add explicit iteration counters in state (Section 14.3) before the first demo, not after the first hang</w:t>
            </w:r>
          </w:p>
        </w:tc>
      </w:tr>
      <w:tr>
        <w:trPr>
          <w:tblHeader w:val="false"/>
        </w:trPr>
        <w:tc>
          <w:tcPr>
            <w:tcW w:type="dxa" w:w="3266"/>
            <w:tcMar>
              <w:top w:type="dxa" w:w="80"/>
              <w:left w:type="dxa" w:w="100"/>
              <w:bottom w:type="dxa" w:w="80"/>
              <w:right w:type="dxa" w:w="100"/>
            </w:tcMar>
          </w:tcPr>
          <w:p>
            <w:r>
              <w:rPr>
                <w:sz w:val="20"/>
                <w:szCs w:val="20"/>
              </w:rPr>
              <w:t xml:space="preserve">Scope-creeping from the Suggestions list (Section 23) mid-phase</w:t>
            </w:r>
          </w:p>
        </w:tc>
        <w:tc>
          <w:tcPr>
            <w:tcW w:type="dxa" w:w="3266"/>
            <w:tcMar>
              <w:top w:type="dxa" w:w="80"/>
              <w:left w:type="dxa" w:w="100"/>
              <w:bottom w:type="dxa" w:w="80"/>
              <w:right w:type="dxa" w:w="100"/>
            </w:tcMar>
          </w:tcPr>
          <w:p>
            <w:r>
              <w:rPr>
                <w:sz w:val="20"/>
                <w:szCs w:val="20"/>
              </w:rPr>
              <w:t xml:space="preserve">Every suggestion is individually a good idea</w:t>
            </w:r>
          </w:p>
        </w:tc>
        <w:tc>
          <w:tcPr>
            <w:tcW w:type="dxa" w:w="3266"/>
            <w:tcMar>
              <w:top w:type="dxa" w:w="80"/>
              <w:left w:type="dxa" w:w="100"/>
              <w:bottom w:type="dxa" w:w="80"/>
              <w:right w:type="dxa" w:w="100"/>
            </w:tcMar>
          </w:tcPr>
          <w:p>
            <w:r>
              <w:rPr>
                <w:sz w:val="20"/>
                <w:szCs w:val="20"/>
              </w:rPr>
              <w:t xml:space="preserve">Gate additions strictly by the "When" column; treat mid-phase additions as a phase-planning failure to correct, not a one-off exception</w:t>
            </w:r>
          </w:p>
        </w:tc>
      </w:tr>
      <w:tr>
        <w:trPr>
          <w:tblHeader w:val="false"/>
        </w:trPr>
        <w:tc>
          <w:tcPr>
            <w:tcW w:type="dxa" w:w="3266"/>
            <w:tcMar>
              <w:top w:type="dxa" w:w="80"/>
              <w:left w:type="dxa" w:w="100"/>
              <w:bottom w:type="dxa" w:w="80"/>
              <w:right w:type="dxa" w:w="100"/>
            </w:tcMar>
          </w:tcPr>
          <w:p>
            <w:r>
              <w:rPr>
                <w:sz w:val="20"/>
                <w:szCs w:val="20"/>
              </w:rPr>
              <w:t xml:space="preserve">Committing secrets or real card PDFs with unclear redistribution rights to a public repo</w:t>
            </w:r>
          </w:p>
        </w:tc>
        <w:tc>
          <w:tcPr>
            <w:tcW w:type="dxa" w:w="3266"/>
            <w:tcMar>
              <w:top w:type="dxa" w:w="80"/>
              <w:left w:type="dxa" w:w="100"/>
              <w:bottom w:type="dxa" w:w="80"/>
              <w:right w:type="dxa" w:w="100"/>
            </w:tcMar>
          </w:tcPr>
          <w:p>
            <w:r>
              <w:rPr>
                <w:sz w:val="20"/>
                <w:szCs w:val="20"/>
              </w:rPr>
              <w:t xml:space="preserve">Convenience during fast iteration</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.gitignore</w:t>
            </w:r>
            <w:r>
              <w:rPr>
                <w:sz w:val="20"/>
                <w:szCs w:val="20"/>
              </w:rPr>
              <w:t xml:space="preserve"> discipline from Phase 0; store raw PDFs outside the repo (Section 7.4)</w:t>
            </w:r>
          </w:p>
        </w:tc>
      </w:tr>
      <w:tr>
        <w:trPr>
          <w:tblHeader w:val="false"/>
        </w:trPr>
        <w:tc>
          <w:tcPr>
            <w:tcW w:type="dxa" w:w="3266"/>
            <w:tcMar>
              <w:top w:type="dxa" w:w="80"/>
              <w:left w:type="dxa" w:w="100"/>
              <w:bottom w:type="dxa" w:w="80"/>
              <w:right w:type="dxa" w:w="100"/>
            </w:tcMar>
          </w:tcPr>
          <w:p>
            <w:r>
              <w:rPr>
                <w:sz w:val="20"/>
                <w:szCs w:val="20"/>
              </w:rPr>
              <w:t xml:space="preserve">Deploying without a tested rollback path</w:t>
            </w:r>
          </w:p>
        </w:tc>
        <w:tc>
          <w:tcPr>
            <w:tcW w:type="dxa" w:w="3266"/>
            <w:tcMar>
              <w:top w:type="dxa" w:w="80"/>
              <w:left w:type="dxa" w:w="100"/>
              <w:bottom w:type="dxa" w:w="80"/>
              <w:right w:type="dxa" w:w="100"/>
            </w:tcMar>
          </w:tcPr>
          <w:p>
            <w:r>
              <w:rPr>
                <w:sz w:val="20"/>
                <w:szCs w:val="20"/>
              </w:rPr>
              <w:t xml:space="preserve">Rollback feels like a "later" concern</w:t>
            </w:r>
          </w:p>
        </w:tc>
        <w:tc>
          <w:tcPr>
            <w:tcW w:type="dxa" w:w="3266"/>
            <w:tcMar>
              <w:top w:type="dxa" w:w="80"/>
              <w:left w:type="dxa" w:w="100"/>
              <w:bottom w:type="dxa" w:w="80"/>
              <w:right w:type="dxa" w:w="100"/>
            </w:tcMar>
          </w:tcPr>
          <w:p>
            <w:r>
              <w:rPr>
                <w:sz w:val="20"/>
                <w:szCs w:val="20"/>
              </w:rPr>
              <w:t xml:space="preserve">Set up commit-SHA-tagged image rollback (Section 20.5) in the same PR that sets up initial deployment, not afterward</w:t>
            </w:r>
          </w:p>
        </w:tc>
      </w:tr>
    </w:tbl>
    <w:p>
      <w:pPr>
        <w:spacing w:after="200"/>
      </w:pPr>
    </w:p>
    <w:p>
      <w:pPr>
        <w:pStyle w:val="Heading1"/>
        <w:pageBreakBefore/>
        <w:spacing w:after="180" w:before="360"/>
      </w:pPr>
      <w:bookmarkStart w:name="sec24" w:id="1"/>
      <w:r>
        <w:t xml:space="preserve">25. Final Technical Recommendations</w:t>
      </w:r>
      <w:bookmarkEnd w:id="1"/>
    </w:p>
    <w:p>
      <w:pPr>
        <w:pStyle w:val="Heading2"/>
        <w:spacing w:after="140" w:before="260"/>
      </w:pPr>
      <w:r>
        <w:t xml:space="preserve">25.1 Ratings</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Dimension</w:t>
            </w:r>
          </w:p>
        </w:tc>
        <w:tc>
          <w:tcPr>
            <w:tcW w:type="dxa" w:w="3266"/>
            <w:shd w:fill="1F4E79" w:color="auto" w:val="clear"/>
            <w:tcMar>
              <w:top w:type="dxa" w:w="80"/>
              <w:left w:type="dxa" w:w="100"/>
              <w:bottom w:type="dxa" w:w="80"/>
              <w:right w:type="dxa" w:w="100"/>
            </w:tcMar>
          </w:tcPr>
          <w:p>
            <w:r>
              <w:rPr>
                <w:b/>
                <w:bCs/>
                <w:color w:val="FFFFFF"/>
                <w:sz w:val="20"/>
                <w:szCs w:val="20"/>
              </w:rPr>
              <w:t xml:space="preserve">Rating (/10)</w:t>
            </w:r>
          </w:p>
        </w:tc>
        <w:tc>
          <w:tcPr>
            <w:tcW w:type="dxa" w:w="3266"/>
            <w:shd w:fill="1F4E79" w:color="auto" w:val="clear"/>
            <w:tcMar>
              <w:top w:type="dxa" w:w="80"/>
              <w:left w:type="dxa" w:w="100"/>
              <w:bottom w:type="dxa" w:w="80"/>
              <w:right w:type="dxa" w:w="100"/>
            </w:tcMar>
          </w:tcPr>
          <w:p>
            <w:r>
              <w:rPr>
                <w:b/>
                <w:bCs/>
                <w:color w:val="FFFFFF"/>
                <w:sz w:val="20"/>
                <w:szCs w:val="20"/>
              </w:rPr>
              <w:t xml:space="preserve">Rationale</w:t>
            </w:r>
          </w:p>
        </w:tc>
      </w:tr>
      <w:tr>
        <w:trPr>
          <w:tblHeader w:val="false"/>
        </w:trPr>
        <w:tc>
          <w:tcPr>
            <w:tcW w:type="dxa" w:w="3266"/>
            <w:tcMar>
              <w:top w:type="dxa" w:w="80"/>
              <w:left w:type="dxa" w:w="100"/>
              <w:bottom w:type="dxa" w:w="80"/>
              <w:right w:type="dxa" w:w="100"/>
            </w:tcMar>
          </w:tcPr>
          <w:p>
            <w:r>
              <w:rPr>
                <w:sz w:val="20"/>
                <w:szCs w:val="20"/>
              </w:rPr>
              <w:t xml:space="preserve">Overall architecture</w:t>
            </w:r>
          </w:p>
        </w:tc>
        <w:tc>
          <w:tcPr>
            <w:tcW w:type="dxa" w:w="3266"/>
            <w:tcMar>
              <w:top w:type="dxa" w:w="80"/>
              <w:left w:type="dxa" w:w="100"/>
              <w:bottom w:type="dxa" w:w="80"/>
              <w:right w:type="dxa" w:w="100"/>
            </w:tcMar>
          </w:tcPr>
          <w:p>
            <w:r>
              <w:rPr>
                <w:sz w:val="20"/>
                <w:szCs w:val="20"/>
              </w:rPr>
              <w:t xml:space="preserve">8</w:t>
            </w:r>
          </w:p>
        </w:tc>
        <w:tc>
          <w:tcPr>
            <w:tcW w:type="dxa" w:w="3266"/>
            <w:tcMar>
              <w:top w:type="dxa" w:w="80"/>
              <w:left w:type="dxa" w:w="100"/>
              <w:bottom w:type="dxa" w:w="80"/>
              <w:right w:type="dxa" w:w="100"/>
            </w:tcMar>
          </w:tcPr>
          <w:p>
            <w:r>
              <w:rPr>
                <w:sz w:val="20"/>
                <w:szCs w:val="20"/>
              </w:rPr>
              <w:t xml:space="preserve">Clean separation of facts/arithmetic/judgment; vertical-slice delivery reduces integration risk</w:t>
            </w:r>
          </w:p>
        </w:tc>
      </w:tr>
      <w:tr>
        <w:trPr>
          <w:tblHeader w:val="false"/>
        </w:trPr>
        <w:tc>
          <w:tcPr>
            <w:tcW w:type="dxa" w:w="3266"/>
            <w:tcMar>
              <w:top w:type="dxa" w:w="80"/>
              <w:left w:type="dxa" w:w="100"/>
              <w:bottom w:type="dxa" w:w="80"/>
              <w:right w:type="dxa" w:w="100"/>
            </w:tcMar>
          </w:tcPr>
          <w:p>
            <w:r>
              <w:rPr>
                <w:sz w:val="20"/>
                <w:szCs w:val="20"/>
              </w:rPr>
              <w:t xml:space="preserve">Scalability</w:t>
            </w:r>
          </w:p>
        </w:tc>
        <w:tc>
          <w:tcPr>
            <w:tcW w:type="dxa" w:w="3266"/>
            <w:tcMar>
              <w:top w:type="dxa" w:w="80"/>
              <w:left w:type="dxa" w:w="100"/>
              <w:bottom w:type="dxa" w:w="80"/>
              <w:right w:type="dxa" w:w="100"/>
            </w:tcMar>
          </w:tcPr>
          <w:p>
            <w:r>
              <w:rPr>
                <w:sz w:val="20"/>
                <w:szCs w:val="20"/>
              </w:rPr>
              <w:t xml:space="preserve">6</w:t>
            </w:r>
          </w:p>
        </w:tc>
        <w:tc>
          <w:tcPr>
            <w:tcW w:type="dxa" w:w="3266"/>
            <w:tcMar>
              <w:top w:type="dxa" w:w="80"/>
              <w:left w:type="dxa" w:w="100"/>
              <w:bottom w:type="dxa" w:w="80"/>
              <w:right w:type="dxa" w:w="100"/>
            </w:tcMar>
          </w:tcPr>
          <w:p>
            <w:r>
              <w:rPr>
                <w:sz w:val="20"/>
                <w:szCs w:val="20"/>
              </w:rPr>
              <w:t xml:space="preserve">Appropriate for capstone scale; several explicitly-flagged migration points (pgvector → dedicated vector DB, manual → AI-assisted extraction) exist for growth</w:t>
            </w:r>
          </w:p>
        </w:tc>
      </w:tr>
      <w:tr>
        <w:trPr>
          <w:tblHeader w:val="false"/>
        </w:trPr>
        <w:tc>
          <w:tcPr>
            <w:tcW w:type="dxa" w:w="3266"/>
            <w:tcMar>
              <w:top w:type="dxa" w:w="80"/>
              <w:left w:type="dxa" w:w="100"/>
              <w:bottom w:type="dxa" w:w="80"/>
              <w:right w:type="dxa" w:w="100"/>
            </w:tcMar>
          </w:tcPr>
          <w:p>
            <w:r>
              <w:rPr>
                <w:sz w:val="20"/>
                <w:szCs w:val="20"/>
              </w:rPr>
              <w:t xml:space="preserve">Maintainability</w:t>
            </w:r>
          </w:p>
        </w:tc>
        <w:tc>
          <w:tcPr>
            <w:tcW w:type="dxa" w:w="3266"/>
            <w:tcMar>
              <w:top w:type="dxa" w:w="80"/>
              <w:left w:type="dxa" w:w="100"/>
              <w:bottom w:type="dxa" w:w="80"/>
              <w:right w:type="dxa" w:w="100"/>
            </w:tcMar>
          </w:tcPr>
          <w:p>
            <w:r>
              <w:rPr>
                <w:sz w:val="20"/>
                <w:szCs w:val="20"/>
              </w:rPr>
              <w:t xml:space="preserve">8</w:t>
            </w:r>
          </w:p>
        </w:tc>
        <w:tc>
          <w:tcPr>
            <w:tcW w:type="dxa" w:w="3266"/>
            <w:tcMar>
              <w:top w:type="dxa" w:w="80"/>
              <w:left w:type="dxa" w:w="100"/>
              <w:bottom w:type="dxa" w:w="80"/>
              <w:right w:type="dxa" w:w="100"/>
            </w:tcMar>
          </w:tcPr>
          <w:p>
            <w:r>
              <w:rPr>
                <w:sz w:val="20"/>
                <w:szCs w:val="20"/>
              </w:rPr>
              <w:t xml:space="preserve">Strong module boundaries (</w:t>
            </w:r>
            <w:r>
              <w:rPr>
                <w:rFonts w:ascii="Consolas" w:cs="Consolas" w:eastAsia="Consolas" w:hAnsi="Consolas"/>
                <w:sz w:val="20"/>
                <w:szCs w:val="20"/>
                <w:shd w:fill="F0F0F0" w:val="clear"/>
              </w:rPr>
              <w:t xml:space="preserve">tools/</w:t>
            </w:r>
            <w:r>
              <w:rPr>
                <w:sz w:val="20"/>
                <w:szCs w:val="20"/>
              </w:rPr>
              <w:t xml:space="preserve"> vs </w:t>
            </w:r>
            <w:r>
              <w:rPr>
                <w:rFonts w:ascii="Consolas" w:cs="Consolas" w:eastAsia="Consolas" w:hAnsi="Consolas"/>
                <w:sz w:val="20"/>
                <w:szCs w:val="20"/>
                <w:shd w:fill="F0F0F0" w:val="clear"/>
              </w:rPr>
              <w:t xml:space="preserve">agents/</w:t>
            </w:r>
            <w:r>
              <w:rPr>
                <w:sz w:val="20"/>
                <w:szCs w:val="20"/>
              </w:rPr>
              <w:t xml:space="preserve">), typed state, and a documented dependency direction</w:t>
            </w:r>
          </w:p>
        </w:tc>
      </w:tr>
      <w:tr>
        <w:trPr>
          <w:tblHeader w:val="false"/>
        </w:trPr>
        <w:tc>
          <w:tcPr>
            <w:tcW w:type="dxa" w:w="3266"/>
            <w:tcMar>
              <w:top w:type="dxa" w:w="80"/>
              <w:left w:type="dxa" w:w="100"/>
              <w:bottom w:type="dxa" w:w="80"/>
              <w:right w:type="dxa" w:w="100"/>
            </w:tcMar>
          </w:tcPr>
          <w:p>
            <w:r>
              <w:rPr>
                <w:sz w:val="20"/>
                <w:szCs w:val="20"/>
              </w:rPr>
              <w:t xml:space="preserve">AI engineering maturity</w:t>
            </w:r>
          </w:p>
        </w:tc>
        <w:tc>
          <w:tcPr>
            <w:tcW w:type="dxa" w:w="3266"/>
            <w:tcMar>
              <w:top w:type="dxa" w:w="80"/>
              <w:left w:type="dxa" w:w="100"/>
              <w:bottom w:type="dxa" w:w="80"/>
              <w:right w:type="dxa" w:w="100"/>
            </w:tcMar>
          </w:tcPr>
          <w:p>
            <w:r>
              <w:rPr>
                <w:sz w:val="20"/>
                <w:szCs w:val="20"/>
              </w:rPr>
              <w:t xml:space="preserve">8</w:t>
            </w:r>
          </w:p>
        </w:tc>
        <w:tc>
          <w:tcPr>
            <w:tcW w:type="dxa" w:w="3266"/>
            <w:tcMar>
              <w:top w:type="dxa" w:w="80"/>
              <w:left w:type="dxa" w:w="100"/>
              <w:bottom w:type="dxa" w:w="80"/>
              <w:right w:type="dxa" w:w="100"/>
            </w:tcMar>
          </w:tcPr>
          <w:p>
            <w:r>
              <w:rPr>
                <w:sz w:val="20"/>
                <w:szCs w:val="20"/>
              </w:rPr>
              <w:t xml:space="preserve">Demonstrates the full modern stack (RAG, agents, tool use, guardrails, human-in-the-loop, evaluation) applied with real engineering discipline rather than superficially</w:t>
            </w:r>
          </w:p>
        </w:tc>
      </w:tr>
      <w:tr>
        <w:trPr>
          <w:tblHeader w:val="false"/>
        </w:trPr>
        <w:tc>
          <w:tcPr>
            <w:tcW w:type="dxa" w:w="3266"/>
            <w:tcMar>
              <w:top w:type="dxa" w:w="80"/>
              <w:left w:type="dxa" w:w="100"/>
              <w:bottom w:type="dxa" w:w="80"/>
              <w:right w:type="dxa" w:w="100"/>
            </w:tcMar>
          </w:tcPr>
          <w:p>
            <w:r>
              <w:rPr>
                <w:sz w:val="20"/>
                <w:szCs w:val="20"/>
              </w:rPr>
              <w:t xml:space="preserve">Production readiness</w:t>
            </w:r>
          </w:p>
        </w:tc>
        <w:tc>
          <w:tcPr>
            <w:tcW w:type="dxa" w:w="3266"/>
            <w:tcMar>
              <w:top w:type="dxa" w:w="80"/>
              <w:left w:type="dxa" w:w="100"/>
              <w:bottom w:type="dxa" w:w="80"/>
              <w:right w:type="dxa" w:w="100"/>
            </w:tcMar>
          </w:tcPr>
          <w:p>
            <w:r>
              <w:rPr>
                <w:sz w:val="20"/>
                <w:szCs w:val="20"/>
              </w:rPr>
              <w:t xml:space="preserve">5</w:t>
            </w:r>
          </w:p>
        </w:tc>
        <w:tc>
          <w:tcPr>
            <w:tcW w:type="dxa" w:w="3266"/>
            <w:tcMar>
              <w:top w:type="dxa" w:w="80"/>
              <w:left w:type="dxa" w:w="100"/>
              <w:bottom w:type="dxa" w:w="80"/>
              <w:right w:type="dxa" w:w="100"/>
            </w:tcMar>
          </w:tcPr>
          <w:p>
            <w:r>
              <w:rPr>
                <w:sz w:val="20"/>
                <w:szCs w:val="20"/>
              </w:rPr>
              <w:t xml:space="preserve">Solid foundation, but genuinely production-grade status requires the Phase-3-and-beyond items in Section 23 (security hardening, compliance review, real monitoring/alerting)</w:t>
            </w:r>
          </w:p>
        </w:tc>
      </w:tr>
      <w:tr>
        <w:trPr>
          <w:tblHeader w:val="false"/>
        </w:trPr>
        <w:tc>
          <w:tcPr>
            <w:tcW w:type="dxa" w:w="3266"/>
            <w:tcMar>
              <w:top w:type="dxa" w:w="80"/>
              <w:left w:type="dxa" w:w="100"/>
              <w:bottom w:type="dxa" w:w="80"/>
              <w:right w:type="dxa" w:w="100"/>
            </w:tcMar>
          </w:tcPr>
          <w:p>
            <w:r>
              <w:rPr>
                <w:sz w:val="20"/>
                <w:szCs w:val="20"/>
              </w:rPr>
              <w:t xml:space="preserve">Security readiness</w:t>
            </w:r>
          </w:p>
        </w:tc>
        <w:tc>
          <w:tcPr>
            <w:tcW w:type="dxa" w:w="3266"/>
            <w:tcMar>
              <w:top w:type="dxa" w:w="80"/>
              <w:left w:type="dxa" w:w="100"/>
              <w:bottom w:type="dxa" w:w="80"/>
              <w:right w:type="dxa" w:w="100"/>
            </w:tcMar>
          </w:tcPr>
          <w:p>
            <w:r>
              <w:rPr>
                <w:sz w:val="20"/>
                <w:szCs w:val="20"/>
              </w:rPr>
              <w:t xml:space="preserve">6</w:t>
            </w:r>
          </w:p>
        </w:tc>
        <w:tc>
          <w:tcPr>
            <w:tcW w:type="dxa" w:w="3266"/>
            <w:tcMar>
              <w:top w:type="dxa" w:w="80"/>
              <w:left w:type="dxa" w:w="100"/>
              <w:bottom w:type="dxa" w:w="80"/>
              <w:right w:type="dxa" w:w="100"/>
            </w:tcMar>
          </w:tcPr>
          <w:p>
            <w:r>
              <w:rPr>
                <w:sz w:val="20"/>
                <w:szCs w:val="20"/>
              </w:rPr>
              <w:t xml:space="preserve">Core patterns are right (secrets management, prompt-injection awareness); needs a dedicated hardening pass (Section 23) before any real deployment beyond a demo</w:t>
            </w:r>
          </w:p>
        </w:tc>
      </w:tr>
      <w:tr>
        <w:trPr>
          <w:tblHeader w:val="false"/>
        </w:trPr>
        <w:tc>
          <w:tcPr>
            <w:tcW w:type="dxa" w:w="3266"/>
            <w:tcMar>
              <w:top w:type="dxa" w:w="80"/>
              <w:left w:type="dxa" w:w="100"/>
              <w:bottom w:type="dxa" w:w="80"/>
              <w:right w:type="dxa" w:w="100"/>
            </w:tcMar>
          </w:tcPr>
          <w:p>
            <w:r>
              <w:rPr>
                <w:sz w:val="20"/>
                <w:szCs w:val="20"/>
              </w:rPr>
              <w:t xml:space="preserve">Resume impact</w:t>
            </w:r>
          </w:p>
        </w:tc>
        <w:tc>
          <w:tcPr>
            <w:tcW w:type="dxa" w:w="3266"/>
            <w:tcMar>
              <w:top w:type="dxa" w:w="80"/>
              <w:left w:type="dxa" w:w="100"/>
              <w:bottom w:type="dxa" w:w="80"/>
              <w:right w:type="dxa" w:w="100"/>
            </w:tcMar>
          </w:tcPr>
          <w:p>
            <w:r>
              <w:rPr>
                <w:sz w:val="20"/>
                <w:szCs w:val="20"/>
              </w:rPr>
              <w:t xml:space="preserve">8</w:t>
            </w:r>
          </w:p>
        </w:tc>
        <w:tc>
          <w:tcPr>
            <w:tcW w:type="dxa" w:w="3266"/>
            <w:tcMar>
              <w:top w:type="dxa" w:w="80"/>
              <w:left w:type="dxa" w:w="100"/>
              <w:bottom w:type="dxa" w:w="80"/>
              <w:right w:type="dxa" w:w="100"/>
            </w:tcMar>
          </w:tcPr>
          <w:p>
            <w:r>
              <w:rPr>
                <w:sz w:val="20"/>
                <w:szCs w:val="20"/>
              </w:rPr>
              <w:t xml:space="preserve">The "irreversibility-gated human approval" and "separation of facts/arithmetic/judgment" narratives are genuinely differentiated talking points</w:t>
            </w:r>
          </w:p>
        </w:tc>
      </w:tr>
      <w:tr>
        <w:trPr>
          <w:tblHeader w:val="false"/>
        </w:trPr>
        <w:tc>
          <w:tcPr>
            <w:tcW w:type="dxa" w:w="3266"/>
            <w:tcMar>
              <w:top w:type="dxa" w:w="80"/>
              <w:left w:type="dxa" w:w="100"/>
              <w:bottom w:type="dxa" w:w="80"/>
              <w:right w:type="dxa" w:w="100"/>
            </w:tcMar>
          </w:tcPr>
          <w:p>
            <w:r>
              <w:rPr>
                <w:sz w:val="20"/>
                <w:szCs w:val="20"/>
              </w:rPr>
              <w:t xml:space="preserve">Portfolio impact</w:t>
            </w:r>
          </w:p>
        </w:tc>
        <w:tc>
          <w:tcPr>
            <w:tcW w:type="dxa" w:w="3266"/>
            <w:tcMar>
              <w:top w:type="dxa" w:w="80"/>
              <w:left w:type="dxa" w:w="100"/>
              <w:bottom w:type="dxa" w:w="80"/>
              <w:right w:type="dxa" w:w="100"/>
            </w:tcMar>
          </w:tcPr>
          <w:p>
            <w:r>
              <w:rPr>
                <w:sz w:val="20"/>
                <w:szCs w:val="20"/>
              </w:rPr>
              <w:t xml:space="preserve">8</w:t>
            </w:r>
          </w:p>
        </w:tc>
        <w:tc>
          <w:tcPr>
            <w:tcW w:type="dxa" w:w="3266"/>
            <w:tcMar>
              <w:top w:type="dxa" w:w="80"/>
              <w:left w:type="dxa" w:w="100"/>
              <w:bottom w:type="dxa" w:w="80"/>
              <w:right w:type="dxa" w:w="100"/>
            </w:tcMar>
          </w:tcPr>
          <w:p>
            <w:r>
              <w:rPr>
                <w:sz w:val="20"/>
                <w:szCs w:val="20"/>
              </w:rPr>
              <w:t xml:space="preserve">End-to-end, demoable, and defensible in an interview at both the product and engineering-decision level</w:t>
            </w:r>
          </w:p>
        </w:tc>
      </w:tr>
    </w:tbl>
    <w:p>
      <w:pPr>
        <w:spacing w:after="200"/>
      </w:pPr>
    </w:p>
    <w:p>
      <w:pPr>
        <w:pStyle w:val="Heading2"/>
        <w:spacing w:after="140" w:before="260"/>
      </w:pPr>
      <w:r>
        <w:t xml:space="preserve">25.2 Prioritized Implementation Checklist (Development Tracker)</w:t>
      </w:r>
    </w:p>
    <w:p>
      <w:pPr>
        <w:spacing w:after="160" w:line="300"/>
      </w:pPr>
      <w:r>
        <w:rPr>
          <w:b/>
          <w:bCs/>
        </w:rPr>
        <w:t xml:space="preserve">Must complete before calling it an MVP:</w:t>
      </w:r>
    </w:p>
    <w:p>
      <w:pPr>
        <w:pStyle w:val="ListParagraph"/>
        <w:numPr>
          <w:ilvl w:val="0"/>
          <w:numId w:val="1"/>
        </w:numPr>
        <w:spacing w:after="80" w:line="290"/>
      </w:pPr>
      <w:r>
        <w:t xml:space="preserve">[ ] Repo, Docker, CI skeleton (Phase 0)</w:t>
      </w:r>
    </w:p>
    <w:p>
      <w:pPr>
        <w:pStyle w:val="ListParagraph"/>
        <w:numPr>
          <w:ilvl w:val="0"/>
          <w:numId w:val="1"/>
        </w:numPr>
        <w:spacing w:after="80" w:line="290"/>
      </w:pPr>
      <w:r>
        <w:t xml:space="preserve">[ ] 4–5 cards ingested with validated, spot-checked chunks</w:t>
      </w:r>
    </w:p>
    <w:p>
      <w:pPr>
        <w:pStyle w:val="ListParagraph"/>
        <w:numPr>
          <w:ilvl w:val="0"/>
          <w:numId w:val="1"/>
        </w:numPr>
        <w:spacing w:after="80" w:line="290"/>
      </w:pPr>
      <w:r>
        <w:t xml:space="preserve">[ ] Calculator tool with 100% unit test pass rate</w:t>
      </w:r>
    </w:p>
    <w:p>
      <w:pPr>
        <w:pStyle w:val="ListParagraph"/>
        <w:numPr>
          <w:ilvl w:val="0"/>
          <w:numId w:val="1"/>
        </w:numPr>
        <w:spacing w:after="80" w:line="290"/>
      </w:pPr>
      <w:r>
        <w:t xml:space="preserve">[ ] Retriever with metadata (</w:t>
      </w:r>
      <w:r>
        <w:rPr>
          <w:rFonts w:ascii="Consolas" w:cs="Consolas" w:eastAsia="Consolas" w:hAnsi="Consolas"/>
          <w:shd w:fill="F0F0F0" w:val="clear"/>
        </w:rPr>
        <w:t xml:space="preserve">card_name</w:t>
      </w:r>
      <w:r>
        <w:t xml:space="preserve">) filtering</w:t>
      </w:r>
    </w:p>
    <w:p>
      <w:pPr>
        <w:pStyle w:val="ListParagraph"/>
        <w:numPr>
          <w:ilvl w:val="0"/>
          <w:numId w:val="1"/>
        </w:numPr>
        <w:spacing w:after="80" w:line="290"/>
      </w:pPr>
      <w:r>
        <w:t xml:space="preserve">[ ] 20-question golden dataset, hand-derived from source PDFs</w:t>
      </w:r>
    </w:p>
    <w:p>
      <w:pPr>
        <w:pStyle w:val="ListParagraph"/>
        <w:numPr>
          <w:ilvl w:val="0"/>
          <w:numId w:val="1"/>
        </w:numPr>
        <w:spacing w:after="80" w:line="290"/>
      </w:pPr>
      <w:r>
        <w:t xml:space="preserve">[ ] </w:t>
      </w:r>
      <w:r>
        <w:rPr>
          <w:rFonts w:ascii="Consolas" w:cs="Consolas" w:eastAsia="Consolas" w:hAnsi="Consolas"/>
          <w:shd w:fill="F0F0F0" w:val="clear"/>
        </w:rPr>
        <w:t xml:space="preserve">/recommend</w:t>
      </w:r>
      <w:r>
        <w:t xml:space="preserve"> endpoint answering all 20 golden questions correctly and with citations</w:t>
      </w:r>
    </w:p>
    <w:p>
      <w:pPr>
        <w:spacing w:after="160" w:line="300"/>
      </w:pPr>
      <w:r>
        <w:rPr>
          <w:b/>
          <w:bCs/>
        </w:rPr>
        <w:t xml:space="preserve">Must complete before calling it "agentic" (Phase 2):</w:t>
      </w:r>
    </w:p>
    <w:p>
      <w:pPr>
        <w:pStyle w:val="ListParagraph"/>
        <w:numPr>
          <w:ilvl w:val="0"/>
          <w:numId w:val="1"/>
        </w:numPr>
        <w:spacing w:after="80" w:line="290"/>
      </w:pPr>
      <w:r>
        <w:t xml:space="preserve">[ ] LangGraph graph with Intent, Retrieval, Rule Validation, Calculation, Comparison nodes</w:t>
      </w:r>
    </w:p>
    <w:p>
      <w:pPr>
        <w:pStyle w:val="ListParagraph"/>
        <w:numPr>
          <w:ilvl w:val="0"/>
          <w:numId w:val="1"/>
        </w:numPr>
        <w:spacing w:after="80" w:line="290"/>
      </w:pPr>
      <w:r>
        <w:t xml:space="preserve">[ ] Conversation memory (session-scoped, minimum)</w:t>
      </w:r>
    </w:p>
    <w:p>
      <w:pPr>
        <w:pStyle w:val="ListParagraph"/>
        <w:numPr>
          <w:ilvl w:val="0"/>
          <w:numId w:val="1"/>
        </w:numPr>
        <w:spacing w:after="80" w:line="290"/>
      </w:pPr>
      <w:r>
        <w:t xml:space="preserve">[ ] Monthly-optimization use case working end-to-end</w:t>
      </w:r>
    </w:p>
    <w:p>
      <w:pPr>
        <w:pStyle w:val="ListParagraph"/>
        <w:numPr>
          <w:ilvl w:val="0"/>
          <w:numId w:val="1"/>
        </w:numPr>
        <w:spacing w:after="80" w:line="290"/>
      </w:pPr>
      <w:r>
        <w:t xml:space="preserve">[ ] Golden set expanded to 40+ questions</w:t>
      </w:r>
    </w:p>
    <w:p>
      <w:pPr>
        <w:spacing w:after="160" w:line="300"/>
      </w:pPr>
      <w:r>
        <w:rPr>
          <w:b/>
          <w:bCs/>
        </w:rPr>
        <w:t xml:space="preserve">Must complete before calling it "safe" (Phase 3):</w:t>
      </w:r>
    </w:p>
    <w:p>
      <w:pPr>
        <w:pStyle w:val="ListParagraph"/>
        <w:numPr>
          <w:ilvl w:val="0"/>
          <w:numId w:val="1"/>
        </w:numPr>
        <w:spacing w:after="80" w:line="290"/>
      </w:pPr>
      <w:r>
        <w:t xml:space="preserve">[ ] Guardrail node, independently unit-tested</w:t>
      </w:r>
    </w:p>
    <w:p>
      <w:pPr>
        <w:pStyle w:val="ListParagraph"/>
        <w:numPr>
          <w:ilvl w:val="0"/>
          <w:numId w:val="1"/>
        </w:numPr>
        <w:spacing w:after="80" w:line="290"/>
      </w:pPr>
      <w:r>
        <w:t xml:space="preserve">[ ] Human Approval interrupt/resume flow for transfer strategies</w:t>
      </w:r>
    </w:p>
    <w:p>
      <w:pPr>
        <w:pStyle w:val="ListParagraph"/>
        <w:numPr>
          <w:ilvl w:val="0"/>
          <w:numId w:val="1"/>
        </w:numPr>
        <w:spacing w:after="80" w:line="290"/>
      </w:pPr>
      <w:r>
        <w:t xml:space="preserve">[ ] Streamlit UI with confirm/cancel gating</w:t>
      </w:r>
    </w:p>
    <w:p>
      <w:pPr>
        <w:pStyle w:val="ListParagraph"/>
        <w:numPr>
          <w:ilvl w:val="0"/>
          <w:numId w:val="1"/>
        </w:numPr>
        <w:spacing w:after="80" w:line="290"/>
      </w:pPr>
      <w:r>
        <w:t xml:space="preserve">[ ] LangSmith/Phoenix tracing live</w:t>
      </w:r>
    </w:p>
    <w:p>
      <w:pPr>
        <w:pStyle w:val="ListParagraph"/>
        <w:numPr>
          <w:ilvl w:val="0"/>
          <w:numId w:val="1"/>
        </w:numPr>
        <w:spacing w:after="80" w:line="290"/>
      </w:pPr>
      <w:r>
        <w:t xml:space="preserve">[ ] Loop-prevention caps verified under test</w:t>
      </w:r>
    </w:p>
    <w:p>
      <w:pPr>
        <w:spacing w:after="160" w:line="300"/>
      </w:pPr>
      <w:r>
        <w:rPr>
          <w:b/>
          <w:bCs/>
        </w:rPr>
        <w:t xml:space="preserve">Must complete before calling it "submittable":</w:t>
      </w:r>
    </w:p>
    <w:p>
      <w:pPr>
        <w:pStyle w:val="ListParagraph"/>
        <w:numPr>
          <w:ilvl w:val="0"/>
          <w:numId w:val="1"/>
        </w:numPr>
        <w:spacing w:after="80" w:line="290"/>
      </w:pPr>
      <w:r>
        <w:t xml:space="preserve">[ ] Full evaluation harness run: 0% hallucination rate, 100% calculation accuracy on golden set</w:t>
      </w:r>
    </w:p>
    <w:p>
      <w:pPr>
        <w:pStyle w:val="ListParagraph"/>
        <w:numPr>
          <w:ilvl w:val="0"/>
          <w:numId w:val="1"/>
        </w:numPr>
        <w:spacing w:after="80" w:line="290"/>
      </w:pPr>
      <w:r>
        <w:t xml:space="preserve">[ ] README allowing a clean-clone run in under 30 minutes</w:t>
      </w:r>
    </w:p>
    <w:p>
      <w:pPr>
        <w:pStyle w:val="ListParagraph"/>
        <w:numPr>
          <w:ilvl w:val="0"/>
          <w:numId w:val="1"/>
        </w:numPr>
        <w:spacing w:after="80" w:line="290"/>
      </w:pPr>
      <w:r>
        <w:t xml:space="preserve">[ ] Architecture diagrams and demo video</w:t>
      </w:r>
    </w:p>
    <w:p>
      <w:pPr>
        <w:pStyle w:val="ListParagraph"/>
        <w:numPr>
          <w:ilvl w:val="0"/>
          <w:numId w:val="1"/>
        </w:numPr>
        <w:spacing w:after="80" w:line="290"/>
      </w:pPr>
      <w:r>
        <w:t xml:space="preserve">[ ] Rollback-capable deployment demonstrated at least once</w:t>
      </w:r>
    </w:p>
    <w:p>
      <w:pPr>
        <w:spacing w:after="160" w:line="300"/>
      </w:pPr>
      <w:r>
        <w:rPr>
          <w:b/>
          <w:bCs/>
        </w:rPr>
        <w:t xml:space="preserve">Explicitly deferred (do not start early):</w:t>
      </w:r>
      <w:r>
        <w:t xml:space="preserve"> everything in Section 23 marked "Nice to Have" or "Production," and anything in the architecture document's Future Scope (Section 23 of that document).</w:t>
      </w:r>
    </w:p>
    <w:p>
      <w:pPr>
        <w:spacing w:after="160" w:before="300"/>
      </w:pPr>
      <w:r>
        <w:rPr>
          <w:i/>
          <w:iCs/>
          <w:color w:val="595959"/>
        </w:rPr>
        <w:t xml:space="preserve">End of document. This guide is designed to be read alongside the companion Solution Architecture &amp; Product Documentation — this document answers "how do we build it, in what order, and why," while the companion answers "what are we building and what does it need to do."</w:t>
      </w:r>
    </w:p>
    <w:sectPr>
      <w:headerReference w:type="default" r:id="rId7"/>
      <w:headerReference w:type="first" r:id="rId8"/>
      <w:footerReference w:type="default" r:id="rId9"/>
      <w:footerReference w:type="first" r:id="rId10"/>
      <w:pgSz w:w="12240" w:h="15840" w:orient="portrait"/>
      <w:pgMar w:top="1080" w:right="1200" w:bottom="108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Intelligent Credit Card &amp; Rewards Agent — Implementation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4E79"/>
      <w:sz w:val="44"/>
      <w:szCs w:val="44"/>
    </w:rPr>
  </w:style>
  <w:style w:type="paragraph" w:styleId="Heading1">
    <w:name w:val="Heading 1"/>
    <w:basedOn w:val="Normal"/>
    <w:next w:val="Normal"/>
    <w:pPr>
      <w:pBdr>
        <w:bottom w:val="single" w:color="1F4E79" w:sz="6"/>
      </w:pBdr>
      <w:spacing w:after="180" w:before="360"/>
    </w:pPr>
    <w:rPr>
      <w:rFonts w:ascii="Calibri" w:cs="Calibri" w:eastAsia="Calibri" w:hAnsi="Calibri"/>
      <w:b/>
      <w:bCs/>
      <w:color w:val="1F4E79"/>
      <w:sz w:val="30"/>
      <w:szCs w:val="30"/>
    </w:rPr>
  </w:style>
  <w:style w:type="paragraph" w:styleId="Heading2">
    <w:name w:val="Heading 2"/>
    <w:basedOn w:val="Normal"/>
    <w:next w:val="Normal"/>
    <w:pPr>
      <w:spacing w:after="140" w:before="260"/>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bd7456fd8c36d1f6fea815c12bd1c06fc1e9745.png"/><Relationship Id="rId12" Type="http://schemas.openxmlformats.org/officeDocument/2006/relationships/image" Target="media/cefb08892c0579ba1cf9b348172701c7ceab46a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2026-07-01T09:39:20.819Z</dcterms:created>
  <dcterms:modified xsi:type="dcterms:W3CDTF">2026-07-01T09:39:20.830Z</dcterms:modified>
</cp:coreProperties>
</file>

<file path=docProps/custom.xml><?xml version="1.0" encoding="utf-8"?>
<Properties xmlns="http://schemas.openxmlformats.org/officeDocument/2006/custom-properties" xmlns:vt="http://schemas.openxmlformats.org/officeDocument/2006/docPropsVTypes"/>
</file>