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bidi w:val="0"/>
        <w:jc w:val="left"/>
        <w:rPr/>
      </w:pPr>
      <w:r>
        <w:rPr/>
        <w:t>Note on EP's:</w:t>
      </w:r>
    </w:p>
    <w:p>
      <w:pPr>
        <w:pStyle w:val="Normal1"/>
        <w:widowControl/>
        <w:bidi w:val="0"/>
        <w:jc w:val="left"/>
        <w:rPr/>
      </w:pPr>
      <w:r>
        <w:rPr/>
      </w:r>
    </w:p>
    <w:p>
      <w:pPr>
        <w:pStyle w:val="Normal1"/>
        <w:widowControl/>
        <w:bidi w:val="0"/>
        <w:jc w:val="left"/>
        <w:rPr/>
      </w:pPr>
      <w:r>
        <w:rPr/>
        <w:t>1. Mohhamad Aslam v. Ram Feran: (Stage: preliminary / pre-evidence)</w:t>
      </w:r>
    </w:p>
    <w:p>
      <w:pPr>
        <w:pStyle w:val="Normal1"/>
        <w:widowControl/>
        <w:bidi w:val="0"/>
        <w:jc w:val="left"/>
        <w:rPr/>
      </w:pPr>
      <w:r>
        <w:rPr/>
      </w:r>
    </w:p>
    <w:p>
      <w:pPr>
        <w:pStyle w:val="Normal1"/>
        <w:widowControl/>
        <w:bidi w:val="0"/>
        <w:jc w:val="left"/>
        <w:rPr/>
      </w:pPr>
      <w:r>
        <w:rPr/>
        <w:t>- RC is a convict in multiple cases (recorded in paras 11 &amp; 12).</w:t>
      </w:r>
    </w:p>
    <w:p>
      <w:pPr>
        <w:pStyle w:val="Normal1"/>
        <w:widowControl/>
        <w:bidi w:val="0"/>
        <w:jc w:val="left"/>
        <w:rPr/>
      </w:pPr>
      <w:r>
        <w:rPr/>
        <w:t xml:space="preserve">- Credible allegation of non-disclosure. RC has not specifically denied concealment (as pointed out by petitioner counsel in para 10), instead restricting grounds of challenge to technicalities of non-specific pleadings. </w:t>
      </w:r>
    </w:p>
    <w:p>
      <w:pPr>
        <w:pStyle w:val="Normal1"/>
        <w:widowControl/>
        <w:bidi w:val="0"/>
        <w:jc w:val="left"/>
        <w:rPr/>
      </w:pPr>
      <w:r>
        <w:rPr/>
        <w:t>- The HC has dismissed the petition on the preliminary issue of whether the High Court can dismiss the election petition, which does not comply with the provisions of Sections 81 or Section 82 or Section 117 of the Act in view of the provisions of Section 86 of the Act or the election petition can be dismissed if the compliance of Section 83 of the Act has not been done in its letter and spirit. That is, merits have not been considered and the petition dismissed on technicality, leaving the electorate none the wiser.</w:t>
      </w:r>
    </w:p>
    <w:p>
      <w:pPr>
        <w:pStyle w:val="Normal1"/>
        <w:widowControl/>
        <w:bidi w:val="0"/>
        <w:jc w:val="left"/>
        <w:rPr/>
      </w:pPr>
      <w:r>
        <w:rPr/>
      </w:r>
    </w:p>
    <w:p>
      <w:pPr>
        <w:pStyle w:val="Normal1"/>
        <w:widowControl/>
        <w:bidi w:val="0"/>
        <w:jc w:val="left"/>
        <w:rPr/>
      </w:pPr>
      <w:r>
        <w:rPr/>
        <w:t>2. Suresh Kumar Baitha v. Smmari Lal &amp; Anr.: (Stage: on merit / post-evidence)</w:t>
      </w:r>
    </w:p>
    <w:p>
      <w:pPr>
        <w:pStyle w:val="Normal1"/>
        <w:widowControl/>
        <w:bidi w:val="0"/>
        <w:jc w:val="left"/>
        <w:rPr/>
      </w:pPr>
      <w:r>
        <w:rPr/>
      </w:r>
    </w:p>
    <w:p>
      <w:pPr>
        <w:pStyle w:val="Normal1"/>
        <w:widowControl/>
        <w:bidi w:val="0"/>
        <w:jc w:val="left"/>
        <w:rPr/>
      </w:pPr>
      <w:r>
        <w:rPr/>
        <w:t>- Not interesting. Contested caste membership based on ancestral migration. Unconected with ADR-PUCL.</w:t>
      </w:r>
    </w:p>
    <w:p>
      <w:pPr>
        <w:pStyle w:val="Normal1"/>
        <w:widowControl/>
        <w:bidi w:val="0"/>
        <w:jc w:val="left"/>
        <w:rPr/>
      </w:pPr>
      <w:r>
        <w:rPr/>
      </w:r>
    </w:p>
    <w:p>
      <w:pPr>
        <w:pStyle w:val="Normal1"/>
        <w:widowControl/>
        <w:bidi w:val="0"/>
        <w:jc w:val="left"/>
        <w:rPr/>
      </w:pPr>
      <w:r>
        <w:rPr/>
        <w:t xml:space="preserve">3. Anil v. SRI. BABU M.PALISSERY:  (Stage: preliminary / pre-evidence) </w:t>
      </w:r>
    </w:p>
    <w:p>
      <w:pPr>
        <w:pStyle w:val="Normal1"/>
        <w:widowControl/>
        <w:bidi w:val="0"/>
        <w:jc w:val="left"/>
        <w:rPr/>
      </w:pPr>
      <w:r>
        <w:rPr/>
      </w:r>
    </w:p>
    <w:p>
      <w:pPr>
        <w:pStyle w:val="Normal1"/>
        <w:widowControl/>
        <w:bidi w:val="0"/>
        <w:jc w:val="left"/>
        <w:rPr/>
      </w:pPr>
      <w:r>
        <w:rPr/>
        <w:t xml:space="preserve">- Reveals that the RC was previously accused (and acquitted) in a politically motivated murder case involving some CPI(M) cadre / affiliate. Allegedly changed his identity to include himself in the electoral roll to conceal said involvement from the public. Also reveals that RC has at different points in time been a member of CPI(M) and Vidyarthi Parishad, a student organization of the Rashtriya Swayam Sevak Sangh. </w:t>
      </w:r>
    </w:p>
    <w:p>
      <w:pPr>
        <w:pStyle w:val="Normal1"/>
        <w:widowControl/>
        <w:bidi w:val="0"/>
        <w:jc w:val="left"/>
        <w:rPr/>
      </w:pPr>
      <w:r>
        <w:rPr/>
        <w:t xml:space="preserve">- Alleged involvement in political murder case has been sought to be concealed. Concealment was allegedly by way of obfuscating true identity through manipulation of the voter roll. Judgment is silent on whether true identity was denied by the RC in his pleadings. </w:t>
      </w:r>
    </w:p>
    <w:p>
      <w:pPr>
        <w:pStyle w:val="Normal1"/>
        <w:widowControl/>
        <w:bidi w:val="0"/>
        <w:jc w:val="left"/>
        <w:rPr/>
      </w:pPr>
      <w:r>
        <w:rPr/>
        <w:t>- EP petitioner is elector, civil society, though possibly a (non-contesting) member of CPI(M).</w:t>
      </w:r>
    </w:p>
    <w:p>
      <w:pPr>
        <w:pStyle w:val="Normal1"/>
        <w:widowControl/>
        <w:bidi w:val="0"/>
        <w:jc w:val="left"/>
        <w:rPr/>
      </w:pPr>
      <w:r>
        <w:rPr/>
        <w:t>- HC cited SC doctrine barring the adjudication of voter rolls in an EP to dismiss the case at a preliminary stage. Whereas it can be argued that voters have the right to know the true identity of a candidate even though there are doctrinal and procedural limitations.</w:t>
      </w:r>
    </w:p>
    <w:p>
      <w:pPr>
        <w:pStyle w:val="Normal1"/>
        <w:widowControl/>
        <w:bidi w:val="0"/>
        <w:jc w:val="left"/>
        <w:rPr/>
      </w:pPr>
      <w:r>
        <w:rPr/>
      </w:r>
    </w:p>
    <w:p>
      <w:pPr>
        <w:pStyle w:val="Normal1"/>
        <w:widowControl/>
        <w:bidi w:val="0"/>
        <w:jc w:val="left"/>
        <w:rPr/>
      </w:pPr>
      <w:r>
        <w:rPr/>
        <w:t xml:space="preserve">4. MANI C. KAPPAN v. K. M. Mani: (Stage: preliminary / pre-evidence) </w:t>
      </w:r>
    </w:p>
    <w:p>
      <w:pPr>
        <w:pStyle w:val="Normal1"/>
        <w:widowControl/>
        <w:bidi w:val="0"/>
        <w:jc w:val="left"/>
        <w:rPr/>
      </w:pPr>
      <w:r>
        <w:rPr/>
      </w:r>
    </w:p>
    <w:p>
      <w:pPr>
        <w:pStyle w:val="Normal1"/>
        <w:widowControl/>
        <w:bidi w:val="0"/>
        <w:jc w:val="left"/>
        <w:rPr/>
      </w:pPr>
      <w:r>
        <w:rPr/>
        <w:t xml:space="preserve">- The RC is alleged to have filed his nomination paper suppressing material facts and omitting to mention the dues he allegedly owes to the Tourism Department.  </w:t>
      </w:r>
    </w:p>
    <w:p>
      <w:pPr>
        <w:pStyle w:val="Normal1"/>
        <w:widowControl/>
        <w:bidi w:val="0"/>
        <w:jc w:val="left"/>
        <w:rPr/>
      </w:pPr>
      <w:r>
        <w:rPr/>
        <w:t>- The judgment does not record that the RC has denied this allegation of non-disclosure. Instead, the case proceeds on an interpretive approach on whether such disclosure is even required under law or not.</w:t>
      </w:r>
    </w:p>
    <w:p>
      <w:pPr>
        <w:pStyle w:val="Normal1"/>
        <w:widowControl/>
        <w:bidi w:val="0"/>
        <w:jc w:val="left"/>
        <w:rPr/>
      </w:pPr>
      <w:r>
        <w:rPr/>
        <w:t>- The HC arrives at two troubling conclusions, that omission to disclose liabilities is not a violation of the disclosure requirements, and that non-compliance with EC orders is no grounds to set aside an election.</w:t>
      </w:r>
    </w:p>
    <w:p>
      <w:pPr>
        <w:pStyle w:val="Normal1"/>
        <w:widowControl/>
        <w:bidi w:val="0"/>
        <w:jc w:val="left"/>
        <w:rPr/>
      </w:pPr>
      <w:r>
        <w:rPr/>
      </w:r>
    </w:p>
    <w:p>
      <w:pPr>
        <w:pStyle w:val="Normal1"/>
        <w:widowControl/>
        <w:bidi w:val="0"/>
        <w:jc w:val="left"/>
        <w:rPr/>
      </w:pPr>
      <w:r>
        <w:rPr/>
        <w:t xml:space="preserve">5. Bamshankar Chaudhary v. Bhudeo Chaudhary  &amp; Ors.: (Stage: on merit / post-evidence) </w:t>
      </w:r>
    </w:p>
    <w:p>
      <w:pPr>
        <w:pStyle w:val="Normal1"/>
        <w:widowControl/>
        <w:bidi w:val="0"/>
        <w:jc w:val="left"/>
        <w:rPr/>
      </w:pPr>
      <w:r>
        <w:rPr/>
      </w:r>
    </w:p>
    <w:p>
      <w:pPr>
        <w:pStyle w:val="Normal1"/>
        <w:widowControl/>
        <w:bidi w:val="0"/>
        <w:jc w:val="left"/>
        <w:rPr/>
      </w:pPr>
      <w:r>
        <w:rPr/>
      </w:r>
    </w:p>
    <w:p>
      <w:pPr>
        <w:pStyle w:val="Normal1"/>
        <w:widowControl/>
        <w:bidi w:val="0"/>
        <w:jc w:val="left"/>
        <w:rPr/>
      </w:pPr>
      <w:r>
        <w:rPr/>
        <w:t>- There are two pending undisclosed (&amp; six total ) cases alleging, inter alia, violation of model code of conduct and destruction of property.</w:t>
      </w:r>
    </w:p>
    <w:p>
      <w:pPr>
        <w:pStyle w:val="Normal1"/>
        <w:widowControl/>
        <w:bidi w:val="0"/>
        <w:jc w:val="left"/>
        <w:rPr/>
      </w:pPr>
      <w:r>
        <w:rPr/>
      </w:r>
    </w:p>
    <w:p>
      <w:pPr>
        <w:pStyle w:val="Normal1"/>
        <w:widowControl/>
        <w:bidi w:val="0"/>
        <w:jc w:val="left"/>
        <w:rPr/>
      </w:pPr>
      <w:r>
        <w:rPr/>
        <w:t>- Indications of interference can be inferred from the allegation that police had filed a closure report which was rejected in view of a protest petition. Further, there are allegations of previous electoral law violations by conducting meetings in violation of the Model Code of Conduct. The accused is a previously 3 (consecutive) term MLA &amp; MP, indicating available political capital and capacity to persist in expensive political ambitions. There is also indicidation of existing political nexus with other candidates, where the RC and another candidate were accused in a common FIR (which purportedly led to the wrong FIR being mentioned in the disclosure).</w:t>
      </w:r>
    </w:p>
    <w:p>
      <w:pPr>
        <w:pStyle w:val="Normal1"/>
        <w:widowControl/>
        <w:bidi w:val="0"/>
        <w:jc w:val="left"/>
        <w:rPr/>
      </w:pPr>
      <w:r>
        <w:rPr/>
      </w:r>
    </w:p>
    <w:p>
      <w:pPr>
        <w:pStyle w:val="Normal1"/>
        <w:widowControl/>
        <w:bidi w:val="0"/>
        <w:jc w:val="left"/>
        <w:rPr/>
      </w:pPr>
      <w:r>
        <w:rPr/>
        <w:t>- Admission that Form 26 for Legislative Ass. election did NOT disclose C.C. 468/2015; though it had been disclosed in the Parl. Election. (Para. 25)</w:t>
      </w:r>
    </w:p>
    <w:p>
      <w:pPr>
        <w:pStyle w:val="Normal1"/>
        <w:widowControl/>
        <w:bidi w:val="0"/>
        <w:jc w:val="left"/>
        <w:rPr/>
      </w:pPr>
      <w:r>
        <w:rPr/>
      </w:r>
    </w:p>
    <w:p>
      <w:pPr>
        <w:pStyle w:val="Normal1"/>
        <w:widowControl/>
        <w:bidi w:val="0"/>
        <w:jc w:val="left"/>
        <w:rPr/>
      </w:pPr>
      <w:r>
        <w:rPr/>
        <w:t>- Election Petitioner is an elector from the constituency. Hence, civil society.</w:t>
      </w:r>
    </w:p>
    <w:p>
      <w:pPr>
        <w:pStyle w:val="Normal1"/>
        <w:widowControl/>
        <w:bidi w:val="0"/>
        <w:jc w:val="left"/>
        <w:rPr/>
      </w:pPr>
      <w:r>
        <w:rPr/>
      </w:r>
    </w:p>
    <w:p>
      <w:pPr>
        <w:pStyle w:val="Normal1"/>
        <w:widowControl/>
        <w:bidi w:val="0"/>
        <w:jc w:val="left"/>
        <w:rPr/>
      </w:pPr>
      <w:r>
        <w:rPr/>
        <w:t xml:space="preserve">- This judgmenet notes that "The Hon’ble Apex Court in **Karikho Kri** **(supra)** placing reliance on Mangani Lal Mandal vs. Bishnu Deo Bhandari (2012) 3 SCC 314, had emphasised on the ‘two-layered’ test to set aside the election of the returned candidate having been declared as null and void. Bald and vague allegations without any basis would not be sufficient compliance of the requirement of stating material facts in the election petition, therefore on the first layer of the test, the petitioner is essentially required to aver by way of specific, adequate and unambiguous pleadings on material facts regarding non-compliance/non-observance of provisions of Constitution or the R.P. Act, 1951 or any rules or orders made thereunder. However, a mere non-compliance simpliciter would not ipso facto result in straightaway invalidating the election of the returned candidate. The second and more crucial layer of the test is for the petitioner to abundantly establish that such non-observance/non-compliance has materially affected the result of the election in each case". </w:t>
      </w:r>
    </w:p>
    <w:p>
      <w:pPr>
        <w:pStyle w:val="Normal1"/>
        <w:widowControl/>
        <w:bidi w:val="0"/>
        <w:jc w:val="left"/>
        <w:rPr/>
      </w:pPr>
      <w:r>
        <w:rPr/>
      </w:r>
    </w:p>
    <w:p>
      <w:pPr>
        <w:pStyle w:val="Normal1"/>
        <w:widowControl/>
        <w:bidi w:val="0"/>
        <w:jc w:val="left"/>
        <w:rPr/>
      </w:pPr>
      <w:r>
        <w:rPr/>
        <w:t xml:space="preserve">- Firstly, SC overturned Gau. HC judgment in Karikho Kri on grounds of 'material effect'. This is very hard to prove, particularly when the whole movement of the doctrine has been towards constitutionalising voter's right to information. However, the SC's own doctrine, followed in this judgment, renders this right nugatory because it imposes an unmeetable burden of proving that non-disclosure or inaccurate or false disclosure had a material effect on elections. </w:t>
      </w:r>
    </w:p>
    <w:p>
      <w:pPr>
        <w:pStyle w:val="Normal1"/>
        <w:widowControl/>
        <w:bidi w:val="0"/>
        <w:jc w:val="left"/>
        <w:rPr/>
      </w:pPr>
      <w:r>
        <w:rPr/>
      </w:r>
    </w:p>
    <w:p>
      <w:pPr>
        <w:pStyle w:val="Normal1"/>
        <w:widowControl/>
        <w:bidi w:val="0"/>
        <w:jc w:val="left"/>
        <w:rPr/>
      </w:pPr>
      <w:r>
        <w:rPr/>
        <w:t xml:space="preserve">6. Lal Das Rai vs. Sri Hulas Pandey: (Stage: on merit / post-evidence) </w:t>
      </w:r>
    </w:p>
    <w:p>
      <w:pPr>
        <w:pStyle w:val="Normal1"/>
        <w:widowControl/>
        <w:bidi w:val="0"/>
        <w:jc w:val="left"/>
        <w:rPr/>
      </w:pPr>
      <w:r>
        <w:rPr/>
      </w:r>
    </w:p>
    <w:p>
      <w:pPr>
        <w:pStyle w:val="Normal1"/>
        <w:widowControl/>
        <w:bidi w:val="0"/>
        <w:jc w:val="left"/>
        <w:rPr/>
      </w:pPr>
      <w:r>
        <w:rPr/>
        <w:t>- RC was an absconder accused of heinous offences (11 disclosed, 30 undisclosed-alleged) against whom NBW's have previously been issued by Courts.</w:t>
      </w:r>
    </w:p>
    <w:p>
      <w:pPr>
        <w:pStyle w:val="Normal1"/>
        <w:widowControl/>
        <w:bidi w:val="0"/>
        <w:jc w:val="left"/>
        <w:rPr/>
      </w:pPr>
      <w:r>
        <w:rPr/>
        <w:t xml:space="preserve">-  RC was not struck of the voter's roll (which would have rendered him unable to contest) despite various state notifications mandating absconders be struck off (see code: process tracing). </w:t>
      </w:r>
    </w:p>
    <w:p>
      <w:pPr>
        <w:pStyle w:val="Normal1"/>
        <w:widowControl/>
        <w:bidi w:val="0"/>
        <w:jc w:val="left"/>
        <w:rPr/>
      </w:pPr>
      <w:r>
        <w:rPr/>
        <w:t>- RC non-disclosure proved. (para 65)</w:t>
      </w:r>
    </w:p>
    <w:p>
      <w:pPr>
        <w:pStyle w:val="Normal1"/>
        <w:widowControl/>
        <w:bidi w:val="0"/>
        <w:jc w:val="left"/>
        <w:rPr/>
      </w:pPr>
      <w:r>
        <w:rPr/>
        <w:t>- Despite proof positive of undisclosed criminal antecedents, mere incomplete / inaccurate disclosure was held to be insufficient grounds for a disqualification.</w:t>
      </w:r>
    </w:p>
    <w:p>
      <w:pPr>
        <w:pStyle w:val="Normal1"/>
        <w:widowControl/>
        <w:bidi w:val="0"/>
        <w:jc w:val="left"/>
        <w:rPr/>
      </w:pPr>
      <w:r>
        <w:rPr/>
      </w:r>
    </w:p>
    <w:p>
      <w:pPr>
        <w:pStyle w:val="Normal1"/>
        <w:widowControl/>
        <w:bidi w:val="0"/>
        <w:jc w:val="left"/>
        <w:rPr/>
      </w:pPr>
      <w:r>
        <w:rPr/>
        <w:t xml:space="preserve">7. Ritesh Kumar Singh v. Abhay Singh: (Stage: preliminary / pre-evidence) </w:t>
      </w:r>
    </w:p>
    <w:p>
      <w:pPr>
        <w:pStyle w:val="Normal1"/>
        <w:widowControl/>
        <w:bidi w:val="0"/>
        <w:jc w:val="left"/>
        <w:rPr/>
      </w:pPr>
      <w:r>
        <w:rPr/>
      </w:r>
    </w:p>
    <w:p>
      <w:pPr>
        <w:pStyle w:val="Normal1"/>
        <w:widowControl/>
        <w:bidi w:val="0"/>
        <w:jc w:val="left"/>
        <w:rPr/>
      </w:pPr>
      <w:r>
        <w:rPr/>
        <w:t xml:space="preserve">- The affidavit of disclosures was allegedly invalid due to expiration of the license of the notary. The truthfulness of the contents were never under challenge, only the tecnicality of its affirmation was assailed. </w:t>
      </w:r>
    </w:p>
    <w:p>
      <w:pPr>
        <w:pStyle w:val="Normal1"/>
        <w:widowControl/>
        <w:bidi w:val="0"/>
        <w:jc w:val="left"/>
        <w:rPr/>
      </w:pPr>
      <w:r>
        <w:rPr/>
        <w:t>- Though the matter seemed straightforward, the HC reached a troubling conclusion with unconsidered wider implications - that the affidavit filed in Form-26 in terms of Section 33-A of the Act of 1951 read with Rule 4-A of the Rules of 1961 does not form part and parcel of the nomination paper. There was no need for this. It could simply have ruled that the defect is curable and not substantial, with voter's informational interest protected by penal provisions for false submissions u/S.125A RPA, which does not require an affirmation under oath as the sine qua non for the offence.</w:t>
      </w:r>
    </w:p>
    <w:p>
      <w:pPr>
        <w:pStyle w:val="Normal1"/>
        <w:widowControl/>
        <w:bidi w:val="0"/>
        <w:jc w:val="left"/>
        <w:rPr/>
      </w:pPr>
      <w:r>
        <w:rPr/>
      </w:r>
    </w:p>
    <w:p>
      <w:pPr>
        <w:pStyle w:val="Normal1"/>
        <w:widowControl/>
        <w:bidi w:val="0"/>
        <w:jc w:val="left"/>
        <w:rPr/>
      </w:pPr>
      <w:r>
        <w:rPr/>
        <w:t>8. Madiraju Venkata Ramana Raju vs. Peddireddigari Ramachandra Reddy and 7 others: (Stage: on merit / post-evidence)</w:t>
      </w:r>
    </w:p>
    <w:p>
      <w:pPr>
        <w:pStyle w:val="Normal1"/>
        <w:widowControl/>
        <w:bidi w:val="0"/>
        <w:jc w:val="left"/>
        <w:rPr/>
      </w:pPr>
      <w:r>
        <w:rPr/>
        <w:t xml:space="preserve"> </w:t>
      </w:r>
    </w:p>
    <w:p>
      <w:pPr>
        <w:pStyle w:val="Normal1"/>
        <w:widowControl/>
        <w:bidi w:val="0"/>
        <w:jc w:val="left"/>
        <w:rPr/>
      </w:pPr>
      <w:r>
        <w:rPr/>
        <w:t>- RC is a high net-worth individual and owner of multiple commercial properties. There are also disclosed criminal antecedents.</w:t>
      </w:r>
    </w:p>
    <w:p>
      <w:pPr>
        <w:pStyle w:val="Normal1"/>
        <w:widowControl/>
        <w:bidi w:val="0"/>
        <w:jc w:val="left"/>
        <w:rPr/>
      </w:pPr>
      <w:r>
        <w:rPr/>
        <w:t xml:space="preserve">- The main defect is that of failure to mention accurate floor area of commercial property and blanks against wife's income tax returns. However, these were held to be insignificant as his wife did not file tax returns. </w:t>
      </w:r>
    </w:p>
    <w:p>
      <w:pPr>
        <w:pStyle w:val="Normal1"/>
        <w:widowControl/>
        <w:bidi w:val="0"/>
        <w:jc w:val="left"/>
        <w:rPr/>
      </w:pPr>
      <w:r>
        <w:rPr/>
        <w:t xml:space="preserve"> </w:t>
      </w:r>
      <w:r>
        <w:rPr/>
        <w:t xml:space="preserve">- Reveals procedural issues with lack of clarity on what constitutes an incurable vs curable defect. </w:t>
      </w:r>
    </w:p>
    <w:p>
      <w:pPr>
        <w:pStyle w:val="Normal1"/>
        <w:widowControl/>
        <w:bidi w:val="0"/>
        <w:jc w:val="left"/>
        <w:rPr/>
      </w:pPr>
      <w:r>
        <w:rPr/>
      </w:r>
    </w:p>
    <w:p>
      <w:pPr>
        <w:pStyle w:val="Normal1"/>
        <w:widowControl/>
        <w:bidi w:val="0"/>
        <w:jc w:val="left"/>
        <w:rPr/>
      </w:pPr>
      <w:r>
        <w:rPr/>
      </w:r>
    </w:p>
    <w:p>
      <w:pPr>
        <w:pStyle w:val="Normal1"/>
        <w:widowControl/>
        <w:bidi w:val="0"/>
        <w:jc w:val="left"/>
        <w:rPr/>
      </w:pPr>
      <w:r>
        <w:rPr/>
        <w:t>Note on First Appeal in EP (against Lower Court):</w:t>
      </w:r>
    </w:p>
    <w:p>
      <w:pPr>
        <w:pStyle w:val="Normal1"/>
        <w:widowControl/>
        <w:bidi w:val="0"/>
        <w:jc w:val="left"/>
        <w:rPr/>
      </w:pPr>
      <w:r>
        <w:rPr/>
      </w:r>
    </w:p>
    <w:p>
      <w:pPr>
        <w:pStyle w:val="Normal1"/>
        <w:widowControl/>
        <w:bidi w:val="0"/>
        <w:jc w:val="left"/>
        <w:rPr/>
      </w:pPr>
      <w:r>
        <w:rPr/>
        <w:t xml:space="preserve">2 cases via common judgment - BAZIL D’SOUZA  v. ANIL KUMAR &amp;&amp; USMAN KALLASU v. DINAKAR ULLAL </w:t>
      </w:r>
    </w:p>
    <w:p>
      <w:pPr>
        <w:pStyle w:val="Normal1"/>
        <w:widowControl/>
        <w:bidi w:val="0"/>
        <w:jc w:val="left"/>
        <w:rPr/>
      </w:pPr>
      <w:r>
        <w:rPr/>
        <w:t>- Non-disclosure of criminal antecedents proved. However, returned candidates were acquitted prior to nomination.</w:t>
      </w:r>
    </w:p>
    <w:p>
      <w:pPr>
        <w:pStyle w:val="Normal1"/>
        <w:widowControl/>
        <w:bidi w:val="0"/>
        <w:jc w:val="left"/>
        <w:rPr/>
      </w:pPr>
      <w:r>
        <w:rPr/>
        <w:t>- Though criminal antecedents were concealed, moderate interference score as returned candidates were acquitted prior to nomination.</w:t>
      </w:r>
    </w:p>
    <w:p>
      <w:pPr>
        <w:pStyle w:val="Normal1"/>
        <w:widowControl/>
        <w:bidi w:val="0"/>
        <w:jc w:val="left"/>
        <w:rPr/>
      </w:pPr>
      <w:r>
        <w:rPr/>
        <w:t xml:space="preserve">- The RO had initially rejected the nomination papers of the RC's, but then modified his initial order and accepted them. This suggest low procedural clarity in terms of Standard Operating Procedures. </w:t>
      </w:r>
    </w:p>
    <w:p>
      <w:pPr>
        <w:pStyle w:val="Normal1"/>
        <w:widowControl/>
        <w:bidi w:val="0"/>
        <w:jc w:val="left"/>
        <w:rPr/>
      </w:pPr>
      <w:r>
        <w:rPr/>
        <w:t>- HC upheld lower court orders setting aside the election results. But set aside that part of the lower court's orders granting declaration to EP petitioners as winners. Relied on this body of authority for this.</w:t>
      </w:r>
    </w:p>
    <w:p>
      <w:pPr>
        <w:pStyle w:val="Normal1"/>
        <w:widowControl/>
        <w:bidi w:val="0"/>
        <w:jc w:val="left"/>
        <w:rPr/>
      </w:pPr>
      <w:r>
        <w:rPr/>
      </w:r>
    </w:p>
    <w:p>
      <w:pPr>
        <w:pStyle w:val="Normal1"/>
        <w:widowControl/>
        <w:bidi w:val="0"/>
        <w:jc w:val="left"/>
        <w:rPr/>
      </w:pPr>
      <w:r>
        <w:rPr/>
      </w:r>
    </w:p>
    <w:p>
      <w:pPr>
        <w:pStyle w:val="Normal1"/>
        <w:widowControl/>
        <w:bidi w:val="0"/>
        <w:jc w:val="left"/>
        <w:rPr/>
      </w:pPr>
      <w:r>
        <w:rPr/>
        <w:t>Writ appeal against Election Tribunal:</w:t>
      </w:r>
    </w:p>
    <w:p>
      <w:pPr>
        <w:pStyle w:val="Normal1"/>
        <w:widowControl/>
        <w:bidi w:val="0"/>
        <w:jc w:val="left"/>
        <w:rPr/>
      </w:pPr>
      <w:r>
        <w:rPr/>
      </w:r>
    </w:p>
    <w:p>
      <w:pPr>
        <w:pStyle w:val="Normal1"/>
        <w:widowControl/>
        <w:bidi w:val="0"/>
        <w:jc w:val="left"/>
        <w:rPr/>
      </w:pPr>
      <w:r>
        <w:rPr/>
        <w:t>Manju Devi v. State Election Commission</w:t>
      </w:r>
    </w:p>
    <w:p>
      <w:pPr>
        <w:pStyle w:val="Normal1"/>
        <w:widowControl/>
        <w:bidi w:val="0"/>
        <w:jc w:val="left"/>
        <w:rPr/>
      </w:pPr>
      <w:r>
        <w:rPr/>
      </w:r>
    </w:p>
    <w:p>
      <w:pPr>
        <w:pStyle w:val="Normal1"/>
        <w:widowControl/>
        <w:bidi w:val="0"/>
        <w:jc w:val="left"/>
        <w:rPr/>
      </w:pPr>
      <w:r>
        <w:rPr/>
        <w:t>- RC skipped the column in her nomination paper related to  details of movable property, cash in hand, bank balance of husband and spouses, shares, bonds, fixed deposits, vehicles and ornaments, loans from banks and financial institution, educational qualification etc.</w:t>
      </w:r>
    </w:p>
    <w:p>
      <w:pPr>
        <w:pStyle w:val="Normal1"/>
        <w:widowControl/>
        <w:bidi w:val="0"/>
        <w:jc w:val="left"/>
        <w:rPr/>
      </w:pPr>
      <w:r>
        <w:rPr/>
        <w:t xml:space="preserve">- The State Act provides a procedurally coherent approach to penalising non-disclosure and effective remedy by granting declaration to the runner up. </w:t>
      </w:r>
    </w:p>
    <w:p>
      <w:pPr>
        <w:pStyle w:val="Normal1"/>
        <w:widowControl/>
        <w:bidi w:val="0"/>
        <w:jc w:val="left"/>
        <w:rPr/>
      </w:pPr>
      <w:r>
        <w:rPr/>
        <w:t>- The Election Tribunal set aside the RC's election. The HC upheld the ET's decision. In so doing, it refered to this body of authority (relied upon by the Petitioner-RC) but held these authorities to be inapplicable on the ground of the petitioner-RC's poor conduct in prosecuting the appeal. (para 64).</w:t>
      </w:r>
    </w:p>
    <w:p>
      <w:pPr>
        <w:pStyle w:val="Normal1"/>
        <w:widowControl/>
        <w:bidi w:val="0"/>
        <w:jc w:val="left"/>
        <w:rPr/>
      </w:pPr>
      <w:r>
        <w:rPr/>
      </w:r>
    </w:p>
    <w:p>
      <w:pPr>
        <w:pStyle w:val="Normal1"/>
        <w:widowControl/>
        <w:bidi w:val="0"/>
        <w:jc w:val="left"/>
        <w:rPr/>
      </w:pPr>
      <w:r>
        <w:rPr/>
        <w:t xml:space="preserve">Civil Revision from District Court: </w:t>
      </w:r>
    </w:p>
    <w:p>
      <w:pPr>
        <w:pStyle w:val="Normal1"/>
        <w:widowControl/>
        <w:bidi w:val="0"/>
        <w:jc w:val="left"/>
        <w:rPr/>
      </w:pPr>
      <w:r>
        <w:rPr/>
      </w:r>
    </w:p>
    <w:p>
      <w:pPr>
        <w:pStyle w:val="Normal1"/>
        <w:widowControl/>
        <w:bidi w:val="0"/>
        <w:jc w:val="left"/>
        <w:rPr/>
      </w:pPr>
      <w:r>
        <w:rPr/>
        <w:t>1. Abdul Rahman v. Nutan Rajwade</w:t>
      </w:r>
    </w:p>
    <w:p>
      <w:pPr>
        <w:pStyle w:val="Normal1"/>
        <w:widowControl/>
        <w:bidi w:val="0"/>
        <w:jc w:val="left"/>
        <w:rPr/>
      </w:pPr>
      <w:r>
        <w:rPr/>
      </w:r>
    </w:p>
    <w:p>
      <w:pPr>
        <w:pStyle w:val="Normal1"/>
        <w:widowControl/>
        <w:bidi w:val="0"/>
        <w:jc w:val="left"/>
        <w:rPr/>
      </w:pPr>
      <w:r>
        <w:rPr/>
        <w:t>- RC charged with rioting (147 IPC) and attempt to murder (307 IPC)</w:t>
      </w:r>
    </w:p>
    <w:p>
      <w:pPr>
        <w:pStyle w:val="Normal1"/>
        <w:widowControl/>
        <w:bidi w:val="0"/>
        <w:jc w:val="left"/>
        <w:rPr/>
      </w:pPr>
      <w:r>
        <w:rPr/>
        <w:t xml:space="preserve">- non-disclosure of criminal antecedents was held by the District Court  (para 28). DC set aside the election result. These findings were not disturbed by HC. </w:t>
      </w:r>
    </w:p>
    <w:p>
      <w:pPr>
        <w:pStyle w:val="Normal1"/>
        <w:widowControl/>
        <w:bidi w:val="0"/>
        <w:jc w:val="left"/>
        <w:rPr/>
      </w:pPr>
      <w:r>
        <w:rPr/>
        <w:t>- HC held that absence of a 33-A RPA pari materia provision in State Election Act means District Court order had to be set aside. (para 43)</w:t>
      </w:r>
    </w:p>
    <w:p>
      <w:pPr>
        <w:pStyle w:val="Normal1"/>
        <w:widowControl/>
        <w:bidi w:val="0"/>
        <w:jc w:val="left"/>
        <w:rPr/>
      </w:pPr>
      <w:r>
        <w:rPr/>
        <w:t>- Doctrinal - inconsistent with the breadth of the ratio in Resurgence India. Compounded by the fact that the SC has dismissed SLP against this HC judgment, which appears contra to Krishnamoorthy.</w:t>
      </w:r>
    </w:p>
    <w:p>
      <w:pPr>
        <w:pStyle w:val="Normal1"/>
        <w:widowControl/>
        <w:bidi w:val="0"/>
        <w:jc w:val="left"/>
        <w:rPr/>
      </w:pPr>
      <w:r>
        <w:rPr/>
        <w:t>- However, this particular body of authority was relied upon to set aside the declarative relief granted by the District Court to the Election Petitioner-opposing candidate declaring him as the winner. The DC's judgment on the non-disclosure aspect, on the other hand, has been set aside by placing reliance on the 'material effect' doctrine in Mairembam Prithaviraj case; HC held that material effect of non-disclosure of criminal antecedents was not pleaded or proved.</w:t>
      </w:r>
    </w:p>
    <w:p>
      <w:pPr>
        <w:pStyle w:val="Normal1"/>
        <w:widowControl/>
        <w:bidi w:val="0"/>
        <w:jc w:val="left"/>
        <w:rPr/>
      </w:pPr>
      <w:r>
        <w:rPr/>
      </w:r>
    </w:p>
    <w:p>
      <w:pPr>
        <w:pStyle w:val="Normal1"/>
        <w:widowControl/>
        <w:bidi w:val="0"/>
        <w:jc w:val="left"/>
        <w:rPr/>
      </w:pPr>
      <w:r>
        <w:rPr/>
        <w:t>2.  Isup Khan v. Narsingh Dewangan &amp; Ors.</w:t>
      </w:r>
    </w:p>
    <w:p>
      <w:pPr>
        <w:pStyle w:val="Normal1"/>
        <w:widowControl/>
        <w:bidi w:val="0"/>
        <w:jc w:val="left"/>
        <w:rPr/>
      </w:pPr>
      <w:r>
        <w:rPr/>
      </w:r>
    </w:p>
    <w:p>
      <w:pPr>
        <w:pStyle w:val="Normal1"/>
        <w:widowControl/>
        <w:bidi w:val="0"/>
        <w:jc w:val="left"/>
        <w:rPr/>
      </w:pPr>
      <w:r>
        <w:rPr/>
        <w:t>- non-disclosure of criminal antecedents was held by the District Court  (para 32--34). DC set aside the election result. These findings were not disturbed by HC; only pleadings were held to be insufficient.</w:t>
      </w:r>
    </w:p>
    <w:p>
      <w:pPr>
        <w:pStyle w:val="Normal1"/>
        <w:widowControl/>
        <w:bidi w:val="0"/>
        <w:jc w:val="left"/>
        <w:rPr/>
      </w:pPr>
      <w:r>
        <w:rPr/>
        <w:t xml:space="preserve">- alleged General category candidate contested in a reserved constituency for OBC. No considered at all in the judgment. </w:t>
      </w:r>
    </w:p>
    <w:p>
      <w:pPr>
        <w:pStyle w:val="Normal1"/>
        <w:widowControl/>
        <w:bidi w:val="0"/>
        <w:jc w:val="left"/>
        <w:rPr/>
      </w:pPr>
      <w:r>
        <w:rPr/>
        <w:t>- the offences pertain to causing hurt to and deterring a public servant from discharging their duty.</w:t>
      </w:r>
    </w:p>
    <w:p>
      <w:pPr>
        <w:pStyle w:val="Normal1"/>
        <w:widowControl/>
        <w:bidi w:val="0"/>
        <w:jc w:val="left"/>
        <w:rPr/>
      </w:pPr>
      <w:r>
        <w:rPr/>
        <w:t>- Doctrinal - inconsistent with the breadth of the ratio in Resurgence India. Compounded by the fact that the HC has relied on the fact that the SC has dismissed SLP against this HC's judgment in Abdul Rahman v. Nutan Rajwade, which appears contra to Krishnamoorthy.</w:t>
      </w:r>
    </w:p>
    <w:p>
      <w:pPr>
        <w:pStyle w:val="Normal1"/>
        <w:widowControl/>
        <w:bidi w:val="0"/>
        <w:jc w:val="left"/>
        <w:rPr/>
      </w:pPr>
      <w:r>
        <w:rPr/>
        <w:t xml:space="preserve">- However, this particular body of authority was relied upon to set aside the declarative relief granted by the District Court to the Election Petitioner-opposing candidate declaring him as the winner. The DC's judgment on the non-disclosure aspect, on the other hand, has been set aside by placing reliance on the 'material effect' doctrine in Mairembam Prithaviraj case. HC held that material effect of non-disclosure of criminal antecedents was not pleaded or proved.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imSun" w:cs="Lucida Sans"/>
        <w:kern w:val="2"/>
        <w:sz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SimSun" w:cs="Lucida Sans"/>
      <w:color w:val="auto"/>
      <w:kern w:val="2"/>
      <w:sz w:val="24"/>
      <w:szCs w:val="20"/>
      <w:lang w:val="en" w:eastAsia="zh-CN" w:bidi="hi-IN"/>
    </w:rPr>
  </w:style>
  <w:style w:type="paragraph" w:styleId="Heading1">
    <w:name w:val="Heading 1"/>
    <w:basedOn w:val="Normal1"/>
    <w:qFormat/>
    <w:pPr/>
    <w:rPr>
      <w:rFonts w:ascii="Arial" w:hAnsi="Arial" w:eastAsia="Arial"/>
      <w:b/>
      <w:sz w:val="32"/>
    </w:rPr>
  </w:style>
  <w:style w:type="paragraph" w:styleId="Heading2">
    <w:name w:val="Heading 2"/>
    <w:basedOn w:val="Normal1"/>
    <w:qFormat/>
    <w:pPr/>
    <w:rPr>
      <w:rFonts w:ascii="Arial" w:hAnsi="Arial" w:eastAsia="Arial"/>
      <w:b/>
      <w:i/>
      <w:sz w:val="28"/>
    </w:rPr>
  </w:style>
  <w:style w:type="paragraph" w:styleId="Heading3">
    <w:name w:val="Heading 3"/>
    <w:basedOn w:val="Normal1"/>
    <w:qFormat/>
    <w:pPr/>
    <w:rPr>
      <w:rFonts w:ascii="Arial" w:hAnsi="Arial" w:eastAsia="Arial"/>
      <w:b/>
      <w:sz w:val="26"/>
    </w:rPr>
  </w:style>
  <w:style w:type="paragraph" w:styleId="Heading4">
    <w:name w:val="Heading 4"/>
    <w:basedOn w:val="Normal1"/>
    <w:qFormat/>
    <w:pPr/>
    <w:rPr>
      <w:b/>
      <w:sz w:val="28"/>
    </w:rPr>
  </w:style>
  <w:style w:type="paragraph" w:styleId="Heading5">
    <w:name w:val="Heading 5"/>
    <w:basedOn w:val="Normal1"/>
    <w:qFormat/>
    <w:pPr/>
    <w:rPr>
      <w:b/>
      <w:i/>
      <w:sz w:val="26"/>
    </w:rPr>
  </w:style>
  <w:style w:type="paragraph" w:styleId="Heading6">
    <w:name w:val="Heading 6"/>
    <w:basedOn w:val="Normal1"/>
    <w:qFormat/>
    <w:pPr/>
    <w:rPr>
      <w:b/>
      <w:sz w:val="22"/>
    </w:rPr>
  </w:style>
  <w:style w:type="paragraph" w:styleId="Heading7">
    <w:name w:val="Heading 7"/>
    <w:basedOn w:val="Normal1"/>
    <w:qFormat/>
    <w:pPr/>
    <w:rPr>
      <w:sz w:val="24"/>
    </w:rPr>
  </w:style>
  <w:style w:type="paragraph" w:styleId="Heading8">
    <w:name w:val="Heading 8"/>
    <w:basedOn w:val="Normal1"/>
    <w:qFormat/>
    <w:pPr/>
    <w:rPr>
      <w:i/>
      <w:sz w:val="24"/>
    </w:rPr>
  </w:style>
  <w:style w:type="paragraph" w:styleId="Heading9">
    <w:name w:val="Heading 9"/>
    <w:basedOn w:val="Normal1"/>
    <w:qFormat/>
    <w:pPr/>
    <w:rPr>
      <w:rFonts w:ascii="Arial" w:hAnsi="Arial" w:eastAsia="Arial"/>
      <w:sz w:val="22"/>
    </w:rPr>
  </w:style>
  <w:style w:type="paragraph" w:styleId="Normal1">
    <w:name w:val="Normal1"/>
    <w:qFormat/>
    <w:pPr>
      <w:widowControl/>
      <w:tabs>
        <w:tab w:val="clear" w:pos="709"/>
      </w:tabs>
      <w:kinsoku w:val="true"/>
      <w:overflowPunct w:val="true"/>
      <w:autoSpaceDE w:val="true"/>
      <w:bidi w:val="0"/>
    </w:pPr>
    <w:rPr>
      <w:rFonts w:ascii="Times New Roman" w:hAnsi="Times New Roman" w:eastAsia="Times New Roman" w:cs="Lucida Sans"/>
      <w:color w:val="000000"/>
      <w:kern w:val="2"/>
      <w:sz w:val="24"/>
      <w:szCs w:val="20"/>
      <w:lang w:val="en"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PlainText">
    <w:name w:val="Plain Text"/>
    <w:basedOn w:val="Normal1"/>
    <w:qFormat/>
    <w:pPr/>
    <w:rPr>
      <w:rFonts w:ascii="Courier New" w:hAnsi="Courier New" w:eastAsia="Courier New"/>
      <w:sz w:val="20"/>
    </w:rPr>
  </w:style>
  <w:style w:type="paragraph" w:styleId="Title">
    <w:name w:val="Title"/>
    <w:basedOn w:val="Normal1"/>
    <w:qFormat/>
    <w:pPr>
      <w:jc w:val="left"/>
    </w:pPr>
    <w:rPr>
      <w:rFonts w:ascii="Arial" w:hAnsi="Arial" w:eastAsia="Arial"/>
      <w:b/>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LibreOffice/7.6.5.2$MacOSX_X86_64 LibreOffice_project/38d5f62f85355c192ef5f1dd47c5c0c0c6d6598b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Local Editor</cp:lastModifiedBy>
  <dcterms:modified xsi:type="dcterms:W3CDTF">2026-06-10T10:00:40Z</dcterms:modified>
  <cp:revision>4</cp:revision>
  <dc:subject/>
  <dc:title/>
</cp:coreProperties>
</file>