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bidi w:val="0"/>
        <w:jc w:val="left"/>
        <w:rPr/>
      </w:pPr>
      <w:r>
        <w:rPr/>
        <w:t>Observation: Many of the same cases as in Authorities on Election Law Exceptionalism, Pleadings-Maintainability and Substantial Compliance. This two body tends to be relied on together in cases, or specific claims within cases, after the facts and pleadings have been filtered through the previous two doctrines. Getting to this stage of substantive evaluation may increase the chances of securing an electoral outcome through the adjudicative process. Yet, the application of this doctrine can alter the eventual outcome of a case. Outcome appears dependent on which branch of the material effect doctrine the court adopts. If Mairembam Prithaviraj branch; then electoral result may be set aside. If Mangani Lal branch; then electoral result preserved. Santosh Kumar Singh indicates that if the Mairembam branch is adopted, disclosure obligations may be purposively interpreted by HC to even overcome pleading defects. This ought to be the favoured interpretation.</w:t>
      </w:r>
    </w:p>
    <w:p>
      <w:pPr>
        <w:pStyle w:val="Normal1"/>
        <w:widowControl/>
        <w:bidi w:val="0"/>
        <w:jc w:val="left"/>
        <w:rPr/>
      </w:pPr>
      <w:r>
        <w:rPr/>
      </w:r>
    </w:p>
    <w:p>
      <w:pPr>
        <w:pStyle w:val="Normal1"/>
        <w:widowControl/>
        <w:bidi w:val="0"/>
        <w:jc w:val="left"/>
        <w:rPr/>
      </w:pPr>
      <w:r>
        <w:rPr/>
      </w:r>
    </w:p>
    <w:p>
      <w:pPr>
        <w:pStyle w:val="Normal1"/>
        <w:widowControl/>
        <w:bidi w:val="0"/>
        <w:jc w:val="left"/>
        <w:rPr/>
      </w:pPr>
      <w:r>
        <w:rPr/>
        <w:t>EP: 2 Dismissed; 2 Allowed</w:t>
      </w:r>
    </w:p>
    <w:p>
      <w:pPr>
        <w:pStyle w:val="Normal1"/>
        <w:widowControl/>
        <w:bidi w:val="0"/>
        <w:jc w:val="left"/>
        <w:rPr/>
      </w:pPr>
      <w:r>
        <w:rPr/>
      </w:r>
    </w:p>
    <w:p>
      <w:pPr>
        <w:pStyle w:val="Normal1"/>
        <w:widowControl/>
        <w:bidi w:val="0"/>
        <w:jc w:val="left"/>
        <w:rPr/>
      </w:pPr>
      <w:r>
        <w:rPr/>
        <w:t>1. Nuney Tayang v. Karikho Kri &amp; anr. (Note: this judgment was set aside by the SC on appeal): (Stage: on merit / post-evidence)</w:t>
      </w:r>
    </w:p>
    <w:p>
      <w:pPr>
        <w:pStyle w:val="Normal1"/>
        <w:widowControl/>
        <w:bidi w:val="0"/>
        <w:jc w:val="left"/>
        <w:rPr/>
      </w:pPr>
      <w:r>
        <w:rPr/>
      </w:r>
    </w:p>
    <w:p>
      <w:pPr>
        <w:pStyle w:val="Normal1"/>
        <w:widowControl/>
        <w:bidi w:val="0"/>
        <w:jc w:val="left"/>
        <w:rPr/>
      </w:pPr>
      <w:r>
        <w:rPr/>
        <w:t>- Movable assets have been shown to be transferred by RC in 2014 with the aid of official transfer docs that are dated post election, with the aid of local govt. officials.</w:t>
      </w:r>
    </w:p>
    <w:p>
      <w:pPr>
        <w:pStyle w:val="Normal1"/>
        <w:widowControl/>
        <w:bidi w:val="0"/>
        <w:jc w:val="left"/>
        <w:rPr/>
      </w:pPr>
      <w:r>
        <w:rPr/>
        <w:t xml:space="preserve">- Concealment of movable assets is proved. </w:t>
      </w:r>
    </w:p>
    <w:p>
      <w:pPr>
        <w:pStyle w:val="Normal1"/>
        <w:widowControl/>
        <w:bidi w:val="0"/>
        <w:jc w:val="left"/>
        <w:rPr/>
      </w:pPr>
      <w:r>
        <w:rPr/>
        <w:t>- HC held that non-disclosure of vehicle in the name of the candidate’s wife in Form 26 of the Conduct of Election Rules, 1961, is a defect of substantial nature. It may be presumed that a false declaration impacts the election, relying on this body of authority.</w:t>
      </w:r>
    </w:p>
    <w:p>
      <w:pPr>
        <w:pStyle w:val="Normal1"/>
        <w:widowControl/>
        <w:bidi w:val="0"/>
        <w:jc w:val="left"/>
        <w:rPr/>
      </w:pPr>
      <w:r>
        <w:rPr/>
      </w:r>
    </w:p>
    <w:p>
      <w:pPr>
        <w:pStyle w:val="Normal1"/>
        <w:widowControl/>
        <w:bidi w:val="0"/>
        <w:jc w:val="left"/>
        <w:rPr/>
      </w:pPr>
      <w:r>
        <w:rPr/>
        <w:t>2.  Mopuragundu Thippeswamy v. K. Eranna: (Stage: on merit / post-evidence)</w:t>
      </w:r>
    </w:p>
    <w:p>
      <w:pPr>
        <w:pStyle w:val="Normal1"/>
        <w:widowControl/>
        <w:bidi w:val="0"/>
        <w:jc w:val="left"/>
        <w:rPr/>
      </w:pPr>
      <w:r>
        <w:rPr/>
        <w:t xml:space="preserve"> </w:t>
      </w:r>
    </w:p>
    <w:p>
      <w:pPr>
        <w:pStyle w:val="Normal1"/>
        <w:widowControl/>
        <w:bidi w:val="0"/>
        <w:jc w:val="left"/>
        <w:rPr/>
      </w:pPr>
      <w:r>
        <w:rPr/>
        <w:t>- Criminal faction, from the multiple pending cases / trials against RC.</w:t>
      </w:r>
    </w:p>
    <w:p>
      <w:pPr>
        <w:pStyle w:val="Normal1"/>
        <w:widowControl/>
        <w:bidi w:val="0"/>
        <w:jc w:val="left"/>
        <w:rPr/>
      </w:pPr>
      <w:r>
        <w:rPr/>
        <w:t>- Criminal antecedents and spousal occupation held to be concealed. Hence, high Score: 3.</w:t>
      </w:r>
    </w:p>
    <w:p>
      <w:pPr>
        <w:pStyle w:val="Normal1"/>
        <w:widowControl/>
        <w:bidi w:val="0"/>
        <w:jc w:val="left"/>
        <w:rPr/>
      </w:pPr>
      <w:r>
        <w:rPr/>
        <w:t>- Non-disclosure resulted in disqualification, runner-up declared RC. Relying on this body of authority, HC held that if the Election Petitioner establishes the corrupt practice resorted to by the returned candidate or failure on the part of the returned candidate to furnish the information as contemplated under Section 33-A of the R.P. Act, the question whether the result of the returned candidate was materially affected or not is not a relevant factor to set aside the election of the returned candidate.</w:t>
      </w:r>
    </w:p>
    <w:p>
      <w:pPr>
        <w:pStyle w:val="Normal1"/>
        <w:widowControl/>
        <w:bidi w:val="0"/>
        <w:jc w:val="left"/>
        <w:rPr/>
      </w:pPr>
      <w:r>
        <w:rPr/>
      </w:r>
    </w:p>
    <w:p>
      <w:pPr>
        <w:pStyle w:val="Normal1"/>
        <w:widowControl/>
        <w:bidi w:val="0"/>
        <w:jc w:val="left"/>
        <w:rPr/>
      </w:pPr>
      <w:r>
        <w:rPr/>
        <w:t xml:space="preserve">3. Bamshankar Chaudhary v. Bhudeo Chaudhary  &amp; Ors.: (Stage: on merit / post-evidence) </w:t>
      </w:r>
    </w:p>
    <w:p>
      <w:pPr>
        <w:pStyle w:val="Normal1"/>
        <w:widowControl/>
        <w:bidi w:val="0"/>
        <w:jc w:val="left"/>
        <w:rPr/>
      </w:pPr>
      <w:r>
        <w:rPr/>
      </w:r>
    </w:p>
    <w:p>
      <w:pPr>
        <w:pStyle w:val="Normal1"/>
        <w:widowControl/>
        <w:bidi w:val="0"/>
        <w:jc w:val="left"/>
        <w:rPr/>
      </w:pPr>
      <w:r>
        <w:rPr/>
      </w:r>
    </w:p>
    <w:p>
      <w:pPr>
        <w:pStyle w:val="Normal1"/>
        <w:widowControl/>
        <w:bidi w:val="0"/>
        <w:jc w:val="left"/>
        <w:rPr/>
      </w:pPr>
      <w:r>
        <w:rPr/>
        <w:t>- There are two pending undisclosed (&amp; six total ) cases alleging, inter alia, violation of model code of conduct and destruction of property.</w:t>
      </w:r>
    </w:p>
    <w:p>
      <w:pPr>
        <w:pStyle w:val="Normal1"/>
        <w:widowControl/>
        <w:bidi w:val="0"/>
        <w:jc w:val="left"/>
        <w:rPr/>
      </w:pPr>
      <w:r>
        <w:rPr/>
      </w:r>
    </w:p>
    <w:p>
      <w:pPr>
        <w:pStyle w:val="Normal1"/>
        <w:widowControl/>
        <w:bidi w:val="0"/>
        <w:jc w:val="left"/>
        <w:rPr/>
      </w:pPr>
      <w:r>
        <w:rPr/>
        <w:t>- Indications of interference can be inferred from the allegation that police had filed a closure report which was rejected in view of a protest petition. Further, there are allegations of previous electoral law violations by conducting meetings in violation of the Model Code of Conduct. The accused is a previously 3 (consecutive) term MLA &amp; MP, indicating available political capital and capacity to persist in expensive political ambitions. There is also indicidation of existing political nexus with other candidates, where the RC and another candidate were accused in a common FIR (which purportedly led to the wrong FIR being mentioned in the disclosure).</w:t>
      </w:r>
    </w:p>
    <w:p>
      <w:pPr>
        <w:pStyle w:val="Normal1"/>
        <w:widowControl/>
        <w:bidi w:val="0"/>
        <w:jc w:val="left"/>
        <w:rPr/>
      </w:pPr>
      <w:r>
        <w:rPr/>
      </w:r>
    </w:p>
    <w:p>
      <w:pPr>
        <w:pStyle w:val="Normal1"/>
        <w:widowControl/>
        <w:bidi w:val="0"/>
        <w:jc w:val="left"/>
        <w:rPr/>
      </w:pPr>
      <w:r>
        <w:rPr/>
        <w:t>- Admission that Form 26 for Legislative Ass. election did NOT disclose C.C. 468/2015; though it had been disclosed in the Parl. Election. (Para. 25)</w:t>
      </w:r>
    </w:p>
    <w:p>
      <w:pPr>
        <w:pStyle w:val="Normal1"/>
        <w:widowControl/>
        <w:bidi w:val="0"/>
        <w:jc w:val="left"/>
        <w:rPr/>
      </w:pPr>
      <w:r>
        <w:rPr/>
      </w:r>
    </w:p>
    <w:p>
      <w:pPr>
        <w:pStyle w:val="Normal1"/>
        <w:widowControl/>
        <w:bidi w:val="0"/>
        <w:jc w:val="left"/>
        <w:rPr/>
      </w:pPr>
      <w:r>
        <w:rPr/>
        <w:t>- Election Petitioner is an elector from the constituency. Hence, civil society.</w:t>
      </w:r>
    </w:p>
    <w:p>
      <w:pPr>
        <w:pStyle w:val="Normal1"/>
        <w:widowControl/>
        <w:bidi w:val="0"/>
        <w:jc w:val="left"/>
        <w:rPr/>
      </w:pPr>
      <w:r>
        <w:rPr/>
      </w:r>
    </w:p>
    <w:p>
      <w:pPr>
        <w:pStyle w:val="Normal1"/>
        <w:widowControl/>
        <w:bidi w:val="0"/>
        <w:jc w:val="left"/>
        <w:rPr/>
      </w:pPr>
      <w:r>
        <w:rPr/>
        <w:t xml:space="preserve">- This judgmenet notes that "The Hon’ble Apex Court in **Karikho Kri** **(supra)** placing reliance on Mangani Lal Mandal vs. Bishnu Deo Bhandari (2012) 3 SCC 314, had emphasised on the ‘two-layered’ test to set aside the election of the returned candidate having been declared as null and void. Bald and vague allegations without any basis would not be sufficient compliance of the requirement of stating material facts in the election petition, therefore on the first layer of the test, the petitioner is essentially required to aver by way of specific, adequate and unambiguous pleadings on material facts regarding non-compliance/non-observance of provisions of Constitution or the R.P. Act, 1951 or any rules or orders made thereunder. However, a mere non-compliance simpliciter would not ipso facto result in straightaway invalidating the election of the returned candidate. The second and more crucial layer of the test is for the petitioner to abundantly establish that such non-observance/non-compliance has materially affected the result of the election in each case". </w:t>
      </w:r>
    </w:p>
    <w:p>
      <w:pPr>
        <w:pStyle w:val="Normal1"/>
        <w:widowControl/>
        <w:bidi w:val="0"/>
        <w:jc w:val="left"/>
        <w:rPr/>
      </w:pPr>
      <w:r>
        <w:rPr/>
      </w:r>
    </w:p>
    <w:p>
      <w:pPr>
        <w:pStyle w:val="Normal1"/>
        <w:widowControl/>
        <w:bidi w:val="0"/>
        <w:jc w:val="left"/>
        <w:rPr/>
      </w:pPr>
      <w:r>
        <w:rPr/>
        <w:t>- Firstly, SC overturned Gau. HC judgment in Karikho Kri on grounds of 'material effect'. This is very hard to prove, particularly when the whole movement of the doctrine has been towards constitutionalising voter's right to information. However, the SC's own doctrine, followed in this judgment, renders this right nugatory because it imposes an unmeetable burden of proving that non-disclosure or inaccurate or false disclosure had a material effect on elections.</w:t>
      </w:r>
    </w:p>
    <w:p>
      <w:pPr>
        <w:pStyle w:val="Normal1"/>
        <w:widowControl/>
        <w:bidi w:val="0"/>
        <w:jc w:val="left"/>
        <w:rPr/>
      </w:pPr>
      <w:r>
        <w:rPr/>
      </w:r>
    </w:p>
    <w:p>
      <w:pPr>
        <w:pStyle w:val="Normal1"/>
        <w:widowControl/>
        <w:bidi w:val="0"/>
        <w:jc w:val="left"/>
        <w:rPr/>
      </w:pPr>
      <w:r>
        <w:rPr/>
        <w:t xml:space="preserve"> </w:t>
      </w:r>
    </w:p>
    <w:p>
      <w:pPr>
        <w:pStyle w:val="Normal1"/>
        <w:widowControl/>
        <w:bidi w:val="0"/>
        <w:jc w:val="left"/>
        <w:rPr/>
      </w:pPr>
      <w:r>
        <w:rPr/>
      </w:r>
    </w:p>
    <w:p>
      <w:pPr>
        <w:pStyle w:val="Normal1"/>
        <w:widowControl/>
        <w:bidi w:val="0"/>
        <w:jc w:val="left"/>
        <w:rPr/>
      </w:pPr>
      <w:r>
        <w:rPr/>
      </w:r>
    </w:p>
    <w:p>
      <w:pPr>
        <w:pStyle w:val="Normal1"/>
        <w:widowControl/>
        <w:bidi w:val="0"/>
        <w:jc w:val="left"/>
        <w:rPr/>
      </w:pPr>
      <w:r>
        <w:rPr/>
        <w:t xml:space="preserve">Civil Revision from District Court: </w:t>
      </w:r>
    </w:p>
    <w:p>
      <w:pPr>
        <w:pStyle w:val="Normal1"/>
        <w:widowControl/>
        <w:bidi w:val="0"/>
        <w:jc w:val="left"/>
        <w:rPr/>
      </w:pPr>
      <w:r>
        <w:rPr/>
      </w:r>
    </w:p>
    <w:p>
      <w:pPr>
        <w:pStyle w:val="Normal1"/>
        <w:widowControl/>
        <w:bidi w:val="0"/>
        <w:jc w:val="left"/>
        <w:rPr/>
      </w:pPr>
      <w:r>
        <w:rPr/>
        <w:t>1. Abdul Rahman v. Nutan Rajwade</w:t>
      </w:r>
    </w:p>
    <w:p>
      <w:pPr>
        <w:pStyle w:val="Normal1"/>
        <w:widowControl/>
        <w:bidi w:val="0"/>
        <w:jc w:val="left"/>
        <w:rPr/>
      </w:pPr>
      <w:r>
        <w:rPr/>
      </w:r>
    </w:p>
    <w:p>
      <w:pPr>
        <w:pStyle w:val="Normal1"/>
        <w:widowControl/>
        <w:bidi w:val="0"/>
        <w:jc w:val="left"/>
        <w:rPr/>
      </w:pPr>
      <w:r>
        <w:rPr/>
        <w:t>- RC charged with rioting (147 IPC) and attempt to murder (307 IPC)</w:t>
      </w:r>
    </w:p>
    <w:p>
      <w:pPr>
        <w:pStyle w:val="Normal1"/>
        <w:widowControl/>
        <w:bidi w:val="0"/>
        <w:jc w:val="left"/>
        <w:rPr/>
      </w:pPr>
      <w:r>
        <w:rPr/>
        <w:t xml:space="preserve">- non-disclosure of criminal antecedents was held by the District Court  (para 28). DC set aside the election result. These findings were not disturbed by HC. </w:t>
      </w:r>
    </w:p>
    <w:p>
      <w:pPr>
        <w:pStyle w:val="Normal1"/>
        <w:widowControl/>
        <w:bidi w:val="0"/>
        <w:jc w:val="left"/>
        <w:rPr/>
      </w:pPr>
      <w:r>
        <w:rPr/>
        <w:t>- HC held that absence of a 33-A RPA pari materia provision in State Election Act means District Court order had to be set aside. (para 43)</w:t>
      </w:r>
    </w:p>
    <w:p>
      <w:pPr>
        <w:pStyle w:val="Normal1"/>
        <w:widowControl/>
        <w:bidi w:val="0"/>
        <w:jc w:val="left"/>
        <w:rPr/>
      </w:pPr>
      <w:r>
        <w:rPr/>
        <w:t>- Doctrinal - inconsistent with the breadth of the ratio in Resurgence India. Compounded by the fact that the SC has dismissed SLP against this HC judgment, which appears contra to Krishnamoorthy.</w:t>
      </w:r>
    </w:p>
    <w:p>
      <w:pPr>
        <w:pStyle w:val="Normal1"/>
        <w:widowControl/>
        <w:bidi w:val="0"/>
        <w:jc w:val="left"/>
        <w:rPr/>
      </w:pPr>
      <w:r>
        <w:rPr/>
        <w:t>- However, this particular body of authority was relied upon to set aside the declarative relief granted by the District Court to the Election Petitioner-opposing candidate declaring him as the winner. The DC's judgment on the non-disclosure aspect, on the other hand, has been set aside by placing reliance on the 'material effect' doctrine in Mairembam Prithaviraj case; HC held that material effect of non-disclosure of criminal antecedents was not pleaded or proved.</w:t>
      </w:r>
    </w:p>
    <w:p>
      <w:pPr>
        <w:pStyle w:val="Normal1"/>
        <w:widowControl/>
        <w:bidi w:val="0"/>
        <w:jc w:val="left"/>
        <w:rPr/>
      </w:pPr>
      <w:r>
        <w:rPr/>
      </w:r>
    </w:p>
    <w:p>
      <w:pPr>
        <w:pStyle w:val="Normal1"/>
        <w:widowControl/>
        <w:bidi w:val="0"/>
        <w:jc w:val="left"/>
        <w:rPr/>
      </w:pPr>
      <w:r>
        <w:rPr/>
        <w:t>2.  Isup Khan v. Narsingh Dewangan &amp; Ors.</w:t>
      </w:r>
    </w:p>
    <w:p>
      <w:pPr>
        <w:pStyle w:val="Normal1"/>
        <w:widowControl/>
        <w:bidi w:val="0"/>
        <w:jc w:val="left"/>
        <w:rPr/>
      </w:pPr>
      <w:r>
        <w:rPr/>
      </w:r>
    </w:p>
    <w:p>
      <w:pPr>
        <w:pStyle w:val="Normal1"/>
        <w:widowControl/>
        <w:bidi w:val="0"/>
        <w:jc w:val="left"/>
        <w:rPr/>
      </w:pPr>
      <w:r>
        <w:rPr/>
        <w:t>- non-disclosure of criminal antecedents was held by the District Court  (para 32--34). DC set aside the election result. These findings were not disturbed by HC; only pleadings were held to be insufficient.</w:t>
      </w:r>
    </w:p>
    <w:p>
      <w:pPr>
        <w:pStyle w:val="Normal1"/>
        <w:widowControl/>
        <w:bidi w:val="0"/>
        <w:jc w:val="left"/>
        <w:rPr/>
      </w:pPr>
      <w:r>
        <w:rPr/>
        <w:t xml:space="preserve">- alleged General category candidate contested in a reserved constituency for OBC. No considered at all in the judgment. </w:t>
      </w:r>
    </w:p>
    <w:p>
      <w:pPr>
        <w:pStyle w:val="Normal1"/>
        <w:widowControl/>
        <w:bidi w:val="0"/>
        <w:jc w:val="left"/>
        <w:rPr/>
      </w:pPr>
      <w:r>
        <w:rPr/>
        <w:t>- the offences pertain to causing hurt to and deterring a public servant from discharging their duty.</w:t>
      </w:r>
    </w:p>
    <w:p>
      <w:pPr>
        <w:pStyle w:val="Normal1"/>
        <w:widowControl/>
        <w:bidi w:val="0"/>
        <w:jc w:val="left"/>
        <w:rPr/>
      </w:pPr>
      <w:r>
        <w:rPr/>
        <w:t>- Doctrinal - inconsistent with the breadth of the ratio in Resurgence India. Compounded by the fact that the HC has relied on the fact that the SC has dismissed SLP against this HC's judgment in Abdul Rahman v. Nutan Rajwade, which appears contra to Krishnamoorthy.</w:t>
      </w:r>
    </w:p>
    <w:p>
      <w:pPr>
        <w:pStyle w:val="Normal1"/>
        <w:widowControl/>
        <w:bidi w:val="0"/>
        <w:jc w:val="left"/>
        <w:rPr/>
      </w:pPr>
      <w:r>
        <w:rPr/>
        <w:t>- However, this particular body of authority was relied upon to set aside the declarative relief granted by the District Court to the Election Petitioner-opposing candidate declaring him as the winner. The DC's judgment on the non-disclosure aspect, on the other hand, has been set aside by placing reliance on the 'material effect' doctrine in Mairembam Prithaviraj case. HC held that material effect of non-disclosure of criminal antecedents was not pleaded or proved.</w:t>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p>
      <w:pPr>
        <w:pStyle w:val="Normal1"/>
        <w:widowControl/>
        <w:bidi w:val="0"/>
        <w:jc w:val="left"/>
        <w:rPr/>
      </w:pPr>
      <w:r>
        <w:rPr/>
        <w:t>Writ appeal against Election Tribunal:</w:t>
      </w:r>
    </w:p>
    <w:p>
      <w:pPr>
        <w:pStyle w:val="Normal1"/>
        <w:widowControl/>
        <w:bidi w:val="0"/>
        <w:jc w:val="left"/>
        <w:rPr/>
      </w:pPr>
      <w:r>
        <w:rPr/>
      </w:r>
    </w:p>
    <w:p>
      <w:pPr>
        <w:pStyle w:val="Normal1"/>
        <w:widowControl/>
        <w:bidi w:val="0"/>
        <w:jc w:val="left"/>
        <w:rPr/>
      </w:pPr>
      <w:r>
        <w:rPr/>
        <w:t>1. Santosh Kumar Singh v. State of Bihar</w:t>
      </w:r>
    </w:p>
    <w:p>
      <w:pPr>
        <w:pStyle w:val="Normal1"/>
        <w:widowControl/>
        <w:bidi w:val="0"/>
        <w:jc w:val="left"/>
        <w:rPr/>
      </w:pPr>
      <w:r>
        <w:rPr/>
        <w:t>- Criminal faction, since criminal antecedents were admittedly concealed.</w:t>
      </w:r>
    </w:p>
    <w:p>
      <w:pPr>
        <w:pStyle w:val="Normal1"/>
        <w:widowControl/>
        <w:bidi w:val="0"/>
        <w:jc w:val="left"/>
        <w:rPr/>
      </w:pPr>
      <w:r>
        <w:rPr/>
        <w:t xml:space="preserve">- The admission of concealment indicates serious manipulation of voter choice. </w:t>
      </w:r>
    </w:p>
    <w:p>
      <w:pPr>
        <w:pStyle w:val="Normal1"/>
        <w:widowControl/>
        <w:bidi w:val="0"/>
        <w:jc w:val="left"/>
        <w:rPr/>
      </w:pPr>
      <w:r>
        <w:rPr/>
        <w:t xml:space="preserve">- The State Act has been purposively interpreted to work around the insufficient pleadings and grant declaration to the runner-up candidate. The State Act provides for an inquiry by the Election Officer to ascertain as to who amongst the contestants had secured next highest valid votes and which has resulted in favour of the election petitioner to receive a declaration in his favour. </w:t>
      </w:r>
    </w:p>
    <w:p>
      <w:pPr>
        <w:pStyle w:val="Normal1"/>
        <w:widowControl/>
        <w:bidi w:val="0"/>
        <w:jc w:val="left"/>
        <w:rPr/>
      </w:pPr>
      <w:r>
        <w:rPr/>
      </w:r>
    </w:p>
    <w:p>
      <w:pPr>
        <w:pStyle w:val="Normal1"/>
        <w:widowContro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imSun" w:cs="Lucida Sans"/>
        <w:kern w:val="2"/>
        <w:sz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SimSun" w:cs="Lucida Sans"/>
      <w:color w:val="auto"/>
      <w:kern w:val="2"/>
      <w:sz w:val="24"/>
      <w:szCs w:val="20"/>
      <w:lang w:val="en" w:eastAsia="zh-CN" w:bidi="hi-IN"/>
    </w:rPr>
  </w:style>
  <w:style w:type="paragraph" w:styleId="Heading1">
    <w:name w:val="Heading 1"/>
    <w:basedOn w:val="Normal1"/>
    <w:qFormat/>
    <w:pPr/>
    <w:rPr>
      <w:rFonts w:ascii="Arial" w:hAnsi="Arial" w:eastAsia="Arial"/>
      <w:b/>
      <w:sz w:val="32"/>
    </w:rPr>
  </w:style>
  <w:style w:type="paragraph" w:styleId="Heading2">
    <w:name w:val="Heading 2"/>
    <w:basedOn w:val="Normal1"/>
    <w:qFormat/>
    <w:pPr/>
    <w:rPr>
      <w:rFonts w:ascii="Arial" w:hAnsi="Arial" w:eastAsia="Arial"/>
      <w:b/>
      <w:i/>
      <w:sz w:val="28"/>
    </w:rPr>
  </w:style>
  <w:style w:type="paragraph" w:styleId="Heading3">
    <w:name w:val="Heading 3"/>
    <w:basedOn w:val="Normal1"/>
    <w:qFormat/>
    <w:pPr/>
    <w:rPr>
      <w:rFonts w:ascii="Arial" w:hAnsi="Arial" w:eastAsia="Arial"/>
      <w:b/>
      <w:sz w:val="26"/>
    </w:rPr>
  </w:style>
  <w:style w:type="paragraph" w:styleId="Heading4">
    <w:name w:val="Heading 4"/>
    <w:basedOn w:val="Normal1"/>
    <w:qFormat/>
    <w:pPr/>
    <w:rPr>
      <w:b/>
      <w:sz w:val="28"/>
    </w:rPr>
  </w:style>
  <w:style w:type="paragraph" w:styleId="Heading5">
    <w:name w:val="Heading 5"/>
    <w:basedOn w:val="Normal1"/>
    <w:qFormat/>
    <w:pPr/>
    <w:rPr>
      <w:b/>
      <w:i/>
      <w:sz w:val="26"/>
    </w:rPr>
  </w:style>
  <w:style w:type="paragraph" w:styleId="Heading6">
    <w:name w:val="Heading 6"/>
    <w:basedOn w:val="Normal1"/>
    <w:qFormat/>
    <w:pPr/>
    <w:rPr>
      <w:b/>
      <w:sz w:val="22"/>
    </w:rPr>
  </w:style>
  <w:style w:type="paragraph" w:styleId="Heading7">
    <w:name w:val="Heading 7"/>
    <w:basedOn w:val="Normal1"/>
    <w:qFormat/>
    <w:pPr/>
    <w:rPr>
      <w:sz w:val="24"/>
    </w:rPr>
  </w:style>
  <w:style w:type="paragraph" w:styleId="Heading8">
    <w:name w:val="Heading 8"/>
    <w:basedOn w:val="Normal1"/>
    <w:qFormat/>
    <w:pPr/>
    <w:rPr>
      <w:i/>
      <w:sz w:val="24"/>
    </w:rPr>
  </w:style>
  <w:style w:type="paragraph" w:styleId="Heading9">
    <w:name w:val="Heading 9"/>
    <w:basedOn w:val="Normal1"/>
    <w:qFormat/>
    <w:pPr/>
    <w:rPr>
      <w:rFonts w:ascii="Arial" w:hAnsi="Arial" w:eastAsia="Arial"/>
      <w:sz w:val="22"/>
    </w:rPr>
  </w:style>
  <w:style w:type="paragraph" w:styleId="Normal1">
    <w:name w:val="Normal1"/>
    <w:qFormat/>
    <w:pPr>
      <w:widowControl/>
      <w:tabs>
        <w:tab w:val="clear" w:pos="709"/>
      </w:tabs>
      <w:kinsoku w:val="true"/>
      <w:overflowPunct w:val="true"/>
      <w:autoSpaceDE w:val="true"/>
      <w:bidi w:val="0"/>
    </w:pPr>
    <w:rPr>
      <w:rFonts w:ascii="Times New Roman" w:hAnsi="Times New Roman" w:eastAsia="Times New Roman" w:cs="Lucida Sans"/>
      <w:color w:val="000000"/>
      <w:kern w:val="2"/>
      <w:sz w:val="24"/>
      <w:szCs w:val="20"/>
      <w:lang w:val="en"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PlainText">
    <w:name w:val="Plain Text"/>
    <w:basedOn w:val="Normal1"/>
    <w:qFormat/>
    <w:pPr/>
    <w:rPr>
      <w:rFonts w:ascii="Courier New" w:hAnsi="Courier New" w:eastAsia="Courier New"/>
      <w:sz w:val="20"/>
    </w:rPr>
  </w:style>
  <w:style w:type="paragraph" w:styleId="Title">
    <w:name w:val="Title"/>
    <w:basedOn w:val="Normal1"/>
    <w:qFormat/>
    <w:pPr>
      <w:jc w:val="left"/>
    </w:pPr>
    <w:rPr>
      <w:rFonts w:ascii="Arial" w:hAnsi="Arial" w:eastAsia="Arial"/>
      <w:b/>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LibreOffice/7.6.5.2$MacOSX_X86_64 LibreOffice_project/38d5f62f85355c192ef5f1dd47c5c0c0c6d6598b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Local Editor</cp:lastModifiedBy>
  <dcterms:modified xsi:type="dcterms:W3CDTF">2026-06-11T02:32:59Z</dcterms:modified>
  <cp:revision>5</cp:revision>
  <dc:subject/>
  <dc:title/>
</cp:coreProperties>
</file>