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bidi w:val="0"/>
        <w:jc w:val="left"/>
        <w:rPr/>
      </w:pPr>
      <w:r>
        <w:rPr/>
        <w:t>Observation: Many of the same cases as in Authorities on Election Law Exceptionalism &amp; Pleadings-Maintainability. This two body tends to be relied on together in cases, or specific claims within cases, after the facts and pleadings have been filtered through the previous two doctrines. Getting to this stage of substantive evaluation may increase the chances of securing an electoral outcome through the adjudicative process. Yet, the application of this doctrine can alter the eventual outcome of a case.</w:t>
      </w:r>
    </w:p>
    <w:p>
      <w:pPr>
        <w:pStyle w:val="Normal1"/>
        <w:widowControl/>
        <w:bidi w:val="0"/>
        <w:jc w:val="left"/>
        <w:rPr/>
      </w:pPr>
      <w:r>
        <w:rPr/>
      </w:r>
    </w:p>
    <w:p>
      <w:pPr>
        <w:pStyle w:val="Normal1"/>
        <w:widowControl/>
        <w:bidi w:val="0"/>
        <w:jc w:val="left"/>
        <w:rPr/>
      </w:pPr>
      <w:r>
        <w:rPr/>
        <w:t>EP: 1 Dismissed; 2 Allowed</w:t>
      </w:r>
    </w:p>
    <w:p>
      <w:pPr>
        <w:pStyle w:val="Normal1"/>
        <w:widowControl/>
        <w:bidi w:val="0"/>
        <w:jc w:val="left"/>
        <w:rPr/>
      </w:pPr>
      <w:r>
        <w:rPr/>
      </w:r>
    </w:p>
    <w:p>
      <w:pPr>
        <w:pStyle w:val="Normal1"/>
        <w:widowControl/>
        <w:bidi w:val="0"/>
        <w:jc w:val="left"/>
        <w:rPr/>
      </w:pPr>
      <w:r>
        <w:rPr/>
        <w:t>1. Nuney Tayang v. Karikho Kri &amp; anr. (Note: this judgment was set aside by the SC on appeal): (Stage: on merit / post-evidence)</w:t>
      </w:r>
    </w:p>
    <w:p>
      <w:pPr>
        <w:pStyle w:val="Normal1"/>
        <w:widowControl/>
        <w:bidi w:val="0"/>
        <w:jc w:val="left"/>
        <w:rPr/>
      </w:pPr>
      <w:r>
        <w:rPr/>
      </w:r>
    </w:p>
    <w:p>
      <w:pPr>
        <w:pStyle w:val="Normal1"/>
        <w:widowControl/>
        <w:bidi w:val="0"/>
        <w:jc w:val="left"/>
        <w:rPr/>
      </w:pPr>
      <w:r>
        <w:rPr/>
        <w:t>- Movable assets have been shown to be transferred by RC in 2014 with the aid of official transfer docs that are dated post election, with the aid of local govt. officials.</w:t>
      </w:r>
    </w:p>
    <w:p>
      <w:pPr>
        <w:pStyle w:val="Normal1"/>
        <w:widowControl/>
        <w:bidi w:val="0"/>
        <w:jc w:val="left"/>
        <w:rPr/>
      </w:pPr>
      <w:r>
        <w:rPr/>
        <w:t xml:space="preserve">- Concealment of movable assets is proved. </w:t>
      </w:r>
    </w:p>
    <w:p>
      <w:pPr>
        <w:pStyle w:val="Normal1"/>
        <w:widowControl/>
        <w:bidi w:val="0"/>
        <w:jc w:val="left"/>
        <w:rPr/>
      </w:pPr>
      <w:r>
        <w:rPr/>
        <w:t>- HC held that non-disclosure of vehicle in the name of the candidate’s wife in Form 26 of the Conduct of Election Rules, 1961, is a defect of substantial nature, which renders the nomination paper of such candidate, liable to be rejected.</w:t>
      </w:r>
    </w:p>
    <w:p>
      <w:pPr>
        <w:pStyle w:val="Normal1"/>
        <w:widowControl/>
        <w:bidi w:val="0"/>
        <w:jc w:val="left"/>
        <w:rPr/>
      </w:pPr>
      <w:r>
        <w:rPr/>
      </w:r>
    </w:p>
    <w:p>
      <w:pPr>
        <w:pStyle w:val="Normal1"/>
        <w:widowControl/>
        <w:bidi w:val="0"/>
        <w:jc w:val="left"/>
        <w:rPr/>
      </w:pPr>
      <w:r>
        <w:rPr/>
        <w:t>2.  Mopuragundu Thippeswamy v. K. Eranna: (Stage: on merit / post-evidence)</w:t>
      </w:r>
    </w:p>
    <w:p>
      <w:pPr>
        <w:pStyle w:val="Normal1"/>
        <w:widowControl/>
        <w:bidi w:val="0"/>
        <w:jc w:val="left"/>
        <w:rPr/>
      </w:pPr>
      <w:r>
        <w:rPr/>
        <w:t xml:space="preserve"> </w:t>
      </w:r>
    </w:p>
    <w:p>
      <w:pPr>
        <w:pStyle w:val="Normal1"/>
        <w:widowControl/>
        <w:bidi w:val="0"/>
        <w:jc w:val="left"/>
        <w:rPr/>
      </w:pPr>
      <w:r>
        <w:rPr/>
        <w:t>- Criminal faction, from the multiple pending cases / trials against RC.</w:t>
      </w:r>
    </w:p>
    <w:p>
      <w:pPr>
        <w:pStyle w:val="Normal1"/>
        <w:widowControl/>
        <w:bidi w:val="0"/>
        <w:jc w:val="left"/>
        <w:rPr/>
      </w:pPr>
      <w:r>
        <w:rPr/>
        <w:t>- Criminal antecedents and spousal occupation held to be concealed. Hence, high Score: 3.</w:t>
      </w:r>
    </w:p>
    <w:p>
      <w:pPr>
        <w:pStyle w:val="Normal1"/>
        <w:widowControl/>
        <w:bidi w:val="0"/>
        <w:jc w:val="left"/>
        <w:rPr/>
      </w:pPr>
      <w:r>
        <w:rPr/>
        <w:t>- Non-disclosure resulted in disqualification, runner-up declared RC. Grant of declarative relief appears to run counter to Election Law Exceptionalsim authortities on Declarative Relief in Vatal Nagaraj and Prakash Khandre.</w:t>
      </w:r>
    </w:p>
    <w:p>
      <w:pPr>
        <w:pStyle w:val="Normal1"/>
        <w:widowControl/>
        <w:bidi w:val="0"/>
        <w:jc w:val="left"/>
        <w:rPr/>
      </w:pPr>
      <w:r>
        <w:rPr/>
      </w:r>
    </w:p>
    <w:p>
      <w:pPr>
        <w:pStyle w:val="Normal1"/>
        <w:widowControl/>
        <w:bidi w:val="0"/>
        <w:jc w:val="left"/>
        <w:rPr/>
      </w:pPr>
      <w:r>
        <w:rPr/>
        <w:t>3. Madiraju Venkata Ramana Raju vs. Peddireddigari Ramachandra Reddy and 7 others: (Stage: on merit / post-evidence)</w:t>
      </w:r>
    </w:p>
    <w:p>
      <w:pPr>
        <w:pStyle w:val="Normal1"/>
        <w:widowControl/>
        <w:bidi w:val="0"/>
        <w:jc w:val="left"/>
        <w:rPr/>
      </w:pPr>
      <w:r>
        <w:rPr/>
        <w:t xml:space="preserve"> </w:t>
      </w:r>
    </w:p>
    <w:p>
      <w:pPr>
        <w:pStyle w:val="Normal1"/>
        <w:widowControl/>
        <w:bidi w:val="0"/>
        <w:jc w:val="left"/>
        <w:rPr/>
      </w:pPr>
      <w:r>
        <w:rPr/>
        <w:t>- RC is a high net-worth individual and owner of multiple commercial properties. There are also disclosed criminal antecedents.</w:t>
      </w:r>
    </w:p>
    <w:p>
      <w:pPr>
        <w:pStyle w:val="Normal1"/>
        <w:widowControl/>
        <w:bidi w:val="0"/>
        <w:jc w:val="left"/>
        <w:rPr/>
      </w:pPr>
      <w:r>
        <w:rPr/>
        <w:t xml:space="preserve">- The main defect is that of failure to mention accurate floor area of commercial property and blanks against wife's income tax returns. However, these were held to be insignificant as his wife did not file tax returns. </w:t>
      </w:r>
    </w:p>
    <w:p>
      <w:pPr>
        <w:pStyle w:val="Normal1"/>
        <w:widowControl/>
        <w:bidi w:val="0"/>
        <w:jc w:val="left"/>
        <w:rPr/>
      </w:pPr>
      <w:r>
        <w:rPr/>
        <w:t xml:space="preserve"> </w:t>
      </w:r>
      <w:r>
        <w:rPr/>
        <w:t>- Reveals procedural issues with lack of clarity on what constitutes an incurable vs curable defect.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imSun" w:cs="Lucida Sans"/>
        <w:kern w:val="2"/>
        <w:sz w:val="24"/>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SimSun" w:cs="Lucida Sans"/>
      <w:color w:val="auto"/>
      <w:kern w:val="2"/>
      <w:sz w:val="24"/>
      <w:szCs w:val="20"/>
      <w:lang w:val="en" w:eastAsia="zh-CN" w:bidi="hi-IN"/>
    </w:rPr>
  </w:style>
  <w:style w:type="paragraph" w:styleId="Heading1">
    <w:name w:val="Heading 1"/>
    <w:basedOn w:val="Normal1"/>
    <w:qFormat/>
    <w:pPr/>
    <w:rPr>
      <w:rFonts w:ascii="Arial" w:hAnsi="Arial" w:eastAsia="Arial"/>
      <w:b/>
      <w:sz w:val="32"/>
    </w:rPr>
  </w:style>
  <w:style w:type="paragraph" w:styleId="Heading2">
    <w:name w:val="Heading 2"/>
    <w:basedOn w:val="Normal1"/>
    <w:qFormat/>
    <w:pPr/>
    <w:rPr>
      <w:rFonts w:ascii="Arial" w:hAnsi="Arial" w:eastAsia="Arial"/>
      <w:b/>
      <w:i/>
      <w:sz w:val="28"/>
    </w:rPr>
  </w:style>
  <w:style w:type="paragraph" w:styleId="Heading3">
    <w:name w:val="Heading 3"/>
    <w:basedOn w:val="Normal1"/>
    <w:qFormat/>
    <w:pPr/>
    <w:rPr>
      <w:rFonts w:ascii="Arial" w:hAnsi="Arial" w:eastAsia="Arial"/>
      <w:b/>
      <w:sz w:val="26"/>
    </w:rPr>
  </w:style>
  <w:style w:type="paragraph" w:styleId="Heading4">
    <w:name w:val="Heading 4"/>
    <w:basedOn w:val="Normal1"/>
    <w:qFormat/>
    <w:pPr/>
    <w:rPr>
      <w:b/>
      <w:sz w:val="28"/>
    </w:rPr>
  </w:style>
  <w:style w:type="paragraph" w:styleId="Heading5">
    <w:name w:val="Heading 5"/>
    <w:basedOn w:val="Normal1"/>
    <w:qFormat/>
    <w:pPr/>
    <w:rPr>
      <w:b/>
      <w:i/>
      <w:sz w:val="26"/>
    </w:rPr>
  </w:style>
  <w:style w:type="paragraph" w:styleId="Heading6">
    <w:name w:val="Heading 6"/>
    <w:basedOn w:val="Normal1"/>
    <w:qFormat/>
    <w:pPr/>
    <w:rPr>
      <w:b/>
      <w:sz w:val="22"/>
    </w:rPr>
  </w:style>
  <w:style w:type="paragraph" w:styleId="Heading7">
    <w:name w:val="Heading 7"/>
    <w:basedOn w:val="Normal1"/>
    <w:qFormat/>
    <w:pPr/>
    <w:rPr>
      <w:sz w:val="24"/>
    </w:rPr>
  </w:style>
  <w:style w:type="paragraph" w:styleId="Heading8">
    <w:name w:val="Heading 8"/>
    <w:basedOn w:val="Normal1"/>
    <w:qFormat/>
    <w:pPr/>
    <w:rPr>
      <w:i/>
      <w:sz w:val="24"/>
    </w:rPr>
  </w:style>
  <w:style w:type="paragraph" w:styleId="Heading9">
    <w:name w:val="Heading 9"/>
    <w:basedOn w:val="Normal1"/>
    <w:qFormat/>
    <w:pPr/>
    <w:rPr>
      <w:rFonts w:ascii="Arial" w:hAnsi="Arial" w:eastAsia="Arial"/>
      <w:sz w:val="22"/>
    </w:rPr>
  </w:style>
  <w:style w:type="paragraph" w:styleId="Normal1">
    <w:name w:val="Normal1"/>
    <w:qFormat/>
    <w:pPr>
      <w:widowControl/>
      <w:tabs>
        <w:tab w:val="clear" w:pos="709"/>
      </w:tabs>
      <w:kinsoku w:val="true"/>
      <w:overflowPunct w:val="true"/>
      <w:autoSpaceDE w:val="true"/>
      <w:bidi w:val="0"/>
    </w:pPr>
    <w:rPr>
      <w:rFonts w:ascii="Times New Roman" w:hAnsi="Times New Roman" w:eastAsia="Times New Roman" w:cs="Lucida Sans"/>
      <w:color w:val="000000"/>
      <w:kern w:val="2"/>
      <w:sz w:val="24"/>
      <w:szCs w:val="20"/>
      <w:lang w:val="en"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PlainText">
    <w:name w:val="Plain Text"/>
    <w:basedOn w:val="Normal1"/>
    <w:qFormat/>
    <w:pPr/>
    <w:rPr>
      <w:rFonts w:ascii="Courier New" w:hAnsi="Courier New" w:eastAsia="Courier New"/>
      <w:sz w:val="20"/>
    </w:rPr>
  </w:style>
  <w:style w:type="paragraph" w:styleId="Title">
    <w:name w:val="Title"/>
    <w:basedOn w:val="Normal1"/>
    <w:qFormat/>
    <w:pPr>
      <w:jc w:val="left"/>
    </w:pPr>
    <w:rPr>
      <w:rFonts w:ascii="Arial" w:hAnsi="Arial" w:eastAsia="Arial"/>
      <w:b/>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LibreOffice/7.6.5.2$MacOSX_X86_64 LibreOffice_project/38d5f62f85355c192ef5f1dd47c5c0c0c6d6598b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Local Editor</cp:lastModifiedBy>
  <dcterms:modified xsi:type="dcterms:W3CDTF">2026-06-11T01:29:06Z</dcterms:modified>
  <cp:revision>5</cp:revision>
  <dc:subject/>
  <dc:title/>
</cp:coreProperties>
</file>