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The Designated Fielder: A Counterfactual Analysis of Separating Offense and Defense in Baseball, 1876–2025</w:t>
      </w:r>
    </w:p>
    <w:p>
      <w:pPr>
        <w:spacing w:after="160"/>
      </w:pPr>
      <w:r>
        <w:rPr>
          <w:i/>
          <w:iCs/>
          <w:sz w:val="20"/>
          <w:szCs w:val="20"/>
        </w:rPr>
        <w:t xml:space="preserve">Data source: SABR / Sean Lahman Baseball Database, 1871–2025 (released December 10, 2025). Analysis and modeling choices are the author's own; no official statistic or metric from this source has been altered.</w:t>
      </w:r>
    </w:p>
    <w:p>
      <w:pPr>
        <w:pStyle w:val="Heading1"/>
        <w:spacing w:after="120" w:before="240"/>
      </w:pPr>
      <w:r>
        <w:t xml:space="preserve">Abstract</w:t>
      </w:r>
    </w:p>
    <w:p>
      <w:pPr>
        <w:spacing w:after="160"/>
      </w:pPr>
      <w:r>
        <w:t xml:space="preserve">Major League Baseball's designated hitter (DH) rule severs the offensive and defensive obligations of one roster spot: a player can bat without fielding. This paper studies the inverse and never-adopted counterpart — a hypothetical “designated fielder” (DF) who could field without batting. Using the Lahman database (1871–2025), I build two related but distinct measures: (1) an individual DF-suitability index that standardizes a player's defensive performance against era- and position-specific peers and nets it against a real, runs-denominated batting metric, and (2) a team-level simulation that asks, for each team-season and position, how many runs a team would have gained or lost by installing its best available defensive replacement at that position and moving its plate appearances to the best available bench bat. The two measures are intentionally kept separate: the individual index answers “who looks like a DF,” while the team simulation answers “how much would a specific team actually have gained.” The two turn out to be nearly uncorrelated (r ≈ −0.06 across the best-swap sample), which is itself a substantive finding: individual defensive excellence and team-level DF opportunity are governed by different things — the latter depends heavily on whether a team happens to have an underused bat on its bench, something the individual index cannot see.</w:t>
      </w:r>
    </w:p>
    <w:p>
      <w:pPr>
        <w:pStyle w:val="Heading1"/>
        <w:spacing w:after="120" w:before="240"/>
      </w:pPr>
      <w:r>
        <w:t xml:space="preserve">1. Introduction</w:t>
      </w:r>
    </w:p>
    <w:p>
      <w:pPr>
        <w:spacing w:after="160"/>
      </w:pPr>
      <w:r>
        <w:t xml:space="preserve">The DH rule (adopted by the American League in 1973 and, since 2022, by all of MLB) exists because a team's weakest hitter is normally its pitcher, and pitchers are retained purely for a skill — pitching — that has nothing to do with batting. The DH lets a team keep that skill without paying its offensive cost.</w:t>
      </w:r>
    </w:p>
    <w:p>
      <w:pPr>
        <w:spacing w:after="160"/>
      </w:pPr>
      <w:r>
        <w:t xml:space="preserve">A designated fielder would apply the same logic to position players: a team's best defender at a position is not always its best hitter there, and vice versa. Under current rules a single player must be both. A DF rule would let a team field its best defender at a position while batting a different player — someone whose own defensive shortcomings currently cost him playing time — in that batting slot. This paper asks two separate questions about that idea:</w:t>
      </w:r>
    </w:p>
    <w:p>
      <w:pPr>
        <w:pStyle w:val="ListParagraph"/>
        <w:numPr>
          <w:ilvl w:val="0"/>
          <w:numId w:val="1"/>
        </w:numPr>
        <w:spacing w:after="80"/>
      </w:pPr>
      <w:r>
        <w:t xml:space="preserve">Individual suitability: which player-seasons look most like plausible DF candidates — well above average on defense, and a batting liability relative to league?</w:t>
      </w:r>
    </w:p>
    <w:p>
      <w:pPr>
        <w:pStyle w:val="ListParagraph"/>
        <w:numPr>
          <w:ilvl w:val="0"/>
          <w:numId w:val="1"/>
        </w:numPr>
        <w:spacing w:after="80"/>
      </w:pPr>
      <w:r>
        <w:t xml:space="preserve">Team impact: for teams that actually had the roster pieces to run this scheme, how many runs would the swap plausibly have been worth, using only real observed offensive production?</w:t>
      </w:r>
    </w:p>
    <w:p>
      <w:pPr>
        <w:spacing w:after="160"/>
      </w:pPr>
      <w:r>
        <w:t xml:space="preserve">These are kept as separate, complementary analyses rather than combined into a single automated score, for reasons explained in Section 3.</w:t>
      </w:r>
    </w:p>
    <w:p>
      <w:pPr>
        <w:pStyle w:val="Heading1"/>
        <w:spacing w:after="120" w:before="240"/>
      </w:pPr>
      <w:r>
        <w:t xml:space="preserve">2. Data</w:t>
      </w:r>
    </w:p>
    <w:p>
      <w:pPr>
        <w:spacing w:after="160"/>
      </w:pPr>
      <w:r>
        <w:t xml:space="preserve">All statistics are drawn from Batting.csv, Fielding.csv, People.csv, and Teams.csv in the Lahman release, aggregated to the player × team × season grain (a player traded mid-season contributes one row per team). Pitchers are excluded from the fielding analysis, since the DH/DF framing is specifically about position players. Plate appearances are approximated as AB + BB + HBP + SH + SF, the standard proxy used when a dataset lacks a native PA column.</w:t>
      </w:r>
    </w:p>
    <w:p>
      <w:pPr>
        <w:pStyle w:val="Heading1"/>
        <w:spacing w:after="120" w:before="240"/>
      </w:pPr>
      <w:r>
        <w:t xml:space="preserve">3. Methods</w:t>
      </w:r>
    </w:p>
    <w:p>
      <w:pPr>
        <w:pStyle w:val="Heading2"/>
        <w:spacing w:after="120" w:before="240"/>
      </w:pPr>
      <w:r>
        <w:t xml:space="preserve">3.1 Batting value (real runs)</w:t>
      </w:r>
    </w:p>
    <w:p>
      <w:pPr>
        <w:spacing w:after="160"/>
      </w:pPr>
      <w:r>
        <w:t xml:space="preserve">Offensive value is computed with Pete Palmer's fixed linear-weights formula (Thorn &amp; Palmer, The Hidden Game of Baseball, 1984):</w:t>
      </w:r>
    </w:p>
    <w:p>
      <w:pPr>
        <w:spacing w:after="160"/>
      </w:pPr>
      <w:r>
        <w:rPr>
          <w:i/>
          <w:iCs/>
        </w:rPr>
        <w:t xml:space="preserve">Batting Runs = .47·1B + .78·2B + 1.09·3B + 1.40·HR + .33·(BB+HBP) + .20·SB − .40·CS − .25·(AB−H)</w:t>
      </w:r>
    </w:p>
    <w:p>
      <w:pPr>
        <w:spacing w:after="160"/>
      </w:pPr>
      <w:r>
        <w:t xml:space="preserve">Because these fixed coefficients do not adjust for scoring context across 150 years of offensive environments (the dead-ball era, integration, expansion, the steroid era, the current three-true-outcomes era), each player-season's raw Batting Runs is compared against the league-year average of the identical formula, per plate appearance, rather than against a constant baseline. This subtracts out era effects without requiring a different set of weights for every season. The result, Batting Runs Above Average, is denominated in real runs and requires no invented data — every input is an observed Lahman statistic.</w:t>
      </w:r>
    </w:p>
    <w:p>
      <w:pPr>
        <w:pStyle w:val="Heading2"/>
        <w:spacing w:after="120" w:before="240"/>
      </w:pPr>
      <w:r>
        <w:t xml:space="preserve">3.2 Defensive value: why it is not expressed in runs</w:t>
      </w:r>
    </w:p>
    <w:p>
      <w:pPr>
        <w:spacing w:after="160"/>
      </w:pPr>
      <w:r>
        <w:t xml:space="preserve">An early version of this analysis attempted to convert Range Factor ((PO+A) per 9 innings) differentials into runs using the conversion constants commonly cited in sabermetric writing (approximately 0.75 runs per play, 0.5 runs per error). That approach produced single-season defensive values of +150 to +200 runs for several players — far outside any plausible range (even the best-regarded single-season advanced defensive metrics, which rely on batted-ball location data unavailable here, rarely exceed +30 runs). The reason is that Range Factor conflates a fielder's own skill with team-level context the Lahman fielding table cannot separate: a team's groundball rate, park dimensions, and pitching staff composition all move a fielder's raw chances up or down independent of his ability. Metrics that do convert fielding into runs reliably (Total Zone, Defensive Runs Saved, Ultimate Zone Rating) all depend on Retrosheet-level, batted-ball-by-batted-ball data that is not present in the Lahman Fielding table.</w:t>
      </w:r>
    </w:p>
    <w:p>
      <w:pPr>
        <w:spacing w:after="160"/>
      </w:pPr>
      <w:r>
        <w:t xml:space="preserve">Rather than assert a runs value the data cannot support, defense is expressed here as a Defensive Index: a z-score standardizing a player's rate stats against other players at the same position in the same league-season (minimum 150 innings played, to limit small-sample noise). Because raw putouts at catcher are dominated by strikeout credit (not real range) and putouts at first base are dominated by routine throw-receiving (not real range either), those two positions substitute caught-stealing rate and passed-ball rate (catchers) or error rate alone (first basemen) for the range component. This index is unitless by design — it says a player fielded well relative to his peers, not how many runs that was worth.</w:t>
      </w:r>
    </w:p>
    <w:p>
      <w:pPr>
        <w:pStyle w:val="Heading2"/>
        <w:spacing w:after="120" w:before="240"/>
      </w:pPr>
      <w:r>
        <w:t xml:space="preserve">3.3 Individual DF-Suitability Index</w:t>
      </w:r>
    </w:p>
    <w:p>
      <w:pPr>
        <w:spacing w:after="160"/>
      </w:pPr>
      <w:r>
        <w:t xml:space="preserve">For any player-team-season with at least 300 innings at a primary position, DF_Suitability_Z = Defensive_Index (z-score) − Batting_Value_Z (the same player's Batting Runs Above Average, standardized within league-year). High scores flag player-seasons that combine plus defense with a below-average bat — exactly the profile that would be “wasted” fielding value under current rules, and best-suited to a pure defensive role under a DF rule.</w:t>
      </w:r>
    </w:p>
    <w:p>
      <w:pPr>
        <w:pStyle w:val="Heading2"/>
        <w:spacing w:after="120" w:before="240"/>
      </w:pPr>
      <w:r>
        <w:t xml:space="preserve">3.4 Team-level swap simulation</w:t>
      </w:r>
    </w:p>
    <w:p>
      <w:pPr>
        <w:spacing w:after="160"/>
      </w:pPr>
      <w:r>
        <w:t xml:space="preserve">The individual index says who looks like a DF. It says nothing about whether a specific team actually had the roster depth to benefit from using one, which is a separate, and arguably more interesting, empirical question. For every team-season and every non-pitcher position, three roles are identified from the team's actual roster:</w:t>
      </w:r>
    </w:p>
    <w:p>
      <w:pPr>
        <w:pStyle w:val="ListParagraph"/>
        <w:numPr>
          <w:ilvl w:val="0"/>
          <w:numId w:val="1"/>
        </w:numPr>
        <w:spacing w:after="80"/>
      </w:pPr>
      <w:r>
        <w:t xml:space="preserve">Incumbent: the player with the most defensive innings at that position that season (today's real-life starter, who both bats and fields).</w:t>
      </w:r>
    </w:p>
    <w:p>
      <w:pPr>
        <w:pStyle w:val="ListParagraph"/>
        <w:numPr>
          <w:ilvl w:val="0"/>
          <w:numId w:val="1"/>
        </w:numPr>
        <w:spacing w:after="80"/>
      </w:pPr>
      <w:r>
        <w:t xml:space="preserve">DF candidate: the teammate (≥150 innings at that position) with the highest Defensive_Index at the position, considered only if better than the incumbent's own index.</w:t>
      </w:r>
    </w:p>
    <w:p>
      <w:pPr>
        <w:pStyle w:val="ListParagraph"/>
        <w:numPr>
          <w:ilvl w:val="0"/>
          <w:numId w:val="1"/>
        </w:numPr>
        <w:spacing w:after="80"/>
      </w:pPr>
      <w:r>
        <w:t xml:space="preserve">Displaced hitter: the teammate with the best batting rate (Batting Runs Above Average per PA) among bench-level players (80–350 approximate PA that season), excluding the incumbent and the DF candidate.</w:t>
      </w:r>
    </w:p>
    <w:p>
      <w:pPr>
        <w:spacing w:after="160"/>
      </w:pPr>
      <w:r>
        <w:t xml:space="preserve">The simulation then asks: what if the DF candidate took over the position defensively, the incumbent's plate-appearance volume were instead given to the displaced hitter, and everything else about the season stayed the same?</w:t>
      </w:r>
    </w:p>
    <w:p>
      <w:pPr>
        <w:spacing w:after="160"/>
      </w:pPr>
      <w:r>
        <w:rPr>
          <w:i/>
          <w:iCs/>
        </w:rPr>
        <w:t xml:space="preserve">Net Offensive Swap (runs) = (Displaced hitter's Batting Runs per PA − Incumbent's Batting Runs per PA) × Incumbent's actual PA</w:t>
      </w:r>
    </w:p>
    <w:p>
      <w:pPr>
        <w:spacing w:after="160"/>
      </w:pPr>
      <w:r>
        <w:t xml:space="preserve">This quantity is denominated entirely in real batting runs and requires no defensive-runs assumption at all. Because defense is deliberately not force-converted into runs (Section 3.2), the simulation also reports a Breakeven Defensive Runs Required: when the offensive swap alone is negative, this is the minimum defensive value (in whatever runs a defensive metric might eventually assign) the DF candidate would need to provide, above the incumbent's own defense, for the swap to be worthwhile overall. The Defensive_Index_Gap (unitless) between the two fielders is reported alongside as directional, non-quantified evidence for whether that breakeven plausibly clears — not as a substitute for it.</w:t>
      </w:r>
    </w:p>
    <w:p>
      <w:pPr>
        <w:spacing w:after="160"/>
      </w:pPr>
      <w:r>
        <w:t xml:space="preserve">This design directly answers the brief that motivated it: the individual metric is an input, reported for context, but it does not automatically determine the team-level answer. A team can have an excellent individual DF candidate on the roster and still show no viable swap, if no bench bat is available to receive the freed plate appearances — and conversely, a team's best swap can involve a merely decent defensive upgrade paired with an unusually strong bench bat.</w:t>
      </w:r>
    </w:p>
    <w:p>
      <w:pPr>
        <w:pStyle w:val="Heading1"/>
        <w:spacing w:after="120" w:before="240"/>
      </w:pPr>
      <w:r>
        <w:t xml:space="preserve">4. Results</w:t>
      </w:r>
    </w:p>
    <w:p>
      <w:pPr>
        <w:spacing w:after="160"/>
      </w:pPr>
      <w:r>
        <w:t xml:space="preserve">Of 3614 team-seasons in the Lahman database, 2,459 (68%) had at least one position with a viable DF swap under the eligibility rules above; most of the shortfall is concentrated in the 19th century, when rosters were too small to field a qualifying bench bat. Across all individually evaluated position-swaps (not just each team's single best), 71% already show a positive offensive swap before any defensive value is assumed — i.e., for most identified candidates, the freed-up bat alone outproduces the incumbent's bat, independent of whatever the defensive upgrade is worth.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400"/>
        <w:gridCol w:w="4000"/>
      </w:tblGrid>
      <w:tr>
        <w:tc>
          <w:tcPr>
            <w:tcW w:type="dxa" w:w="5400"/>
            <w:shd w:fill="2F2F2F" w:val="clear"/>
          </w:tcPr>
          <w:p>
            <w:r>
              <w:rPr>
                <w:b/>
                <w:bCs/>
                <w:color w:val="FFFFFF"/>
                <w:sz w:val="20"/>
                <w:szCs w:val="20"/>
              </w:rPr>
              <w:t xml:space="preserve">Metric</w:t>
            </w:r>
          </w:p>
        </w:tc>
        <w:tc>
          <w:tcPr>
            <w:tcW w:type="dxa" w:w="4000"/>
            <w:shd w:fill="2F2F2F" w:val="clear"/>
          </w:tcPr>
          <w:p>
            <w:r>
              <w:rPr>
                <w:b/>
                <w:bCs/>
                <w:color w:val="FFFFFF"/>
                <w:sz w:val="20"/>
                <w:szCs w:val="20"/>
              </w:rPr>
              <w:t xml:space="preserve">Value</w:t>
            </w:r>
          </w:p>
        </w:tc>
      </w:tr>
      <w:tr>
        <w:tc>
          <w:tcPr>
            <w:tcW w:type="dxa" w:w="5400"/>
          </w:tcPr>
          <w:p>
            <w:r>
              <w:rPr>
                <w:b w:val="false"/>
                <w:bCs w:val="false"/>
                <w:color w:val="000000"/>
                <w:sz w:val="20"/>
                <w:szCs w:val="20"/>
              </w:rPr>
              <w:t xml:space="preserve">Team-seasons with a viable swap</w:t>
            </w:r>
          </w:p>
        </w:tc>
        <w:tc>
          <w:tcPr>
            <w:tcW w:type="dxa" w:w="4000"/>
          </w:tcPr>
          <w:p>
            <w:r>
              <w:rPr>
                <w:b w:val="false"/>
                <w:bCs w:val="false"/>
                <w:color w:val="000000"/>
                <w:sz w:val="20"/>
                <w:szCs w:val="20"/>
              </w:rPr>
              <w:t xml:space="preserve">2,459 / 3,614 (68%)</w:t>
            </w:r>
          </w:p>
        </w:tc>
      </w:tr>
      <w:tr>
        <w:tc>
          <w:tcPr>
            <w:tcW w:type="dxa" w:w="5400"/>
          </w:tcPr>
          <w:p>
            <w:r>
              <w:rPr>
                <w:b w:val="false"/>
                <w:bCs w:val="false"/>
                <w:color w:val="000000"/>
                <w:sz w:val="20"/>
                <w:szCs w:val="20"/>
              </w:rPr>
              <w:t xml:space="preserve">Mean best-swap Net Offensive Runs</w:t>
            </w:r>
          </w:p>
        </w:tc>
        <w:tc>
          <w:tcPr>
            <w:tcW w:type="dxa" w:w="4000"/>
          </w:tcPr>
          <w:p>
            <w:r>
              <w:rPr>
                <w:b w:val="false"/>
                <w:bCs w:val="false"/>
                <w:color w:val="000000"/>
                <w:sz w:val="20"/>
                <w:szCs w:val="20"/>
              </w:rPr>
              <w:t xml:space="preserve">+16.6 runs</w:t>
            </w:r>
          </w:p>
        </w:tc>
      </w:tr>
      <w:tr>
        <w:tc>
          <w:tcPr>
            <w:tcW w:type="dxa" w:w="5400"/>
          </w:tcPr>
          <w:p>
            <w:r>
              <w:rPr>
                <w:b w:val="false"/>
                <w:bCs w:val="false"/>
                <w:color w:val="000000"/>
                <w:sz w:val="20"/>
                <w:szCs w:val="20"/>
              </w:rPr>
              <w:t xml:space="preserve">Median best-swap Net Offensive Runs</w:t>
            </w:r>
          </w:p>
        </w:tc>
        <w:tc>
          <w:tcPr>
            <w:tcW w:type="dxa" w:w="4000"/>
          </w:tcPr>
          <w:p>
            <w:r>
              <w:rPr>
                <w:b w:val="false"/>
                <w:bCs w:val="false"/>
                <w:color w:val="000000"/>
                <w:sz w:val="20"/>
                <w:szCs w:val="20"/>
              </w:rPr>
              <w:t xml:space="preserve">+17.2 runs</w:t>
            </w:r>
          </w:p>
        </w:tc>
      </w:tr>
      <w:tr>
        <w:tc>
          <w:tcPr>
            <w:tcW w:type="dxa" w:w="5400"/>
          </w:tcPr>
          <w:p>
            <w:r>
              <w:rPr>
                <w:b w:val="false"/>
                <w:bCs w:val="false"/>
                <w:color w:val="000000"/>
                <w:sz w:val="20"/>
                <w:szCs w:val="20"/>
              </w:rPr>
              <w:t xml:space="preserve">Best-swap runs, 1st–99th percentile range</w:t>
            </w:r>
          </w:p>
        </w:tc>
        <w:tc>
          <w:tcPr>
            <w:tcW w:type="dxa" w:w="4000"/>
          </w:tcPr>
          <w:p>
            <w:r>
              <w:rPr>
                <w:b w:val="false"/>
                <w:bCs w:val="false"/>
                <w:color w:val="000000"/>
                <w:sz w:val="20"/>
                <w:szCs w:val="20"/>
              </w:rPr>
              <w:t xml:space="preserve">−88.8 to +116.7 runs</w:t>
            </w:r>
          </w:p>
        </w:tc>
      </w:tr>
      <w:tr>
        <w:tc>
          <w:tcPr>
            <w:tcW w:type="dxa" w:w="5400"/>
          </w:tcPr>
          <w:p>
            <w:r>
              <w:rPr>
                <w:b w:val="false"/>
                <w:bCs w:val="false"/>
                <w:color w:val="000000"/>
                <w:sz w:val="20"/>
                <w:szCs w:val="20"/>
              </w:rPr>
              <w:t xml:space="preserve">Share of all evaluated swaps that are offense-positive</w:t>
            </w:r>
          </w:p>
        </w:tc>
        <w:tc>
          <w:tcPr>
            <w:tcW w:type="dxa" w:w="4000"/>
          </w:tcPr>
          <w:p>
            <w:r>
              <w:rPr>
                <w:b w:val="false"/>
                <w:bCs w:val="false"/>
                <w:color w:val="000000"/>
                <w:sz w:val="20"/>
                <w:szCs w:val="20"/>
              </w:rPr>
              <w:t xml:space="preserve">71%</w:t>
            </w:r>
          </w:p>
        </w:tc>
      </w:tr>
      <w:tr>
        <w:tc>
          <w:tcPr>
            <w:tcW w:type="dxa" w:w="5400"/>
          </w:tcPr>
          <w:p>
            <w:r>
              <w:rPr>
                <w:b w:val="false"/>
                <w:bCs w:val="false"/>
                <w:color w:val="000000"/>
                <w:sz w:val="20"/>
                <w:szCs w:val="20"/>
              </w:rPr>
              <w:t xml:space="preserve">Correlation: Net Offensive Swap vs. Defensive Index Gap</w:t>
            </w:r>
          </w:p>
        </w:tc>
        <w:tc>
          <w:tcPr>
            <w:tcW w:type="dxa" w:w="4000"/>
          </w:tcPr>
          <w:p>
            <w:r>
              <w:rPr>
                <w:b w:val="false"/>
                <w:bCs w:val="false"/>
                <w:color w:val="000000"/>
                <w:sz w:val="20"/>
                <w:szCs w:val="20"/>
              </w:rPr>
              <w:t xml:space="preserve">−0.058</w:t>
            </w:r>
          </w:p>
        </w:tc>
      </w:tr>
    </w:tbl>
    <w:p>
      <w:pPr>
        <w:spacing w:after="240"/>
      </w:pPr>
      <w:r>
        <w:rPr>
          <w:i/>
          <w:iCs/>
          <w:color w:val="555555"/>
          <w:sz w:val="20"/>
          <w:szCs w:val="20"/>
        </w:rPr>
        <w:t xml:space="preserve">Table 1. Summary statistics, team-level DF swap simulation, 1876–2025.</w:t>
      </w:r>
    </w:p>
    <w:p>
      <w:pPr>
        <w:spacing w:after="160"/>
      </w:pPr>
      <w:r>
        <w:t xml:space="preserve">Table 2 breaks the team's single best-available swap down by position. Outfield swaps are most common (partly an artifact of the data: many seasons record a single generic “OF” position rather than LF/CF/RF, enlarging that candidate pool), followed by catcher, shortstop, and second base — broadly the positions where defensive specialization and offensive replaceability are both historically common (backup catchers in particular are frequently kept for game-calling and defense alone).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900"/>
      </w:tblGrid>
      <w:tr>
        <w:tc>
          <w:tcPr>
            <w:tcW w:type="dxa" w:w="3000"/>
            <w:shd w:fill="2F2F2F" w:val="clear"/>
          </w:tcPr>
          <w:p>
            <w:r>
              <w:rPr>
                <w:b/>
                <w:bCs/>
                <w:color w:val="FFFFFF"/>
                <w:sz w:val="20"/>
                <w:szCs w:val="20"/>
              </w:rPr>
              <w:t xml:space="preserve">Position</w:t>
            </w:r>
          </w:p>
        </w:tc>
        <w:tc>
          <w:tcPr>
            <w:tcW w:type="dxa" w:w="4500"/>
            <w:shd w:fill="2F2F2F" w:val="clear"/>
          </w:tcPr>
          <w:p>
            <w:r>
              <w:rPr>
                <w:b/>
                <w:bCs/>
                <w:color w:val="FFFFFF"/>
                <w:sz w:val="20"/>
                <w:szCs w:val="20"/>
              </w:rPr>
              <w:t xml:space="preserve">Times it was the team's best swap</w:t>
            </w:r>
          </w:p>
        </w:tc>
        <w:tc>
          <w:tcPr>
            <w:tcW w:type="dxa" w:w="1900"/>
            <w:shd w:fill="2F2F2F" w:val="clear"/>
          </w:tcPr>
          <w:p>
            <w:r>
              <w:rPr>
                <w:b/>
                <w:bCs/>
                <w:color w:val="FFFFFF"/>
                <w:sz w:val="20"/>
                <w:szCs w:val="20"/>
              </w:rPr>
              <w:t xml:space="preserve">Share</w:t>
            </w:r>
          </w:p>
        </w:tc>
      </w:tr>
      <w:tr>
        <w:tc>
          <w:tcPr>
            <w:tcW w:type="dxa" w:w="3000"/>
          </w:tcPr>
          <w:p>
            <w:r>
              <w:rPr>
                <w:b w:val="false"/>
                <w:bCs w:val="false"/>
                <w:color w:val="000000"/>
                <w:sz w:val="20"/>
                <w:szCs w:val="20"/>
              </w:rPr>
              <w:t xml:space="preserve">OF</w:t>
            </w:r>
          </w:p>
        </w:tc>
        <w:tc>
          <w:tcPr>
            <w:tcW w:type="dxa" w:w="4500"/>
          </w:tcPr>
          <w:p>
            <w:r>
              <w:rPr>
                <w:b w:val="false"/>
                <w:bCs w:val="false"/>
                <w:color w:val="000000"/>
                <w:sz w:val="20"/>
                <w:szCs w:val="20"/>
              </w:rPr>
              <w:t xml:space="preserve">750</w:t>
            </w:r>
          </w:p>
        </w:tc>
        <w:tc>
          <w:tcPr>
            <w:tcW w:type="dxa" w:w="1900"/>
          </w:tcPr>
          <w:p>
            <w:r>
              <w:rPr>
                <w:b w:val="false"/>
                <w:bCs w:val="false"/>
                <w:color w:val="000000"/>
                <w:sz w:val="20"/>
                <w:szCs w:val="20"/>
              </w:rPr>
              <w:t xml:space="preserve">30.5%</w:t>
            </w:r>
          </w:p>
        </w:tc>
      </w:tr>
      <w:tr>
        <w:tc>
          <w:tcPr>
            <w:tcW w:type="dxa" w:w="3000"/>
          </w:tcPr>
          <w:p>
            <w:r>
              <w:rPr>
                <w:b w:val="false"/>
                <w:bCs w:val="false"/>
                <w:color w:val="000000"/>
                <w:sz w:val="20"/>
                <w:szCs w:val="20"/>
              </w:rPr>
              <w:t xml:space="preserve">C</w:t>
            </w:r>
          </w:p>
        </w:tc>
        <w:tc>
          <w:tcPr>
            <w:tcW w:type="dxa" w:w="4500"/>
          </w:tcPr>
          <w:p>
            <w:r>
              <w:rPr>
                <w:b w:val="false"/>
                <w:bCs w:val="false"/>
                <w:color w:val="000000"/>
                <w:sz w:val="20"/>
                <w:szCs w:val="20"/>
              </w:rPr>
              <w:t xml:space="preserve">505</w:t>
            </w:r>
          </w:p>
        </w:tc>
        <w:tc>
          <w:tcPr>
            <w:tcW w:type="dxa" w:w="1900"/>
          </w:tcPr>
          <w:p>
            <w:r>
              <w:rPr>
                <w:b w:val="false"/>
                <w:bCs w:val="false"/>
                <w:color w:val="000000"/>
                <w:sz w:val="20"/>
                <w:szCs w:val="20"/>
              </w:rPr>
              <w:t xml:space="preserve">20.5%</w:t>
            </w:r>
          </w:p>
        </w:tc>
      </w:tr>
      <w:tr>
        <w:tc>
          <w:tcPr>
            <w:tcW w:type="dxa" w:w="3000"/>
          </w:tcPr>
          <w:p>
            <w:r>
              <w:rPr>
                <w:b w:val="false"/>
                <w:bCs w:val="false"/>
                <w:color w:val="000000"/>
                <w:sz w:val="20"/>
                <w:szCs w:val="20"/>
              </w:rPr>
              <w:t xml:space="preserve">SS</w:t>
            </w:r>
          </w:p>
        </w:tc>
        <w:tc>
          <w:tcPr>
            <w:tcW w:type="dxa" w:w="4500"/>
          </w:tcPr>
          <w:p>
            <w:r>
              <w:rPr>
                <w:b w:val="false"/>
                <w:bCs w:val="false"/>
                <w:color w:val="000000"/>
                <w:sz w:val="20"/>
                <w:szCs w:val="20"/>
              </w:rPr>
              <w:t xml:space="preserve">380</w:t>
            </w:r>
          </w:p>
        </w:tc>
        <w:tc>
          <w:tcPr>
            <w:tcW w:type="dxa" w:w="1900"/>
          </w:tcPr>
          <w:p>
            <w:r>
              <w:rPr>
                <w:b w:val="false"/>
                <w:bCs w:val="false"/>
                <w:color w:val="000000"/>
                <w:sz w:val="20"/>
                <w:szCs w:val="20"/>
              </w:rPr>
              <w:t xml:space="preserve">15.5%</w:t>
            </w:r>
          </w:p>
        </w:tc>
      </w:tr>
      <w:tr>
        <w:tc>
          <w:tcPr>
            <w:tcW w:type="dxa" w:w="3000"/>
          </w:tcPr>
          <w:p>
            <w:r>
              <w:rPr>
                <w:b w:val="false"/>
                <w:bCs w:val="false"/>
                <w:color w:val="000000"/>
                <w:sz w:val="20"/>
                <w:szCs w:val="20"/>
              </w:rPr>
              <w:t xml:space="preserve">2B</w:t>
            </w:r>
          </w:p>
        </w:tc>
        <w:tc>
          <w:tcPr>
            <w:tcW w:type="dxa" w:w="4500"/>
          </w:tcPr>
          <w:p>
            <w:r>
              <w:rPr>
                <w:b w:val="false"/>
                <w:bCs w:val="false"/>
                <w:color w:val="000000"/>
                <w:sz w:val="20"/>
                <w:szCs w:val="20"/>
              </w:rPr>
              <w:t xml:space="preserve">345</w:t>
            </w:r>
          </w:p>
        </w:tc>
        <w:tc>
          <w:tcPr>
            <w:tcW w:type="dxa" w:w="1900"/>
          </w:tcPr>
          <w:p>
            <w:r>
              <w:rPr>
                <w:b w:val="false"/>
                <w:bCs w:val="false"/>
                <w:color w:val="000000"/>
                <w:sz w:val="20"/>
                <w:szCs w:val="20"/>
              </w:rPr>
              <w:t xml:space="preserve">14.0%</w:t>
            </w:r>
          </w:p>
        </w:tc>
      </w:tr>
      <w:tr>
        <w:tc>
          <w:tcPr>
            <w:tcW w:type="dxa" w:w="3000"/>
          </w:tcPr>
          <w:p>
            <w:r>
              <w:rPr>
                <w:b w:val="false"/>
                <w:bCs w:val="false"/>
                <w:color w:val="000000"/>
                <w:sz w:val="20"/>
                <w:szCs w:val="20"/>
              </w:rPr>
              <w:t xml:space="preserve">3B</w:t>
            </w:r>
          </w:p>
        </w:tc>
        <w:tc>
          <w:tcPr>
            <w:tcW w:type="dxa" w:w="4500"/>
          </w:tcPr>
          <w:p>
            <w:r>
              <w:rPr>
                <w:b w:val="false"/>
                <w:bCs w:val="false"/>
                <w:color w:val="000000"/>
                <w:sz w:val="20"/>
                <w:szCs w:val="20"/>
              </w:rPr>
              <w:t xml:space="preserve">282</w:t>
            </w:r>
          </w:p>
        </w:tc>
        <w:tc>
          <w:tcPr>
            <w:tcW w:type="dxa" w:w="1900"/>
          </w:tcPr>
          <w:p>
            <w:r>
              <w:rPr>
                <w:b w:val="false"/>
                <w:bCs w:val="false"/>
                <w:color w:val="000000"/>
                <w:sz w:val="20"/>
                <w:szCs w:val="20"/>
              </w:rPr>
              <w:t xml:space="preserve">11.5%</w:t>
            </w:r>
          </w:p>
        </w:tc>
      </w:tr>
      <w:tr>
        <w:tc>
          <w:tcPr>
            <w:tcW w:type="dxa" w:w="3000"/>
          </w:tcPr>
          <w:p>
            <w:r>
              <w:rPr>
                <w:b w:val="false"/>
                <w:bCs w:val="false"/>
                <w:color w:val="000000"/>
                <w:sz w:val="20"/>
                <w:szCs w:val="20"/>
              </w:rPr>
              <w:t xml:space="preserve">1B</w:t>
            </w:r>
          </w:p>
        </w:tc>
        <w:tc>
          <w:tcPr>
            <w:tcW w:type="dxa" w:w="4500"/>
          </w:tcPr>
          <w:p>
            <w:r>
              <w:rPr>
                <w:b w:val="false"/>
                <w:bCs w:val="false"/>
                <w:color w:val="000000"/>
                <w:sz w:val="20"/>
                <w:szCs w:val="20"/>
              </w:rPr>
              <w:t xml:space="preserve">197</w:t>
            </w:r>
          </w:p>
        </w:tc>
        <w:tc>
          <w:tcPr>
            <w:tcW w:type="dxa" w:w="1900"/>
          </w:tcPr>
          <w:p>
            <w:r>
              <w:rPr>
                <w:b w:val="false"/>
                <w:bCs w:val="false"/>
                <w:color w:val="000000"/>
                <w:sz w:val="20"/>
                <w:szCs w:val="20"/>
              </w:rPr>
              <w:t xml:space="preserve">8.0%</w:t>
            </w:r>
          </w:p>
        </w:tc>
      </w:tr>
    </w:tbl>
    <w:p>
      <w:pPr>
        <w:spacing w:after="240"/>
      </w:pPr>
      <w:r>
        <w:rPr>
          <w:i/>
          <w:iCs/>
          <w:color w:val="555555"/>
          <w:sz w:val="20"/>
          <w:szCs w:val="20"/>
        </w:rPr>
        <w:t xml:space="preserve">Table 2. Position of each team-season's single best-available DF swap.</w:t>
      </w:r>
    </w:p>
    <w:p>
      <w:pPr>
        <w:spacing w:after="160"/>
      </w:pPr>
      <w:r>
        <w:t xml:space="preserve">Best-swap value has trended upward over time (Table 3), from roughly +9 to +12 runs per team-season before 1920 to roughly +19 to +20 runs per team-season since 1990. This is consistent with larger 25–26-man rosters creating deeper, more specialized benches from which a genuine bench bat can be drawn — the mechanism the simulation is designed to detect — rather than any change in the underlying offense/defense trade-off itself.</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800"/>
      </w:tblGrid>
      <w:tr>
        <w:tc>
          <w:tcPr>
            <w:tcW w:type="dxa" w:w="2200"/>
            <w:shd w:fill="2F2F2F" w:val="clear"/>
          </w:tcPr>
          <w:p>
            <w:r>
              <w:rPr>
                <w:b/>
                <w:bCs/>
                <w:color w:val="FFFFFF"/>
                <w:sz w:val="20"/>
                <w:szCs w:val="20"/>
              </w:rPr>
              <w:t xml:space="preserve">Decade</w:t>
            </w:r>
          </w:p>
        </w:tc>
        <w:tc>
          <w:tcPr>
            <w:tcW w:type="dxa" w:w="3400"/>
            <w:shd w:fill="2F2F2F" w:val="clear"/>
          </w:tcPr>
          <w:p>
            <w:r>
              <w:rPr>
                <w:b/>
                <w:bCs/>
                <w:color w:val="FFFFFF"/>
                <w:sz w:val="20"/>
                <w:szCs w:val="20"/>
              </w:rPr>
              <w:t xml:space="preserve">Mean best-swap runs</w:t>
            </w:r>
          </w:p>
        </w:tc>
        <w:tc>
          <w:tcPr>
            <w:tcW w:type="dxa" w:w="2800"/>
            <w:shd w:fill="2F2F2F" w:val="clear"/>
          </w:tcPr>
          <w:p>
            <w:r>
              <w:rPr>
                <w:b/>
                <w:bCs/>
                <w:color w:val="FFFFFF"/>
                <w:sz w:val="20"/>
                <w:szCs w:val="20"/>
              </w:rPr>
              <w:t xml:space="preserve">Team-seasons</w:t>
            </w:r>
          </w:p>
        </w:tc>
      </w:tr>
      <w:tr>
        <w:tc>
          <w:tcPr>
            <w:tcW w:type="dxa" w:w="2200"/>
          </w:tcPr>
          <w:p>
            <w:r>
              <w:rPr>
                <w:b w:val="false"/>
                <w:bCs w:val="false"/>
                <w:color w:val="000000"/>
                <w:sz w:val="20"/>
                <w:szCs w:val="20"/>
              </w:rPr>
              <w:t xml:space="preserve">1870s</w:t>
            </w:r>
          </w:p>
        </w:tc>
        <w:tc>
          <w:tcPr>
            <w:tcW w:type="dxa" w:w="3400"/>
          </w:tcPr>
          <w:p>
            <w:r>
              <w:rPr>
                <w:b w:val="false"/>
                <w:bCs w:val="false"/>
                <w:color w:val="000000"/>
                <w:sz w:val="20"/>
                <w:szCs w:val="20"/>
              </w:rPr>
              <w:t xml:space="preserve">+9.6</w:t>
            </w:r>
          </w:p>
        </w:tc>
        <w:tc>
          <w:tcPr>
            <w:tcW w:type="dxa" w:w="2800"/>
          </w:tcPr>
          <w:p>
            <w:r>
              <w:rPr>
                <w:b w:val="false"/>
                <w:bCs w:val="false"/>
                <w:color w:val="000000"/>
                <w:sz w:val="20"/>
                <w:szCs w:val="20"/>
              </w:rPr>
              <w:t xml:space="preserve">23</w:t>
            </w:r>
          </w:p>
        </w:tc>
      </w:tr>
      <w:tr>
        <w:tc>
          <w:tcPr>
            <w:tcW w:type="dxa" w:w="2200"/>
          </w:tcPr>
          <w:p>
            <w:r>
              <w:rPr>
                <w:b w:val="false"/>
                <w:bCs w:val="false"/>
                <w:color w:val="000000"/>
                <w:sz w:val="20"/>
                <w:szCs w:val="20"/>
              </w:rPr>
              <w:t xml:space="preserve">1880s</w:t>
            </w:r>
          </w:p>
        </w:tc>
        <w:tc>
          <w:tcPr>
            <w:tcW w:type="dxa" w:w="3400"/>
          </w:tcPr>
          <w:p>
            <w:r>
              <w:rPr>
                <w:b w:val="false"/>
                <w:bCs w:val="false"/>
                <w:color w:val="000000"/>
                <w:sz w:val="20"/>
                <w:szCs w:val="20"/>
              </w:rPr>
              <w:t xml:space="preserve">+9.6</w:t>
            </w:r>
          </w:p>
        </w:tc>
        <w:tc>
          <w:tcPr>
            <w:tcW w:type="dxa" w:w="2800"/>
          </w:tcPr>
          <w:p>
            <w:r>
              <w:rPr>
                <w:b w:val="false"/>
                <w:bCs w:val="false"/>
                <w:color w:val="000000"/>
                <w:sz w:val="20"/>
                <w:szCs w:val="20"/>
              </w:rPr>
              <w:t xml:space="preserve">129</w:t>
            </w:r>
          </w:p>
        </w:tc>
      </w:tr>
      <w:tr>
        <w:tc>
          <w:tcPr>
            <w:tcW w:type="dxa" w:w="2200"/>
          </w:tcPr>
          <w:p>
            <w:r>
              <w:rPr>
                <w:b w:val="false"/>
                <w:bCs w:val="false"/>
                <w:color w:val="000000"/>
                <w:sz w:val="20"/>
                <w:szCs w:val="20"/>
              </w:rPr>
              <w:t xml:space="preserve">1890s</w:t>
            </w:r>
          </w:p>
        </w:tc>
        <w:tc>
          <w:tcPr>
            <w:tcW w:type="dxa" w:w="3400"/>
          </w:tcPr>
          <w:p>
            <w:r>
              <w:rPr>
                <w:b w:val="false"/>
                <w:bCs w:val="false"/>
                <w:color w:val="000000"/>
                <w:sz w:val="20"/>
                <w:szCs w:val="20"/>
              </w:rPr>
              <w:t xml:space="preserve">+11.7</w:t>
            </w:r>
          </w:p>
        </w:tc>
        <w:tc>
          <w:tcPr>
            <w:tcW w:type="dxa" w:w="2800"/>
          </w:tcPr>
          <w:p>
            <w:r>
              <w:rPr>
                <w:b w:val="false"/>
                <w:bCs w:val="false"/>
                <w:color w:val="000000"/>
                <w:sz w:val="20"/>
                <w:szCs w:val="20"/>
              </w:rPr>
              <w:t xml:space="preserve">126</w:t>
            </w:r>
          </w:p>
        </w:tc>
      </w:tr>
      <w:tr>
        <w:tc>
          <w:tcPr>
            <w:tcW w:type="dxa" w:w="2200"/>
          </w:tcPr>
          <w:p>
            <w:r>
              <w:rPr>
                <w:b w:val="false"/>
                <w:bCs w:val="false"/>
                <w:color w:val="000000"/>
                <w:sz w:val="20"/>
                <w:szCs w:val="20"/>
              </w:rPr>
              <w:t xml:space="preserve">1900s</w:t>
            </w:r>
          </w:p>
        </w:tc>
        <w:tc>
          <w:tcPr>
            <w:tcW w:type="dxa" w:w="3400"/>
          </w:tcPr>
          <w:p>
            <w:r>
              <w:rPr>
                <w:b w:val="false"/>
                <w:bCs w:val="false"/>
                <w:color w:val="000000"/>
                <w:sz w:val="20"/>
                <w:szCs w:val="20"/>
              </w:rPr>
              <w:t xml:space="preserve">+11.9</w:t>
            </w:r>
          </w:p>
        </w:tc>
        <w:tc>
          <w:tcPr>
            <w:tcW w:type="dxa" w:w="2800"/>
          </w:tcPr>
          <w:p>
            <w:r>
              <w:rPr>
                <w:b w:val="false"/>
                <w:bCs w:val="false"/>
                <w:color w:val="000000"/>
                <w:sz w:val="20"/>
                <w:szCs w:val="20"/>
              </w:rPr>
              <w:t xml:space="preserve">149</w:t>
            </w:r>
          </w:p>
        </w:tc>
      </w:tr>
      <w:tr>
        <w:tc>
          <w:tcPr>
            <w:tcW w:type="dxa" w:w="2200"/>
          </w:tcPr>
          <w:p>
            <w:r>
              <w:rPr>
                <w:b w:val="false"/>
                <w:bCs w:val="false"/>
                <w:color w:val="000000"/>
                <w:sz w:val="20"/>
                <w:szCs w:val="20"/>
              </w:rPr>
              <w:t xml:space="preserve">1950s</w:t>
            </w:r>
          </w:p>
        </w:tc>
        <w:tc>
          <w:tcPr>
            <w:tcW w:type="dxa" w:w="3400"/>
          </w:tcPr>
          <w:p>
            <w:r>
              <w:rPr>
                <w:b w:val="false"/>
                <w:bCs w:val="false"/>
                <w:color w:val="000000"/>
                <w:sz w:val="20"/>
                <w:szCs w:val="20"/>
              </w:rPr>
              <w:t xml:space="preserve">+16.0</w:t>
            </w:r>
          </w:p>
        </w:tc>
        <w:tc>
          <w:tcPr>
            <w:tcW w:type="dxa" w:w="2800"/>
          </w:tcPr>
          <w:p>
            <w:r>
              <w:rPr>
                <w:b w:val="false"/>
                <w:bCs w:val="false"/>
                <w:color w:val="000000"/>
                <w:sz w:val="20"/>
                <w:szCs w:val="20"/>
              </w:rPr>
              <w:t xml:space="preserve">90</w:t>
            </w:r>
          </w:p>
        </w:tc>
      </w:tr>
      <w:tr>
        <w:tc>
          <w:tcPr>
            <w:tcW w:type="dxa" w:w="2200"/>
          </w:tcPr>
          <w:p>
            <w:r>
              <w:rPr>
                <w:b w:val="false"/>
                <w:bCs w:val="false"/>
                <w:color w:val="000000"/>
                <w:sz w:val="20"/>
                <w:szCs w:val="20"/>
              </w:rPr>
              <w:t xml:space="preserve">1980s</w:t>
            </w:r>
          </w:p>
        </w:tc>
        <w:tc>
          <w:tcPr>
            <w:tcW w:type="dxa" w:w="3400"/>
          </w:tcPr>
          <w:p>
            <w:r>
              <w:rPr>
                <w:b w:val="false"/>
                <w:bCs w:val="false"/>
                <w:color w:val="000000"/>
                <w:sz w:val="20"/>
                <w:szCs w:val="20"/>
              </w:rPr>
              <w:t xml:space="preserve">+18.9</w:t>
            </w:r>
          </w:p>
        </w:tc>
        <w:tc>
          <w:tcPr>
            <w:tcW w:type="dxa" w:w="2800"/>
          </w:tcPr>
          <w:p>
            <w:r>
              <w:rPr>
                <w:b w:val="false"/>
                <w:bCs w:val="false"/>
                <w:color w:val="000000"/>
                <w:sz w:val="20"/>
                <w:szCs w:val="20"/>
              </w:rPr>
              <w:t xml:space="preserve">251</w:t>
            </w:r>
          </w:p>
        </w:tc>
      </w:tr>
      <w:tr>
        <w:tc>
          <w:tcPr>
            <w:tcW w:type="dxa" w:w="2200"/>
          </w:tcPr>
          <w:p>
            <w:r>
              <w:rPr>
                <w:b w:val="false"/>
                <w:bCs w:val="false"/>
                <w:color w:val="000000"/>
                <w:sz w:val="20"/>
                <w:szCs w:val="20"/>
              </w:rPr>
              <w:t xml:space="preserve">2000s</w:t>
            </w:r>
          </w:p>
        </w:tc>
        <w:tc>
          <w:tcPr>
            <w:tcW w:type="dxa" w:w="3400"/>
          </w:tcPr>
          <w:p>
            <w:r>
              <w:rPr>
                <w:b w:val="false"/>
                <w:bCs w:val="false"/>
                <w:color w:val="000000"/>
                <w:sz w:val="20"/>
                <w:szCs w:val="20"/>
              </w:rPr>
              <w:t xml:space="preserve">+20.5</w:t>
            </w:r>
          </w:p>
        </w:tc>
        <w:tc>
          <w:tcPr>
            <w:tcW w:type="dxa" w:w="2800"/>
          </w:tcPr>
          <w:p>
            <w:r>
              <w:rPr>
                <w:b w:val="false"/>
                <w:bCs w:val="false"/>
                <w:color w:val="000000"/>
                <w:sz w:val="20"/>
                <w:szCs w:val="20"/>
              </w:rPr>
              <w:t xml:space="preserve">293</w:t>
            </w:r>
          </w:p>
        </w:tc>
      </w:tr>
      <w:tr>
        <w:tc>
          <w:tcPr>
            <w:tcW w:type="dxa" w:w="2200"/>
          </w:tcPr>
          <w:p>
            <w:r>
              <w:rPr>
                <w:b w:val="false"/>
                <w:bCs w:val="false"/>
                <w:color w:val="000000"/>
                <w:sz w:val="20"/>
                <w:szCs w:val="20"/>
              </w:rPr>
              <w:t xml:space="preserve">2010s</w:t>
            </w:r>
          </w:p>
        </w:tc>
        <w:tc>
          <w:tcPr>
            <w:tcW w:type="dxa" w:w="3400"/>
          </w:tcPr>
          <w:p>
            <w:r>
              <w:rPr>
                <w:b w:val="false"/>
                <w:bCs w:val="false"/>
                <w:color w:val="000000"/>
                <w:sz w:val="20"/>
                <w:szCs w:val="20"/>
              </w:rPr>
              <w:t xml:space="preserve">+19.3</w:t>
            </w:r>
          </w:p>
        </w:tc>
        <w:tc>
          <w:tcPr>
            <w:tcW w:type="dxa" w:w="2800"/>
          </w:tcPr>
          <w:p>
            <w:r>
              <w:rPr>
                <w:b w:val="false"/>
                <w:bCs w:val="false"/>
                <w:color w:val="000000"/>
                <w:sz w:val="20"/>
                <w:szCs w:val="20"/>
              </w:rPr>
              <w:t xml:space="preserve">290</w:t>
            </w:r>
          </w:p>
        </w:tc>
      </w:tr>
      <w:tr>
        <w:tc>
          <w:tcPr>
            <w:tcW w:type="dxa" w:w="2200"/>
          </w:tcPr>
          <w:p>
            <w:r>
              <w:rPr>
                <w:b w:val="false"/>
                <w:bCs w:val="false"/>
                <w:color w:val="000000"/>
                <w:sz w:val="20"/>
                <w:szCs w:val="20"/>
              </w:rPr>
              <w:t xml:space="preserve">2020s</w:t>
            </w:r>
          </w:p>
        </w:tc>
        <w:tc>
          <w:tcPr>
            <w:tcW w:type="dxa" w:w="3400"/>
          </w:tcPr>
          <w:p>
            <w:r>
              <w:rPr>
                <w:b w:val="false"/>
                <w:bCs w:val="false"/>
                <w:color w:val="000000"/>
                <w:sz w:val="20"/>
                <w:szCs w:val="20"/>
              </w:rPr>
              <w:t xml:space="preserve">+18.7</w:t>
            </w:r>
          </w:p>
        </w:tc>
        <w:tc>
          <w:tcPr>
            <w:tcW w:type="dxa" w:w="2800"/>
          </w:tcPr>
          <w:p>
            <w:r>
              <w:rPr>
                <w:b w:val="false"/>
                <w:bCs w:val="false"/>
                <w:color w:val="000000"/>
                <w:sz w:val="20"/>
                <w:szCs w:val="20"/>
              </w:rPr>
              <w:t xml:space="preserve">174</w:t>
            </w:r>
          </w:p>
        </w:tc>
      </w:tr>
    </w:tbl>
    <w:p>
      <w:pPr>
        <w:spacing w:after="240"/>
      </w:pPr>
      <w:r>
        <w:rPr>
          <w:i/>
          <w:iCs/>
          <w:color w:val="555555"/>
          <w:sz w:val="20"/>
          <w:szCs w:val="20"/>
        </w:rPr>
        <w:t xml:space="preserve">Table 3. Selected decades, mean best-swap Net Offensive Runs.</w:t>
      </w:r>
    </w:p>
    <w:p>
      <w:pPr>
        <w:spacing w:after="160"/>
      </w:pPr>
      <w:r>
        <w:t xml:space="preserve">The near-zero correlation (−0.058) between a team-season's Net Offensive Swap and its Defensive_Index_Gap is the paper's central methodological finding: how much a team stands to gain from a DF swap is driven overwhelmingly by whether it has an underused bat on the bench, not by how much better the DF candidate fields than the incumbent. This is exactly why the brief that motivated this design insisted on keeping the individual suitability index and the team-level simulation separate — collapsing them into one automatically-computed score would have hidden this result rather than revealed it.</w:t>
      </w:r>
    </w:p>
    <w:p>
      <w:r>
        <w:br w:type="page"/>
      </w:r>
    </w:p>
    <w:p>
      <w:pPr>
        <w:pStyle w:val="Heading1"/>
        <w:spacing w:after="120" w:before="240"/>
      </w:pPr>
      <w:r>
        <w:t xml:space="preserve">5. Selected cases</w:t>
      </w:r>
    </w:p>
    <w:p>
      <w:pPr>
        <w:spacing w:after="160"/>
      </w:pPr>
      <w:r>
        <w:t xml:space="preserve">1985 St. Louis Cardinals (outfield): incumbent Vince Coleman (692 PA, roughly average bat that year) would be replaced defensively by Tito Landrum (the superior outfield glove in limited time), with Cesar Cedeno — who managed only 82 PA that season but produced at an elite rate — receiving Coleman's plate appearances. Modeled gain: +116.7 runs, the largest in the sample.</w:t>
      </w:r>
    </w:p>
    <w:p>
      <w:pPr>
        <w:spacing w:after="160"/>
      </w:pPr>
      <w:r>
        <w:t xml:space="preserve">2000 St. Louis Cardinals (three separate positions — catcher, shortstop, and first base all identify Mark McGwire as the ideal displaced hitter): McGwire was traded to St. Louis mid-2000 and totaled only 321 PA with the team despite an elite per-PA batting rate, which is exactly the kind of “bench-level PA” signature the model looks for. This is a genuine limitation, discussed in Section 6: some “displaced hitters” identified by the model are not underused because of a defensive weakness at all, but because of a trade or injury that truncated their season. The model cannot yet distinguish “underused because he can't field” from “underused because he wasn't on the team all year.”</w:t>
      </w:r>
    </w:p>
    <w:p>
      <w:pPr>
        <w:pStyle w:val="Heading1"/>
        <w:spacing w:after="120" w:before="240"/>
      </w:pPr>
      <w:r>
        <w:t xml:space="preserve">6. Limitations</w:t>
      </w:r>
    </w:p>
    <w:p>
      <w:pPr>
        <w:pStyle w:val="ListParagraph"/>
        <w:numPr>
          <w:ilvl w:val="0"/>
          <w:numId w:val="1"/>
        </w:numPr>
        <w:spacing w:after="80"/>
      </w:pPr>
      <w:r>
        <w:t xml:space="preserve">Defense is not, and should not be, expressed in runs from this dataset alone; the Defensive_Index is a relative standing, not a value. Any reader tempted to multiply it by a runs-per-win constant should reread Section 3.2.</w:t>
      </w:r>
    </w:p>
    <w:p>
      <w:pPr>
        <w:pStyle w:val="ListParagraph"/>
        <w:numPr>
          <w:ilvl w:val="0"/>
          <w:numId w:val="1"/>
        </w:numPr>
        <w:spacing w:after="80"/>
      </w:pPr>
      <w:r>
        <w:t xml:space="preserve">The “bench-level PA” window (80–350 approximate PA) used to identify a displaced hitter cannot distinguish a genuine defense-limited bench bat from a player who simply missed most of the season to trade, injury, or late call-up (see the McGwire cases). A future version should condition on the player's PA in surrounding seasons to separate these cases out.</w:t>
      </w:r>
    </w:p>
    <w:p>
      <w:pPr>
        <w:pStyle w:val="ListParagraph"/>
        <w:numPr>
          <w:ilvl w:val="0"/>
          <w:numId w:val="1"/>
        </w:numPr>
        <w:spacing w:after="80"/>
      </w:pPr>
      <w:r>
        <w:t xml:space="preserve">Range Factor, even standardized within position-season, still mixes fielder skill with team/park context that only play-by-play data can fully separate; the standardization narrows but does not eliminate this.</w:t>
      </w:r>
    </w:p>
    <w:p>
      <w:pPr>
        <w:pStyle w:val="ListParagraph"/>
        <w:numPr>
          <w:ilvl w:val="0"/>
          <w:numId w:val="1"/>
        </w:numPr>
        <w:spacing w:after="80"/>
      </w:pPr>
      <w:r>
        <w:t xml:space="preserve">Positions are taken as recorded in Lahman; many pre-1954 (and some later) seasons record a generic “OF” rather than LF/CF/RF, which inflates the outfield candidate pool relative to the infield and should temper the position-frequency result in Table 2.</w:t>
      </w:r>
    </w:p>
    <w:p>
      <w:pPr>
        <w:pStyle w:val="ListParagraph"/>
        <w:numPr>
          <w:ilvl w:val="0"/>
          <w:numId w:val="1"/>
        </w:numPr>
        <w:spacing w:after="80"/>
      </w:pPr>
      <w:r>
        <w:t xml:space="preserve">The simulation assumes the displaced hitter would have received exactly the incumbent's own plate-appearance volume with no change in performance, and ignores any bench catcher/backup usage patterns, all of which is a simplifying, stated assumption rather than a claim about what actually would have happened.</w:t>
      </w:r>
    </w:p>
    <w:p>
      <w:pPr>
        <w:pStyle w:val="Heading1"/>
        <w:spacing w:after="120" w:before="240"/>
      </w:pPr>
      <w:r>
        <w:t xml:space="preserve">7. Conclusion</w:t>
      </w:r>
    </w:p>
    <w:p>
      <w:pPr>
        <w:spacing w:after="160"/>
      </w:pPr>
      <w:r>
        <w:t xml:space="preserve">Baseball adopted the designated hitter and never seriously considered its mirror image, but the Lahman data supports building a defensible, honestly-scoped counterfactual for what a designated fielder rule might have been worth. Individually, hundreds of player-seasons across baseball history combine well-above-average defense with a genuinely weak bat — exactly the profile a DF rule was built for. At the team level, roughly two-thirds of all team-seasons since 1876 had a viable DF swap available on their own bench, worth an average of roughly 17 runs (about 1.5–2 wins) in the best case — and that value is driven far more by whether a team had an underused bat sitting on its bench than by how much better its best defensive replacement fielded. The two questions — who looks like a DF, and how much would a team actually gain — are related but distinct, and this paper's central empirical result is that they are almost uncorrelated.</w:t>
      </w:r>
    </w:p>
    <w:p>
      <w:pPr>
        <w:pStyle w:val="Heading1"/>
        <w:spacing w:after="120" w:before="240"/>
      </w:pPr>
      <w:r>
        <w:t xml:space="preserve">References</w:t>
      </w:r>
    </w:p>
    <w:p>
      <w:pPr>
        <w:spacing w:after="160"/>
      </w:pPr>
      <w:r>
        <w:t xml:space="preserve">Thorn, J. &amp; Palmer, P. (1984). The Hidden Game of Baseball. Doubleday.</w:t>
      </w:r>
    </w:p>
    <w:p>
      <w:pPr>
        <w:spacing w:after="160"/>
      </w:pPr>
      <w:r>
        <w:t xml:space="preserve">Sean Lahman Baseball Database / SABR, 1871–2025 release (December 10, 2025).</w:t>
      </w:r>
    </w:p>
    <w:p>
      <w:pPr>
        <w:spacing w:after="160"/>
      </w:pPr>
      <w:r>
        <w:t xml:space="preserve">James, B. Range Factor (concept), various editions of the Bill James Baseball Abstract.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2026-09-26T23:09:10.052Z</dcterms:created>
  <dcterms:modified xsi:type="dcterms:W3CDTF">2026-09-26T23:09:10.061Z</dcterms:modified>
</cp:coreProperties>
</file>

<file path=docProps/custom.xml><?xml version="1.0" encoding="utf-8"?>
<Properties xmlns="http://schemas.openxmlformats.org/officeDocument/2006/custom-properties" xmlns:vt="http://schemas.openxmlformats.org/officeDocument/2006/docPropsVTypes"/>
</file>