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left"/>
      </w:pPr>
      <w:r>
        <w:rPr>
          <w:rFonts w:ascii="Arial" w:cs="Arial" w:eastAsia="Arial" w:hAnsi="Arial"/>
          <w:b/>
          <w:bCs/>
          <w:color w:val="0B3D66"/>
          <w:sz w:val="72"/>
          <w:szCs w:val="72"/>
        </w:rPr>
        <w:t xml:space="preserve">EVA</w:t>
      </w:r>
    </w:p>
    <w:p>
      <w:pPr>
        <w:spacing w:after="320"/>
      </w:pPr>
      <w:r>
        <w:rPr>
          <w:rFonts w:ascii="Arial" w:cs="Arial" w:eastAsia="Arial" w:hAnsi="Arial"/>
          <w:b/>
          <w:bCs/>
          <w:color w:val="0D1B2A"/>
          <w:sz w:val="36"/>
          <w:szCs w:val="36"/>
        </w:rPr>
        <w:t xml:space="preserve">Elo Value Added</w:t>
      </w:r>
    </w:p>
    <w:p>
      <w:pPr>
        <w:spacing w:after="40"/>
      </w:pPr>
      <w:r>
        <w:rPr>
          <w:i/>
          <w:iCs/>
          <w:color w:val="647082"/>
          <w:sz w:val="24"/>
          <w:szCs w:val="24"/>
        </w:rPr>
        <w:t xml:space="preserve">A Cross-Era Framework for Measuring Performance Relative to Expectation in NHL History, 1917–2023</w:t>
      </w:r>
    </w:p>
    <w:p>
      <w:pPr>
        <w:spacing w:after="20" w:before="400"/>
      </w:pPr>
      <w:r>
        <w:rPr>
          <w:color w:val="647082"/>
          <w:sz w:val="20"/>
          <w:szCs w:val="20"/>
        </w:rPr>
        <w:t xml:space="preserve">Statistic version 1.0</w:t>
      </w:r>
    </w:p>
    <w:p>
      <w:pPr>
        <w:spacing w:after="20"/>
      </w:pPr>
      <w:r>
        <w:rPr>
          <w:color w:val="647082"/>
          <w:sz w:val="20"/>
          <w:szCs w:val="20"/>
        </w:rPr>
        <w:t xml:space="preserve">Data source: NHL ELO Odyssey (66,118 games, 40 franchises, 1917-12-19–2023-06-13)</w:t>
      </w:r>
    </w:p>
    <w:p>
      <w:r>
        <w:br w:type="page"/>
      </w:r>
    </w:p>
    <w:p>
      <w:pPr>
        <w:pStyle w:val="Heading1"/>
        <w:spacing w:after="160" w:before="320"/>
      </w:pPr>
      <w:r>
        <w:t xml:space="preserve">Abstract</w:t>
      </w:r>
    </w:p>
    <w:p>
      <w:pPr>
        <w:spacing w:after="160" w:line="288"/>
      </w:pPr>
      <w:r>
        <w:rPr>
          <w:sz w:val="22"/>
          <w:szCs w:val="22"/>
        </w:rPr>
        <w:t xml:space="preserve">Pregame Elo ratings answer "how good is this team." They do not answer whether a team is converting that quality into standings points at the rate its own rating implies. We introduce EVA (Elo Value Added), a game-level statistic equal to a team’s actual standings points earned minus the points its pregame Elo rating implied it should earn, aggregated to the season and career level. Applying EVA to 106 seasons of NHL play (1917–2023, 66,118 games) surfaces a genuine data artifact: the source dataset’s expected-points formula assumes a modern three-point game structure retroactively for every season, which biases raw EVA by roughly −0.12 points per team-game in eras that had ties and no overtime-loss point. We correct for this with a season-mean-centered variant, EVA+, and show it removes the bias entirely in the post-2005-06 era where the model’s assumption and reality coincide. Using EVA+ we identify the most over- and under-performing franchises and seasons in NHL history, a playoff-specific "clutch" variant, and a reproducible specification intended to keep the statistic’s definition from drifting as it is extended.</w:t>
      </w:r>
    </w:p>
    <w:p>
      <w:pPr>
        <w:pStyle w:val="Heading1"/>
        <w:spacing w:after="160" w:before="320"/>
      </w:pPr>
      <w:r>
        <w:t xml:space="preserve">1. Introduction</w:t>
      </w:r>
    </w:p>
    <w:p>
      <w:pPr>
        <w:spacing w:after="160" w:line="288"/>
      </w:pPr>
      <w:r>
        <w:rPr>
          <w:sz w:val="22"/>
          <w:szCs w:val="22"/>
        </w:rPr>
        <w:t xml:space="preserve">Elo-style ratings have become the standard public method for quantifying team strength across a full league history, popularized for hockey and other sports by projects such as FiveThirtyEight’s Elo ratings. A rating answers a narrow question well: given everything observed about a team’s results to date, how strong is it right now? It does not answer a related but distinct question that fans, front offices, and historians actually care about: is a team getting more, or fewer, standings points out of its games than that same rating says it should?</w:t>
      </w:r>
    </w:p>
    <w:p>
      <w:pPr>
        <w:spacing w:after="160" w:line="288"/>
      </w:pPr>
      <w:r>
        <w:rPr>
          <w:sz w:val="22"/>
          <w:szCs w:val="22"/>
        </w:rPr>
        <w:t xml:space="preserve">A team can be elite by rating and still be leaving points on the table in close games. A team can be mediocre by rating and still be unusually good at winning the games its rating says are close to 50/50. Neither pattern is visible from the rating alone — it requires comparing the rating’s own implied probabilities against what actually happened, game by game, over enough games that noise washes out. That comparison is what EVA measures.</w:t>
      </w:r>
    </w:p>
    <w:p>
      <w:pPr>
        <w:pStyle w:val="Heading1"/>
        <w:spacing w:after="160" w:before="320"/>
      </w:pPr>
      <w:r>
        <w:t xml:space="preserve">2. Data</w:t>
      </w:r>
    </w:p>
    <w:p>
      <w:pPr>
        <w:spacing w:after="160" w:line="288"/>
      </w:pPr>
      <w:r>
        <w:rPr>
          <w:sz w:val="22"/>
          <w:szCs w:val="22"/>
        </w:rPr>
        <w:t xml:space="preserve">The analysis uses NHL_ELO_Odyssey.csv (66,118 games, seasons 1918–2023 by end-year convention, 40 franchise identities, 24 columns) and NHL_ELO_Odyssey_latest.csv, a 1,400-row extract of the 2022–23 season carrying two additional game-context fields not populated for earlier seasons. Full column-by-column documentation, including which fields are populated for which eras, is provided in the accompanying Data Dictionary and is not reproduced here. Two properties of the schema materially shape the methodology and are worth stating up front:</w:t>
      </w:r>
    </w:p>
    <w:p>
      <w:pPr>
        <w:pStyle w:val="ListParagraph"/>
        <w:numPr>
          <w:ilvl w:val="0"/>
          <w:numId w:val="1"/>
        </w:numPr>
        <w:spacing w:after="80"/>
      </w:pPr>
      <w:r>
        <w:t xml:space="preserve">home/away_team_expected_points is a precomputed field, not raw win probability — its formula had to be reverse-engineered (Section 3.1) rather than assumed.</w:t>
      </w:r>
    </w:p>
    <w:p>
      <w:pPr>
        <w:pStyle w:val="ListParagraph"/>
        <w:numPr>
          <w:ilvl w:val="0"/>
          <w:numId w:val="1"/>
        </w:numPr>
        <w:spacing w:after="80"/>
      </w:pPr>
      <w:r>
        <w:t xml:space="preserve">game_importance_rating and game_overall_rating are populated for exactly one season (2022–23) and blank for the other 105 — a genuine coverage gap, not a missing-data artifact, confirmed directly against the file.</w:t>
      </w:r>
    </w:p>
    <w:p>
      <w:pPr>
        <w:pStyle w:val="Heading1"/>
        <w:spacing w:after="160" w:before="320"/>
      </w:pPr>
      <w:r>
        <w:t xml:space="preserve">3. Methodology</w:t>
      </w:r>
    </w:p>
    <w:p>
      <w:pPr>
        <w:pStyle w:val="Heading2"/>
        <w:spacing w:after="120" w:before="240"/>
      </w:pPr>
      <w:r>
        <w:t xml:space="preserve">3.1 Reverse-engineering the expected-points formula</w:t>
      </w:r>
    </w:p>
    <w:p>
      <w:pPr>
        <w:spacing w:after="160" w:line="288"/>
      </w:pPr>
      <w:r>
        <w:rPr>
          <w:sz w:val="22"/>
          <w:szCs w:val="22"/>
        </w:rPr>
        <w:t xml:space="preserve">Fitting home_team_expected_points and away_team_expected_points against home_team_winprob, away_team_winprob, and overtime_prob recovers, to five significant figures:</w:t>
      </w:r>
    </w:p>
    <w:p>
      <w:pPr>
        <w:spacing w:after="160" w:line="288"/>
      </w:pPr>
      <w:r>
        <w:rPr>
          <w:rFonts w:ascii="Consolas" w:cs="Consolas" w:eastAsia="Consolas" w:hAnsi="Consolas"/>
          <w:b/>
          <w:bCs/>
          <w:color w:val="0B3D66"/>
          <w:sz w:val="22"/>
          <w:szCs w:val="22"/>
        </w:rPr>
        <w:t xml:space="preserve">E[points] = 2·P(win) + P(game reaches OT/SO)·P(opponent wins)</w:t>
      </w:r>
    </w:p>
    <w:p>
      <w:pPr>
        <w:spacing w:after="160" w:line="288"/>
      </w:pPr>
      <w:r>
        <w:rPr>
          <w:sz w:val="22"/>
          <w:szCs w:val="22"/>
        </w:rPr>
        <w:t xml:space="preserve">This is the standard three-point-game convention used since the 2005–06 season (regulation or OT/SO win = 2, OT/SO loss = 1, regulation loss = 0). Critically, the dataset applies this formula uniformly back to the 1917–18 season — seasons in which ties were a real result and no overtime-loss point existed. This is a known simplification in cross-era Elo projects that keep ratings comparable over time; it is not a data error, but it means the "expected" side of any actual-minus-expected comparison is quietly using rules that only actually applied for the most recent third of NHL history.</w:t>
      </w:r>
    </w:p>
    <w:p>
      <w:pPr>
        <w:pStyle w:val="Heading2"/>
        <w:spacing w:after="120" w:before="240"/>
      </w:pPr>
      <w:r>
        <w:t xml:space="preserve">3.2 Actual points under era-correct rules</w:t>
      </w:r>
    </w:p>
    <w:p>
      <w:pPr>
        <w:spacing w:after="160" w:line="288"/>
      </w:pPr>
      <w:r>
        <w:rPr>
          <w:sz w:val="22"/>
          <w:szCs w:val="22"/>
        </w:rPr>
        <w:t xml:space="preserve">To avoid compounding the source data’s modern-rules assumption, actual points are derived from the final score and the overtime indicator using the point system that actually applied in that season: a regulation win/loss splits 2–0; a tie (equal score, no OT winner) splits 1–1 for all seasons through 2003–04, when ties were abolished; an overtime or shootout loss earns the loser 1 point only from the 1999–2000 season onward, and 0 points before that, matching the actual history of the NHL points system.</w:t>
      </w:r>
    </w:p>
    <w:p>
      <w:pPr>
        <w:pStyle w:val="Heading2"/>
        <w:spacing w:after="120" w:before="240"/>
      </w:pPr>
      <w:r>
        <w:t xml:space="preserve">3.3 EVA and the discovered era bias</w:t>
      </w:r>
    </w:p>
    <w:p>
      <w:pPr>
        <w:spacing w:after="160" w:line="288"/>
      </w:pPr>
      <w:r>
        <w:rPr>
          <w:sz w:val="22"/>
          <w:szCs w:val="22"/>
        </w:rPr>
        <w:t xml:space="preserve">Game-level EVA is actual points minus expected points, computed once per team per game. Averaged across all 66,118 games under the rules in §3.1–§3.2, raw EVA is not centered on zero within era — it is systematically negative before the rules the source model assumes were actually in effect, and centers on zero once they are:</w:t>
      </w:r>
    </w:p>
    <w:p>
      <w:pPr>
        <w:spacing w:after="60" w:before="120"/>
        <w:jc w:val="center"/>
      </w:pPr>
      <w:r>
        <w:drawing>
          <wp:inline distT="0" distB="0" distL="0" distR="0">
            <wp:extent cx="4762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47900"/>
                    </a:xfrm>
                    <a:prstGeom prst="rect">
                      <a:avLst/>
                    </a:prstGeom>
                  </pic:spPr>
                </pic:pic>
              </a:graphicData>
            </a:graphic>
          </wp:inline>
        </w:drawing>
      </w:r>
    </w:p>
    <w:p>
      <w:pPr>
        <w:spacing w:after="260" w:before="60"/>
      </w:pPr>
      <w:r>
        <w:rPr>
          <w:i/>
          <w:iCs/>
          <w:color w:val="647082"/>
          <w:sz w:val="18"/>
          <w:szCs w:val="18"/>
        </w:rPr>
        <w:t xml:space="preserve">Figure 1. League-wide mean raw EVA per team-game by season. The dataset’s expected-points formula assumes 2006-era rules for every season; actual mean bias tracks the real rule changes almost exactly — flat around −0.116 through 1999, roughly −0.06 during the transitional 2000–2004 overtime-loss-point-but-still-ties period, and effectively 0 from 2006 onward.</w:t>
      </w:r>
    </w:p>
    <w:p>
      <w:pPr>
        <w:spacing w:after="160" w:line="288"/>
      </w:pPr>
      <w:r>
        <w:rPr>
          <w:sz w:val="22"/>
          <w:szCs w:val="22"/>
        </w:rPr>
        <w:t xml:space="preserve">This is a substantive finding, not a footnote: any historical leaderboard built on raw actual-minus-expected without this correction would systematically penalize every team that played before 2006, making cross-era "who overperforms" claims invalid by construction rather than by chance.</w:t>
      </w:r>
    </w:p>
    <w:p>
      <w:pPr>
        <w:pStyle w:val="Heading2"/>
        <w:spacing w:after="120" w:before="240"/>
      </w:pPr>
      <w:r>
        <w:t xml:space="preserve">3.4 EVA+: era-adjusted correction</w:t>
      </w:r>
    </w:p>
    <w:p>
      <w:pPr>
        <w:spacing w:after="160" w:line="288"/>
      </w:pPr>
      <w:r>
        <w:rPr>
          <w:sz w:val="22"/>
          <w:szCs w:val="22"/>
        </w:rPr>
        <w:t xml:space="preserve">EVA+ removes the bias identified in §3.3 by centering every game on its own season’s league-wide mean raw EVA (the "season bias" series plotted in Figure 1), rather than by hand-coding rule-era boundaries. This is a within-dataset normalization — it uses only values already computed from the data — and it is robust to any other structural biases in the source expected-points formula that might exist but were not hypothesized in advance. EVA+ is the metric used for every cross-era comparison in this paper; raw EVA is retained only for single-season, single-era analysis where the correction would have no effect.</w:t>
      </w:r>
    </w:p>
    <w:p>
      <w:pPr>
        <w:pStyle w:val="Heading2"/>
        <w:spacing w:after="120" w:before="240"/>
      </w:pPr>
      <w:r>
        <w:t xml:space="preserve">3.5 Clutch and playoff variants</w:t>
      </w:r>
    </w:p>
    <w:p>
      <w:pPr>
        <w:spacing w:after="160" w:line="288"/>
      </w:pPr>
      <w:r>
        <w:rPr>
          <w:sz w:val="22"/>
          <w:szCs w:val="22"/>
        </w:rPr>
        <w:t xml:space="preserve">A full importance-weighted Clutch EVA (weighting each game’s EVA+ by game_importance_rating) is defined in the accompanying specification but is only computable for the 2022–23 season given the coverage gap noted in Section 2. For all 106 seasons, Playoff EVA+ — EVA+ restricted to games flagged playoff = 1 — serves as the historical clutch proxy used throughout this paper.</w:t>
      </w:r>
    </w:p>
    <w:p>
      <w:pPr>
        <w:pStyle w:val="Heading1"/>
        <w:spacing w:after="160" w:before="320"/>
      </w:pPr>
      <w:r>
        <w:t xml:space="preserve">4. Results</w:t>
      </w:r>
    </w:p>
    <w:p>
      <w:pPr>
        <w:pStyle w:val="Heading2"/>
        <w:spacing w:after="120" w:before="240"/>
      </w:pPr>
      <w:r>
        <w:t xml:space="preserve">4.1 Most under- and over-rated franchises (career, min. 1,000 games)</w:t>
      </w:r>
    </w:p>
    <w:p>
      <w:pPr>
        <w:spacing w:after="160" w:line="288"/>
      </w:pPr>
      <w:r>
        <w:rPr>
          <w:sz w:val="22"/>
          <w:szCs w:val="22"/>
        </w:rPr>
        <w:t xml:space="preserve">Ranking all 40 franchises by average pregame Elo and separately by career EVA+ per game exposes teams whose results and whose reputations (as proxied by rating) diverge most. The Anaheim Ducks rank 20th in average Elo across 29 seasons but 8th in EVA+ per game — a consistent gap between rated strength and points actually earned. The effect direction reverses for the New York Rangers, who rank 9th in average Elo across 96 seasons but 19th in EVA+.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900"/>
        <w:gridCol w:w="1900"/>
      </w:tblGrid>
      <w:tr>
        <w:trPr>
          <w:tblHeader/>
        </w:trPr>
        <w:tc>
          <w:tcPr>
            <w:tcW w:type="dxa" w:w="2600"/>
            <w:shd w:fill="0B3D66" w:val="clear"/>
            <w:tcMar>
              <w:top w:type="dxa" w:w="60"/>
              <w:left w:type="dxa" w:w="100"/>
              <w:bottom w:type="dxa" w:w="60"/>
              <w:right w:type="dxa" w:w="100"/>
            </w:tcMar>
          </w:tcPr>
          <w:p>
            <w:pPr>
              <w:jc w:val="left"/>
            </w:pPr>
            <w:r>
              <w:rPr>
                <w:b/>
                <w:bCs/>
                <w:color w:val="FFFFFF"/>
                <w:sz w:val="19"/>
                <w:szCs w:val="19"/>
              </w:rPr>
              <w:t xml:space="preserve">Franchise</w:t>
            </w:r>
          </w:p>
        </w:tc>
        <w:tc>
          <w:tcPr>
            <w:tcW w:type="dxa" w:w="1100"/>
            <w:shd w:fill="0B3D66" w:val="clear"/>
            <w:tcMar>
              <w:top w:type="dxa" w:w="60"/>
              <w:left w:type="dxa" w:w="100"/>
              <w:bottom w:type="dxa" w:w="60"/>
              <w:right w:type="dxa" w:w="100"/>
            </w:tcMar>
          </w:tcPr>
          <w:p>
            <w:pPr>
              <w:jc w:val="left"/>
            </w:pPr>
            <w:r>
              <w:rPr>
                <w:b/>
                <w:bCs/>
                <w:color w:val="FFFFFF"/>
                <w:sz w:val="19"/>
                <w:szCs w:val="19"/>
              </w:rPr>
              <w:t xml:space="preserve">Seasons</w:t>
            </w:r>
          </w:p>
        </w:tc>
        <w:tc>
          <w:tcPr>
            <w:tcW w:type="dxa" w:w="1100"/>
            <w:shd w:fill="0B3D66" w:val="clear"/>
            <w:tcMar>
              <w:top w:type="dxa" w:w="60"/>
              <w:left w:type="dxa" w:w="100"/>
              <w:bottom w:type="dxa" w:w="60"/>
              <w:right w:type="dxa" w:w="100"/>
            </w:tcMar>
          </w:tcPr>
          <w:p>
            <w:pPr>
              <w:jc w:val="left"/>
            </w:pPr>
            <w:r>
              <w:rPr>
                <w:b/>
                <w:bCs/>
                <w:color w:val="FFFFFF"/>
                <w:sz w:val="19"/>
                <w:szCs w:val="19"/>
              </w:rPr>
              <w:t xml:space="preserve">Games</w:t>
            </w:r>
          </w:p>
        </w:tc>
        <w:tc>
          <w:tcPr>
            <w:tcW w:type="dxa" w:w="1900"/>
            <w:shd w:fill="0B3D66" w:val="clear"/>
            <w:tcMar>
              <w:top w:type="dxa" w:w="60"/>
              <w:left w:type="dxa" w:w="100"/>
              <w:bottom w:type="dxa" w:w="60"/>
              <w:right w:type="dxa" w:w="100"/>
            </w:tcMar>
          </w:tcPr>
          <w:p>
            <w:pPr>
              <w:jc w:val="left"/>
            </w:pPr>
            <w:r>
              <w:rPr>
                <w:b/>
                <w:bCs/>
                <w:color w:val="FFFFFF"/>
                <w:sz w:val="19"/>
                <w:szCs w:val="19"/>
              </w:rPr>
              <w:t xml:space="preserve">Avg Elo (rank)</w:t>
            </w:r>
          </w:p>
        </w:tc>
        <w:tc>
          <w:tcPr>
            <w:tcW w:type="dxa" w:w="1900"/>
            <w:shd w:fill="0B3D66" w:val="clear"/>
            <w:tcMar>
              <w:top w:type="dxa" w:w="60"/>
              <w:left w:type="dxa" w:w="100"/>
              <w:bottom w:type="dxa" w:w="60"/>
              <w:right w:type="dxa" w:w="100"/>
            </w:tcMar>
          </w:tcPr>
          <w:p>
            <w:pPr>
              <w:jc w:val="left"/>
            </w:pPr>
            <w:r>
              <w:rPr>
                <w:b/>
                <w:bCs/>
                <w:color w:val="FFFFFF"/>
                <w:sz w:val="19"/>
                <w:szCs w:val="19"/>
              </w:rPr>
              <w:t xml:space="preserve">EVA+ / game (rank)</w:t>
            </w:r>
          </w:p>
        </w:tc>
      </w:tr>
      <w:tr>
        <w:tc>
          <w:tcPr>
            <w:tcW w:type="dxa" w:w="2600"/>
            <w:tcMar>
              <w:top w:type="dxa" w:w="60"/>
              <w:left w:type="dxa" w:w="100"/>
              <w:bottom w:type="dxa" w:w="60"/>
              <w:right w:type="dxa" w:w="100"/>
            </w:tcMar>
          </w:tcPr>
          <w:p>
            <w:pPr>
              <w:jc w:val="left"/>
            </w:pPr>
            <w:r>
              <w:rPr>
                <w:b w:val="false"/>
                <w:bCs w:val="false"/>
                <w:color w:val="0D1B2A"/>
                <w:sz w:val="19"/>
                <w:szCs w:val="19"/>
              </w:rPr>
              <w:t xml:space="preserve">Anaheim Ducks</w:t>
            </w:r>
          </w:p>
        </w:tc>
        <w:tc>
          <w:tcPr>
            <w:tcW w:type="dxa" w:w="1100"/>
            <w:tcMar>
              <w:top w:type="dxa" w:w="60"/>
              <w:left w:type="dxa" w:w="100"/>
              <w:bottom w:type="dxa" w:w="60"/>
              <w:right w:type="dxa" w:w="100"/>
            </w:tcMar>
          </w:tcPr>
          <w:p>
            <w:pPr>
              <w:jc w:val="left"/>
            </w:pPr>
            <w:r>
              <w:rPr>
                <w:b w:val="false"/>
                <w:bCs w:val="false"/>
                <w:color w:val="0D1B2A"/>
                <w:sz w:val="19"/>
                <w:szCs w:val="19"/>
              </w:rPr>
              <w:t xml:space="preserve">29</w:t>
            </w:r>
          </w:p>
        </w:tc>
        <w:tc>
          <w:tcPr>
            <w:tcW w:type="dxa" w:w="1100"/>
            <w:tcMar>
              <w:top w:type="dxa" w:w="60"/>
              <w:left w:type="dxa" w:w="100"/>
              <w:bottom w:type="dxa" w:w="60"/>
              <w:right w:type="dxa" w:w="100"/>
            </w:tcMar>
          </w:tcPr>
          <w:p>
            <w:pPr>
              <w:jc w:val="left"/>
            </w:pPr>
            <w:r>
              <w:rPr>
                <w:b w:val="false"/>
                <w:bCs w:val="false"/>
                <w:color w:val="0D1B2A"/>
                <w:sz w:val="19"/>
                <w:szCs w:val="19"/>
              </w:rPr>
              <w:t xml:space="preserve">2437</w:t>
            </w:r>
          </w:p>
        </w:tc>
        <w:tc>
          <w:tcPr>
            <w:tcW w:type="dxa" w:w="1900"/>
            <w:tcMar>
              <w:top w:type="dxa" w:w="60"/>
              <w:left w:type="dxa" w:w="100"/>
              <w:bottom w:type="dxa" w:w="60"/>
              <w:right w:type="dxa" w:w="100"/>
            </w:tcMar>
          </w:tcPr>
          <w:p>
            <w:pPr>
              <w:jc w:val="left"/>
            </w:pPr>
            <w:r>
              <w:rPr>
                <w:b w:val="false"/>
                <w:bCs w:val="false"/>
                <w:color w:val="0D1B2A"/>
                <w:sz w:val="19"/>
                <w:szCs w:val="19"/>
              </w:rPr>
              <w:t xml:space="preserve">1494 (#20)</w:t>
            </w:r>
          </w:p>
        </w:tc>
        <w:tc>
          <w:tcPr>
            <w:tcW w:type="dxa" w:w="1900"/>
            <w:tcMar>
              <w:top w:type="dxa" w:w="60"/>
              <w:left w:type="dxa" w:w="100"/>
              <w:bottom w:type="dxa" w:w="60"/>
              <w:right w:type="dxa" w:w="100"/>
            </w:tcMar>
          </w:tcPr>
          <w:p>
            <w:pPr>
              <w:jc w:val="left"/>
            </w:pPr>
            <w:r>
              <w:rPr>
                <w:b w:val="false"/>
                <w:bCs w:val="false"/>
                <w:color w:val="0D1B2A"/>
                <w:sz w:val="19"/>
                <w:szCs w:val="19"/>
              </w:rPr>
              <w:t xml:space="preserve">+0.008 (#8)</w:t>
            </w:r>
          </w:p>
        </w:tc>
      </w:tr>
      <w:tr>
        <w:tc>
          <w:tcPr>
            <w:tcW w:type="dxa" w:w="2600"/>
            <w:shd w:fill="F5F8FA" w:val="clear"/>
            <w:tcMar>
              <w:top w:type="dxa" w:w="60"/>
              <w:left w:type="dxa" w:w="100"/>
              <w:bottom w:type="dxa" w:w="60"/>
              <w:right w:type="dxa" w:w="100"/>
            </w:tcMar>
          </w:tcPr>
          <w:p>
            <w:pPr>
              <w:jc w:val="left"/>
            </w:pPr>
            <w:r>
              <w:rPr>
                <w:b w:val="false"/>
                <w:bCs w:val="false"/>
                <w:color w:val="0D1B2A"/>
                <w:sz w:val="19"/>
                <w:szCs w:val="19"/>
              </w:rPr>
              <w:t xml:space="preserve">Florida Panthers</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29</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2358</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1482 (#27)</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-0.003 (#18)</w:t>
            </w:r>
          </w:p>
        </w:tc>
      </w:tr>
      <w:tr>
        <w:tc>
          <w:tcPr>
            <w:tcW w:type="dxa" w:w="2600"/>
            <w:tcMar>
              <w:top w:type="dxa" w:w="60"/>
              <w:left w:type="dxa" w:w="100"/>
              <w:bottom w:type="dxa" w:w="60"/>
              <w:right w:type="dxa" w:w="100"/>
            </w:tcMar>
          </w:tcPr>
          <w:p>
            <w:pPr>
              <w:jc w:val="left"/>
            </w:pPr>
            <w:r>
              <w:rPr>
                <w:b w:val="false"/>
                <w:bCs w:val="false"/>
                <w:color w:val="0D1B2A"/>
                <w:sz w:val="19"/>
                <w:szCs w:val="19"/>
              </w:rPr>
              <w:t xml:space="preserve">Nashville Predators</w:t>
            </w:r>
          </w:p>
        </w:tc>
        <w:tc>
          <w:tcPr>
            <w:tcW w:type="dxa" w:w="1100"/>
            <w:tcMar>
              <w:top w:type="dxa" w:w="60"/>
              <w:left w:type="dxa" w:w="100"/>
              <w:bottom w:type="dxa" w:w="60"/>
              <w:right w:type="dxa" w:w="100"/>
            </w:tcMar>
          </w:tcPr>
          <w:p>
            <w:pPr>
              <w:jc w:val="left"/>
            </w:pPr>
            <w:r>
              <w:rPr>
                <w:b w:val="false"/>
                <w:bCs w:val="false"/>
                <w:color w:val="0D1B2A"/>
                <w:sz w:val="19"/>
                <w:szCs w:val="19"/>
              </w:rPr>
              <w:t xml:space="preserve">24</w:t>
            </w:r>
          </w:p>
        </w:tc>
        <w:tc>
          <w:tcPr>
            <w:tcW w:type="dxa" w:w="1100"/>
            <w:tcMar>
              <w:top w:type="dxa" w:w="60"/>
              <w:left w:type="dxa" w:w="100"/>
              <w:bottom w:type="dxa" w:w="60"/>
              <w:right w:type="dxa" w:w="100"/>
            </w:tcMar>
          </w:tcPr>
          <w:p>
            <w:pPr>
              <w:jc w:val="left"/>
            </w:pPr>
            <w:r>
              <w:rPr>
                <w:b w:val="false"/>
                <w:bCs w:val="false"/>
                <w:color w:val="0D1B2A"/>
                <w:sz w:val="19"/>
                <w:szCs w:val="19"/>
              </w:rPr>
              <w:t xml:space="preserve">2020</w:t>
            </w:r>
          </w:p>
        </w:tc>
        <w:tc>
          <w:tcPr>
            <w:tcW w:type="dxa" w:w="1900"/>
            <w:tcMar>
              <w:top w:type="dxa" w:w="60"/>
              <w:left w:type="dxa" w:w="100"/>
              <w:bottom w:type="dxa" w:w="60"/>
              <w:right w:type="dxa" w:w="100"/>
            </w:tcMar>
          </w:tcPr>
          <w:p>
            <w:pPr>
              <w:jc w:val="left"/>
            </w:pPr>
            <w:r>
              <w:rPr>
                <w:b w:val="false"/>
                <w:bCs w:val="false"/>
                <w:color w:val="0D1B2A"/>
                <w:sz w:val="19"/>
                <w:szCs w:val="19"/>
              </w:rPr>
              <w:t xml:space="preserve">1503 (#11)</w:t>
            </w:r>
          </w:p>
        </w:tc>
        <w:tc>
          <w:tcPr>
            <w:tcW w:type="dxa" w:w="1900"/>
            <w:tcMar>
              <w:top w:type="dxa" w:w="60"/>
              <w:left w:type="dxa" w:w="100"/>
              <w:bottom w:type="dxa" w:w="60"/>
              <w:right w:type="dxa" w:w="100"/>
            </w:tcMar>
          </w:tcPr>
          <w:p>
            <w:pPr>
              <w:jc w:val="left"/>
            </w:pPr>
            <w:r>
              <w:rPr>
                <w:b w:val="false"/>
                <w:bCs w:val="false"/>
                <w:color w:val="0D1B2A"/>
                <w:sz w:val="19"/>
                <w:szCs w:val="19"/>
              </w:rPr>
              <w:t xml:space="preserve">+0.020 (#4)</w:t>
            </w:r>
          </w:p>
        </w:tc>
      </w:tr>
      <w:tr>
        <w:tc>
          <w:tcPr>
            <w:tcW w:type="dxa" w:w="2600"/>
            <w:shd w:fill="F5F8FA" w:val="clear"/>
            <w:tcMar>
              <w:top w:type="dxa" w:w="60"/>
              <w:left w:type="dxa" w:w="100"/>
              <w:bottom w:type="dxa" w:w="60"/>
              <w:right w:type="dxa" w:w="100"/>
            </w:tcMar>
          </w:tcPr>
          <w:p>
            <w:pPr>
              <w:jc w:val="left"/>
            </w:pPr>
            <w:r>
              <w:rPr>
                <w:b w:val="false"/>
                <w:bCs w:val="false"/>
                <w:color w:val="0D1B2A"/>
                <w:sz w:val="19"/>
                <w:szCs w:val="19"/>
              </w:rPr>
              <w:t xml:space="preserve">Dallas Stars</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55</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4727</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1496 (#19)</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+0.002 (#13)</w:t>
            </w:r>
          </w:p>
        </w:tc>
      </w:tr>
      <w:tr>
        <w:tc>
          <w:tcPr>
            <w:tcW w:type="dxa" w:w="2600"/>
            <w:tcMar>
              <w:top w:type="dxa" w:w="60"/>
              <w:left w:type="dxa" w:w="100"/>
              <w:bottom w:type="dxa" w:w="60"/>
              <w:right w:type="dxa" w:w="100"/>
            </w:tcMar>
          </w:tcPr>
          <w:p>
            <w:pPr>
              <w:jc w:val="left"/>
            </w:pPr>
            <w:r>
              <w:rPr>
                <w:b w:val="false"/>
                <w:bCs w:val="false"/>
                <w:color w:val="0D1B2A"/>
                <w:sz w:val="19"/>
                <w:szCs w:val="19"/>
              </w:rPr>
              <w:t xml:space="preserve">St. Louis Blues</w:t>
            </w:r>
          </w:p>
        </w:tc>
        <w:tc>
          <w:tcPr>
            <w:tcW w:type="dxa" w:w="1100"/>
            <w:tcMar>
              <w:top w:type="dxa" w:w="60"/>
              <w:left w:type="dxa" w:w="100"/>
              <w:bottom w:type="dxa" w:w="60"/>
              <w:right w:type="dxa" w:w="100"/>
            </w:tcMar>
          </w:tcPr>
          <w:p>
            <w:pPr>
              <w:jc w:val="left"/>
            </w:pPr>
            <w:r>
              <w:rPr>
                <w:b w:val="false"/>
                <w:bCs w:val="false"/>
                <w:color w:val="0D1B2A"/>
                <w:sz w:val="19"/>
                <w:szCs w:val="19"/>
              </w:rPr>
              <w:t xml:space="preserve">55</w:t>
            </w:r>
          </w:p>
        </w:tc>
        <w:tc>
          <w:tcPr>
            <w:tcW w:type="dxa" w:w="1100"/>
            <w:tcMar>
              <w:top w:type="dxa" w:w="60"/>
              <w:left w:type="dxa" w:w="100"/>
              <w:bottom w:type="dxa" w:w="60"/>
              <w:right w:type="dxa" w:w="100"/>
            </w:tcMar>
          </w:tcPr>
          <w:p>
            <w:pPr>
              <w:jc w:val="left"/>
            </w:pPr>
            <w:r>
              <w:rPr>
                <w:b w:val="false"/>
                <w:bCs w:val="false"/>
                <w:color w:val="0D1B2A"/>
                <w:sz w:val="19"/>
                <w:szCs w:val="19"/>
              </w:rPr>
              <w:t xml:space="preserve">4753</w:t>
            </w:r>
          </w:p>
        </w:tc>
        <w:tc>
          <w:tcPr>
            <w:tcW w:type="dxa" w:w="1900"/>
            <w:tcMar>
              <w:top w:type="dxa" w:w="60"/>
              <w:left w:type="dxa" w:w="100"/>
              <w:bottom w:type="dxa" w:w="60"/>
              <w:right w:type="dxa" w:w="100"/>
            </w:tcMar>
          </w:tcPr>
          <w:p>
            <w:pPr>
              <w:jc w:val="left"/>
            </w:pPr>
            <w:r>
              <w:rPr>
                <w:b w:val="false"/>
                <w:bCs w:val="false"/>
                <w:color w:val="0D1B2A"/>
                <w:sz w:val="19"/>
                <w:szCs w:val="19"/>
              </w:rPr>
              <w:t xml:space="preserve">1499 (#15)</w:t>
            </w:r>
          </w:p>
        </w:tc>
        <w:tc>
          <w:tcPr>
            <w:tcW w:type="dxa" w:w="1900"/>
            <w:tcMar>
              <w:top w:type="dxa" w:w="60"/>
              <w:left w:type="dxa" w:w="100"/>
              <w:bottom w:type="dxa" w:w="60"/>
              <w:right w:type="dxa" w:w="100"/>
            </w:tcMar>
          </w:tcPr>
          <w:p>
            <w:pPr>
              <w:jc w:val="left"/>
            </w:pPr>
            <w:r>
              <w:rPr>
                <w:b w:val="false"/>
                <w:bCs w:val="false"/>
                <w:color w:val="0D1B2A"/>
                <w:sz w:val="19"/>
                <w:szCs w:val="19"/>
              </w:rPr>
              <w:t xml:space="preserve">+0.007 (#9)</w:t>
            </w:r>
          </w:p>
        </w:tc>
      </w:tr>
      <w:tr>
        <w:tc>
          <w:tcPr>
            <w:tcW w:type="dxa" w:w="2600"/>
            <w:shd w:fill="F5F8FA" w:val="clear"/>
            <w:tcMar>
              <w:top w:type="dxa" w:w="60"/>
              <w:left w:type="dxa" w:w="100"/>
              <w:bottom w:type="dxa" w:w="60"/>
              <w:right w:type="dxa" w:w="100"/>
            </w:tcMar>
          </w:tcPr>
          <w:p>
            <w:pPr>
              <w:jc w:val="left"/>
            </w:pPr>
            <w:r>
              <w:rPr>
                <w:b w:val="false"/>
                <w:bCs w:val="false"/>
                <w:color w:val="0D1B2A"/>
                <w:sz w:val="19"/>
                <w:szCs w:val="19"/>
              </w:rPr>
              <w:t xml:space="preserve">Carolina Hurricanes</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43</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3586</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1483 (#26)</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-0.004 (#20)</w:t>
            </w:r>
          </w:p>
        </w:tc>
      </w:tr>
      <w:tr>
        <w:tc>
          <w:tcPr>
            <w:tcW w:type="dxa" w:w="2600"/>
            <w:tcMar>
              <w:top w:type="dxa" w:w="60"/>
              <w:left w:type="dxa" w:w="100"/>
              <w:bottom w:type="dxa" w:w="60"/>
              <w:right w:type="dxa" w:w="100"/>
            </w:tcMar>
          </w:tcPr>
          <w:p>
            <w:pPr>
              <w:jc w:val="left"/>
            </w:pPr>
            <w:r>
              <w:rPr>
                <w:b w:val="false"/>
                <w:bCs w:val="false"/>
                <w:color w:val="0D1B2A"/>
                <w:sz w:val="19"/>
                <w:szCs w:val="19"/>
              </w:rPr>
              <w:t xml:space="preserve">Minnesota Wild</w:t>
            </w:r>
          </w:p>
        </w:tc>
        <w:tc>
          <w:tcPr>
            <w:tcW w:type="dxa" w:w="1100"/>
            <w:tcMar>
              <w:top w:type="dxa" w:w="60"/>
              <w:left w:type="dxa" w:w="100"/>
              <w:bottom w:type="dxa" w:w="60"/>
              <w:right w:type="dxa" w:w="100"/>
            </w:tcMar>
          </w:tcPr>
          <w:p>
            <w:pPr>
              <w:jc w:val="left"/>
            </w:pPr>
            <w:r>
              <w:rPr>
                <w:b w:val="false"/>
                <w:bCs w:val="false"/>
                <w:color w:val="0D1B2A"/>
                <w:sz w:val="19"/>
                <w:szCs w:val="19"/>
              </w:rPr>
              <w:t xml:space="preserve">22</w:t>
            </w:r>
          </w:p>
        </w:tc>
        <w:tc>
          <w:tcPr>
            <w:tcW w:type="dxa" w:w="1100"/>
            <w:tcMar>
              <w:top w:type="dxa" w:w="60"/>
              <w:left w:type="dxa" w:w="100"/>
              <w:bottom w:type="dxa" w:w="60"/>
              <w:right w:type="dxa" w:w="100"/>
            </w:tcMar>
          </w:tcPr>
          <w:p>
            <w:pPr>
              <w:jc w:val="left"/>
            </w:pPr>
            <w:r>
              <w:rPr>
                <w:b w:val="false"/>
                <w:bCs w:val="false"/>
                <w:color w:val="0D1B2A"/>
                <w:sz w:val="19"/>
                <w:szCs w:val="19"/>
              </w:rPr>
              <w:t xml:space="preserve">1827</w:t>
            </w:r>
          </w:p>
        </w:tc>
        <w:tc>
          <w:tcPr>
            <w:tcW w:type="dxa" w:w="1900"/>
            <w:tcMar>
              <w:top w:type="dxa" w:w="60"/>
              <w:left w:type="dxa" w:w="100"/>
              <w:bottom w:type="dxa" w:w="60"/>
              <w:right w:type="dxa" w:w="100"/>
            </w:tcMar>
          </w:tcPr>
          <w:p>
            <w:pPr>
              <w:jc w:val="left"/>
            </w:pPr>
            <w:r>
              <w:rPr>
                <w:b w:val="false"/>
                <w:bCs w:val="false"/>
                <w:color w:val="0D1B2A"/>
                <w:sz w:val="19"/>
                <w:szCs w:val="19"/>
              </w:rPr>
              <w:t xml:space="preserve">1505 (#10)</w:t>
            </w:r>
          </w:p>
        </w:tc>
        <w:tc>
          <w:tcPr>
            <w:tcW w:type="dxa" w:w="1900"/>
            <w:tcMar>
              <w:top w:type="dxa" w:w="60"/>
              <w:left w:type="dxa" w:w="100"/>
              <w:bottom w:type="dxa" w:w="60"/>
              <w:right w:type="dxa" w:w="100"/>
            </w:tcMar>
          </w:tcPr>
          <w:p>
            <w:pPr>
              <w:jc w:val="left"/>
            </w:pPr>
            <w:r>
              <w:rPr>
                <w:b w:val="false"/>
                <w:bCs w:val="false"/>
                <w:color w:val="0D1B2A"/>
                <w:sz w:val="19"/>
                <w:szCs w:val="19"/>
              </w:rPr>
              <w:t xml:space="preserve">+0.009 (#6)</w:t>
            </w:r>
          </w:p>
        </w:tc>
      </w:tr>
      <w:tr>
        <w:tc>
          <w:tcPr>
            <w:tcW w:type="dxa" w:w="2600"/>
            <w:shd w:fill="F5F8FA" w:val="clear"/>
            <w:tcMar>
              <w:top w:type="dxa" w:w="60"/>
              <w:left w:type="dxa" w:w="100"/>
              <w:bottom w:type="dxa" w:w="60"/>
              <w:right w:type="dxa" w:w="100"/>
            </w:tcMar>
          </w:tcPr>
          <w:p>
            <w:pPr>
              <w:jc w:val="left"/>
            </w:pPr>
            <w:r>
              <w:rPr>
                <w:b w:val="false"/>
                <w:bCs w:val="false"/>
                <w:color w:val="0D1B2A"/>
                <w:sz w:val="19"/>
                <w:szCs w:val="19"/>
              </w:rPr>
              <w:t xml:space="preserve">Tampa Bay Lightning</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30</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2572</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1492 (#21)</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-0.001 (#17)</w:t>
            </w:r>
          </w:p>
        </w:tc>
      </w:tr>
    </w:tbl>
    <w:p>
      <w:pPr>
        <w:spacing w:after="260" w:before="60"/>
      </w:pPr>
      <w:r>
        <w:rPr>
          <w:i/>
          <w:iCs/>
          <w:color w:val="647082"/>
          <w:sz w:val="18"/>
          <w:szCs w:val="18"/>
        </w:rPr>
        <w:t xml:space="preserve">Table 1. Most underrated franchises: high EVA+ rank relative to Elo rank.</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100"/>
        <w:gridCol w:w="1100"/>
        <w:gridCol w:w="1900"/>
        <w:gridCol w:w="1900"/>
      </w:tblGrid>
      <w:tr>
        <w:trPr>
          <w:tblHeader/>
        </w:trPr>
        <w:tc>
          <w:tcPr>
            <w:tcW w:type="dxa" w:w="2600"/>
            <w:shd w:fill="0B3D66" w:val="clear"/>
            <w:tcMar>
              <w:top w:type="dxa" w:w="60"/>
              <w:left w:type="dxa" w:w="100"/>
              <w:bottom w:type="dxa" w:w="60"/>
              <w:right w:type="dxa" w:w="100"/>
            </w:tcMar>
          </w:tcPr>
          <w:p>
            <w:pPr>
              <w:jc w:val="left"/>
            </w:pPr>
            <w:r>
              <w:rPr>
                <w:b/>
                <w:bCs/>
                <w:color w:val="FFFFFF"/>
                <w:sz w:val="19"/>
                <w:szCs w:val="19"/>
              </w:rPr>
              <w:t xml:space="preserve">Franchise</w:t>
            </w:r>
          </w:p>
        </w:tc>
        <w:tc>
          <w:tcPr>
            <w:tcW w:type="dxa" w:w="1100"/>
            <w:shd w:fill="0B3D66" w:val="clear"/>
            <w:tcMar>
              <w:top w:type="dxa" w:w="60"/>
              <w:left w:type="dxa" w:w="100"/>
              <w:bottom w:type="dxa" w:w="60"/>
              <w:right w:type="dxa" w:w="100"/>
            </w:tcMar>
          </w:tcPr>
          <w:p>
            <w:pPr>
              <w:jc w:val="left"/>
            </w:pPr>
            <w:r>
              <w:rPr>
                <w:b/>
                <w:bCs/>
                <w:color w:val="FFFFFF"/>
                <w:sz w:val="19"/>
                <w:szCs w:val="19"/>
              </w:rPr>
              <w:t xml:space="preserve">Seasons</w:t>
            </w:r>
          </w:p>
        </w:tc>
        <w:tc>
          <w:tcPr>
            <w:tcW w:type="dxa" w:w="1100"/>
            <w:shd w:fill="0B3D66" w:val="clear"/>
            <w:tcMar>
              <w:top w:type="dxa" w:w="60"/>
              <w:left w:type="dxa" w:w="100"/>
              <w:bottom w:type="dxa" w:w="60"/>
              <w:right w:type="dxa" w:w="100"/>
            </w:tcMar>
          </w:tcPr>
          <w:p>
            <w:pPr>
              <w:jc w:val="left"/>
            </w:pPr>
            <w:r>
              <w:rPr>
                <w:b/>
                <w:bCs/>
                <w:color w:val="FFFFFF"/>
                <w:sz w:val="19"/>
                <w:szCs w:val="19"/>
              </w:rPr>
              <w:t xml:space="preserve">Games</w:t>
            </w:r>
          </w:p>
        </w:tc>
        <w:tc>
          <w:tcPr>
            <w:tcW w:type="dxa" w:w="1900"/>
            <w:shd w:fill="0B3D66" w:val="clear"/>
            <w:tcMar>
              <w:top w:type="dxa" w:w="60"/>
              <w:left w:type="dxa" w:w="100"/>
              <w:bottom w:type="dxa" w:w="60"/>
              <w:right w:type="dxa" w:w="100"/>
            </w:tcMar>
          </w:tcPr>
          <w:p>
            <w:pPr>
              <w:jc w:val="left"/>
            </w:pPr>
            <w:r>
              <w:rPr>
                <w:b/>
                <w:bCs/>
                <w:color w:val="FFFFFF"/>
                <w:sz w:val="19"/>
                <w:szCs w:val="19"/>
              </w:rPr>
              <w:t xml:space="preserve">Avg Elo (rank)</w:t>
            </w:r>
          </w:p>
        </w:tc>
        <w:tc>
          <w:tcPr>
            <w:tcW w:type="dxa" w:w="1900"/>
            <w:shd w:fill="0B3D66" w:val="clear"/>
            <w:tcMar>
              <w:top w:type="dxa" w:w="60"/>
              <w:left w:type="dxa" w:w="100"/>
              <w:bottom w:type="dxa" w:w="60"/>
              <w:right w:type="dxa" w:w="100"/>
            </w:tcMar>
          </w:tcPr>
          <w:p>
            <w:pPr>
              <w:jc w:val="left"/>
            </w:pPr>
            <w:r>
              <w:rPr>
                <w:b/>
                <w:bCs/>
                <w:color w:val="FFFFFF"/>
                <w:sz w:val="19"/>
                <w:szCs w:val="19"/>
              </w:rPr>
              <w:t xml:space="preserve">EVA+ / game (rank)</w:t>
            </w:r>
          </w:p>
        </w:tc>
      </w:tr>
      <w:tr>
        <w:tc>
          <w:tcPr>
            <w:tcW w:type="dxa" w:w="2600"/>
            <w:tcMar>
              <w:top w:type="dxa" w:w="60"/>
              <w:left w:type="dxa" w:w="100"/>
              <w:bottom w:type="dxa" w:w="60"/>
              <w:right w:type="dxa" w:w="100"/>
            </w:tcMar>
          </w:tcPr>
          <w:p>
            <w:pPr>
              <w:jc w:val="left"/>
            </w:pPr>
            <w:r>
              <w:rPr>
                <w:b w:val="false"/>
                <w:bCs w:val="false"/>
                <w:color w:val="0D1B2A"/>
                <w:sz w:val="19"/>
                <w:szCs w:val="19"/>
              </w:rPr>
              <w:t xml:space="preserve">New York Rangers</w:t>
            </w:r>
          </w:p>
        </w:tc>
        <w:tc>
          <w:tcPr>
            <w:tcW w:type="dxa" w:w="1100"/>
            <w:tcMar>
              <w:top w:type="dxa" w:w="60"/>
              <w:left w:type="dxa" w:w="100"/>
              <w:bottom w:type="dxa" w:w="60"/>
              <w:right w:type="dxa" w:w="100"/>
            </w:tcMar>
          </w:tcPr>
          <w:p>
            <w:pPr>
              <w:jc w:val="left"/>
            </w:pPr>
            <w:r>
              <w:rPr>
                <w:b w:val="false"/>
                <w:bCs w:val="false"/>
                <w:color w:val="0D1B2A"/>
                <w:sz w:val="19"/>
                <w:szCs w:val="19"/>
              </w:rPr>
              <w:t xml:space="preserve">96</w:t>
            </w:r>
          </w:p>
        </w:tc>
        <w:tc>
          <w:tcPr>
            <w:tcW w:type="dxa" w:w="1100"/>
            <w:tcMar>
              <w:top w:type="dxa" w:w="60"/>
              <w:left w:type="dxa" w:w="100"/>
              <w:bottom w:type="dxa" w:w="60"/>
              <w:right w:type="dxa" w:w="100"/>
            </w:tcMar>
          </w:tcPr>
          <w:p>
            <w:pPr>
              <w:jc w:val="left"/>
            </w:pPr>
            <w:r>
              <w:rPr>
                <w:b w:val="false"/>
                <w:bCs w:val="false"/>
                <w:color w:val="0D1B2A"/>
                <w:sz w:val="19"/>
                <w:szCs w:val="19"/>
              </w:rPr>
              <w:t xml:space="preserve">7269</w:t>
            </w:r>
          </w:p>
        </w:tc>
        <w:tc>
          <w:tcPr>
            <w:tcW w:type="dxa" w:w="1900"/>
            <w:tcMar>
              <w:top w:type="dxa" w:w="60"/>
              <w:left w:type="dxa" w:w="100"/>
              <w:bottom w:type="dxa" w:w="60"/>
              <w:right w:type="dxa" w:w="100"/>
            </w:tcMar>
          </w:tcPr>
          <w:p>
            <w:pPr>
              <w:jc w:val="left"/>
            </w:pPr>
            <w:r>
              <w:rPr>
                <w:b w:val="false"/>
                <w:bCs w:val="false"/>
                <w:color w:val="0D1B2A"/>
                <w:sz w:val="19"/>
                <w:szCs w:val="19"/>
              </w:rPr>
              <w:t xml:space="preserve">1506 (#9)</w:t>
            </w:r>
          </w:p>
        </w:tc>
        <w:tc>
          <w:tcPr>
            <w:tcW w:type="dxa" w:w="1900"/>
            <w:tcMar>
              <w:top w:type="dxa" w:w="60"/>
              <w:left w:type="dxa" w:w="100"/>
              <w:bottom w:type="dxa" w:w="60"/>
              <w:right w:type="dxa" w:w="100"/>
            </w:tcMar>
          </w:tcPr>
          <w:p>
            <w:pPr>
              <w:jc w:val="left"/>
            </w:pPr>
            <w:r>
              <w:rPr>
                <w:b w:val="false"/>
                <w:bCs w:val="false"/>
                <w:color w:val="0D1B2A"/>
                <w:sz w:val="19"/>
                <w:szCs w:val="19"/>
              </w:rPr>
              <w:t xml:space="preserve">-0.003 (#19)</w:t>
            </w:r>
          </w:p>
        </w:tc>
      </w:tr>
      <w:tr>
        <w:tc>
          <w:tcPr>
            <w:tcW w:type="dxa" w:w="2600"/>
            <w:shd w:fill="F5F8FA" w:val="clear"/>
            <w:tcMar>
              <w:top w:type="dxa" w:w="60"/>
              <w:left w:type="dxa" w:w="100"/>
              <w:bottom w:type="dxa" w:w="60"/>
              <w:right w:type="dxa" w:w="100"/>
            </w:tcMar>
          </w:tcPr>
          <w:p>
            <w:pPr>
              <w:jc w:val="left"/>
            </w:pPr>
            <w:r>
              <w:rPr>
                <w:b w:val="false"/>
                <w:bCs w:val="false"/>
                <w:color w:val="0D1B2A"/>
                <w:sz w:val="19"/>
                <w:szCs w:val="19"/>
              </w:rPr>
              <w:t xml:space="preserve">Buffalo Sabres</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52</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4365</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1506 (#7)</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+0.000 (#15)</w:t>
            </w:r>
          </w:p>
        </w:tc>
      </w:tr>
      <w:tr>
        <w:tc>
          <w:tcPr>
            <w:tcW w:type="dxa" w:w="2600"/>
            <w:tcMar>
              <w:top w:type="dxa" w:w="60"/>
              <w:left w:type="dxa" w:w="100"/>
              <w:bottom w:type="dxa" w:w="60"/>
              <w:right w:type="dxa" w:w="100"/>
            </w:tcMar>
          </w:tcPr>
          <w:p>
            <w:pPr>
              <w:jc w:val="left"/>
            </w:pPr>
            <w:r>
              <w:rPr>
                <w:b w:val="false"/>
                <w:bCs w:val="false"/>
                <w:color w:val="0D1B2A"/>
                <w:sz w:val="19"/>
                <w:szCs w:val="19"/>
              </w:rPr>
              <w:t xml:space="preserve">New York Islanders</w:t>
            </w:r>
          </w:p>
        </w:tc>
        <w:tc>
          <w:tcPr>
            <w:tcW w:type="dxa" w:w="1100"/>
            <w:tcMar>
              <w:top w:type="dxa" w:w="60"/>
              <w:left w:type="dxa" w:w="100"/>
              <w:bottom w:type="dxa" w:w="60"/>
              <w:right w:type="dxa" w:w="100"/>
            </w:tcMar>
          </w:tcPr>
          <w:p>
            <w:pPr>
              <w:jc w:val="left"/>
            </w:pPr>
            <w:r>
              <w:rPr>
                <w:b w:val="false"/>
                <w:bCs w:val="false"/>
                <w:color w:val="0D1B2A"/>
                <w:sz w:val="19"/>
                <w:szCs w:val="19"/>
              </w:rPr>
              <w:t xml:space="preserve">50</w:t>
            </w:r>
          </w:p>
        </w:tc>
        <w:tc>
          <w:tcPr>
            <w:tcW w:type="dxa" w:w="1100"/>
            <w:tcMar>
              <w:top w:type="dxa" w:w="60"/>
              <w:left w:type="dxa" w:w="100"/>
              <w:bottom w:type="dxa" w:w="60"/>
              <w:right w:type="dxa" w:w="100"/>
            </w:tcMar>
          </w:tcPr>
          <w:p>
            <w:pPr>
              <w:jc w:val="left"/>
            </w:pPr>
            <w:r>
              <w:rPr>
                <w:b w:val="false"/>
                <w:bCs w:val="false"/>
                <w:color w:val="0D1B2A"/>
                <w:sz w:val="19"/>
                <w:szCs w:val="19"/>
              </w:rPr>
              <w:t xml:space="preserve">4271</w:t>
            </w:r>
          </w:p>
        </w:tc>
        <w:tc>
          <w:tcPr>
            <w:tcW w:type="dxa" w:w="1900"/>
            <w:tcMar>
              <w:top w:type="dxa" w:w="60"/>
              <w:left w:type="dxa" w:w="100"/>
              <w:bottom w:type="dxa" w:w="60"/>
              <w:right w:type="dxa" w:w="100"/>
            </w:tcMar>
          </w:tcPr>
          <w:p>
            <w:pPr>
              <w:jc w:val="left"/>
            </w:pPr>
            <w:r>
              <w:rPr>
                <w:b w:val="false"/>
                <w:bCs w:val="false"/>
                <w:color w:val="0D1B2A"/>
                <w:sz w:val="19"/>
                <w:szCs w:val="19"/>
              </w:rPr>
              <w:t xml:space="preserve">1502 (#13)</w:t>
            </w:r>
          </w:p>
        </w:tc>
        <w:tc>
          <w:tcPr>
            <w:tcW w:type="dxa" w:w="1900"/>
            <w:tcMar>
              <w:top w:type="dxa" w:w="60"/>
              <w:left w:type="dxa" w:w="100"/>
              <w:bottom w:type="dxa" w:w="60"/>
              <w:right w:type="dxa" w:w="100"/>
            </w:tcMar>
          </w:tcPr>
          <w:p>
            <w:pPr>
              <w:jc w:val="left"/>
            </w:pPr>
            <w:r>
              <w:rPr>
                <w:b w:val="false"/>
                <w:bCs w:val="false"/>
                <w:color w:val="0D1B2A"/>
                <w:sz w:val="19"/>
                <w:szCs w:val="19"/>
              </w:rPr>
              <w:t xml:space="preserve">-0.005 (#21)</w:t>
            </w:r>
          </w:p>
        </w:tc>
      </w:tr>
      <w:tr>
        <w:tc>
          <w:tcPr>
            <w:tcW w:type="dxa" w:w="2600"/>
            <w:shd w:fill="F5F8FA" w:val="clear"/>
            <w:tcMar>
              <w:top w:type="dxa" w:w="60"/>
              <w:left w:type="dxa" w:w="100"/>
              <w:bottom w:type="dxa" w:w="60"/>
              <w:right w:type="dxa" w:w="100"/>
            </w:tcMar>
          </w:tcPr>
          <w:p>
            <w:pPr>
              <w:jc w:val="left"/>
            </w:pPr>
            <w:r>
              <w:rPr>
                <w:b w:val="false"/>
                <w:bCs w:val="false"/>
                <w:color w:val="0D1B2A"/>
                <w:sz w:val="19"/>
                <w:szCs w:val="19"/>
              </w:rPr>
              <w:t xml:space="preserve">Chicago Blackhawks</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96</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7272</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1499 (#17)</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-0.017 (#24)</w:t>
            </w:r>
          </w:p>
        </w:tc>
      </w:tr>
      <w:tr>
        <w:tc>
          <w:tcPr>
            <w:tcW w:type="dxa" w:w="2600"/>
            <w:tcMar>
              <w:top w:type="dxa" w:w="60"/>
              <w:left w:type="dxa" w:w="100"/>
              <w:bottom w:type="dxa" w:w="60"/>
              <w:right w:type="dxa" w:w="100"/>
            </w:tcMar>
          </w:tcPr>
          <w:p>
            <w:pPr>
              <w:jc w:val="left"/>
            </w:pPr>
            <w:r>
              <w:rPr>
                <w:b w:val="false"/>
                <w:bCs w:val="false"/>
                <w:color w:val="0D1B2A"/>
                <w:sz w:val="19"/>
                <w:szCs w:val="19"/>
              </w:rPr>
              <w:t xml:space="preserve">Calgary Flames</w:t>
            </w:r>
          </w:p>
        </w:tc>
        <w:tc>
          <w:tcPr>
            <w:tcW w:type="dxa" w:w="1100"/>
            <w:tcMar>
              <w:top w:type="dxa" w:w="60"/>
              <w:left w:type="dxa" w:w="100"/>
              <w:bottom w:type="dxa" w:w="60"/>
              <w:right w:type="dxa" w:w="100"/>
            </w:tcMar>
          </w:tcPr>
          <w:p>
            <w:pPr>
              <w:jc w:val="left"/>
            </w:pPr>
            <w:r>
              <w:rPr>
                <w:b w:val="false"/>
                <w:bCs w:val="false"/>
                <w:color w:val="0D1B2A"/>
                <w:sz w:val="19"/>
                <w:szCs w:val="19"/>
              </w:rPr>
              <w:t xml:space="preserve">50</w:t>
            </w:r>
          </w:p>
        </w:tc>
        <w:tc>
          <w:tcPr>
            <w:tcW w:type="dxa" w:w="1100"/>
            <w:tcMar>
              <w:top w:type="dxa" w:w="60"/>
              <w:left w:type="dxa" w:w="100"/>
              <w:bottom w:type="dxa" w:w="60"/>
              <w:right w:type="dxa" w:w="100"/>
            </w:tcMar>
          </w:tcPr>
          <w:p>
            <w:pPr>
              <w:jc w:val="left"/>
            </w:pPr>
            <w:r>
              <w:rPr>
                <w:b w:val="false"/>
                <w:bCs w:val="false"/>
                <w:color w:val="0D1B2A"/>
                <w:sz w:val="19"/>
                <w:szCs w:val="19"/>
              </w:rPr>
              <w:t xml:space="preserve">4204</w:t>
            </w:r>
          </w:p>
        </w:tc>
        <w:tc>
          <w:tcPr>
            <w:tcW w:type="dxa" w:w="1900"/>
            <w:tcMar>
              <w:top w:type="dxa" w:w="60"/>
              <w:left w:type="dxa" w:w="100"/>
              <w:bottom w:type="dxa" w:w="60"/>
              <w:right w:type="dxa" w:w="100"/>
            </w:tcMar>
          </w:tcPr>
          <w:p>
            <w:pPr>
              <w:jc w:val="left"/>
            </w:pPr>
            <w:r>
              <w:rPr>
                <w:b w:val="false"/>
                <w:bCs w:val="false"/>
                <w:color w:val="0D1B2A"/>
                <w:sz w:val="19"/>
                <w:szCs w:val="19"/>
              </w:rPr>
              <w:t xml:space="preserve">1508 (#6)</w:t>
            </w:r>
          </w:p>
        </w:tc>
        <w:tc>
          <w:tcPr>
            <w:tcW w:type="dxa" w:w="1900"/>
            <w:tcMar>
              <w:top w:type="dxa" w:w="60"/>
              <w:left w:type="dxa" w:w="100"/>
              <w:bottom w:type="dxa" w:w="60"/>
              <w:right w:type="dxa" w:w="100"/>
            </w:tcMar>
          </w:tcPr>
          <w:p>
            <w:pPr>
              <w:jc w:val="left"/>
            </w:pPr>
            <w:r>
              <w:rPr>
                <w:b w:val="false"/>
                <w:bCs w:val="false"/>
                <w:color w:val="0D1B2A"/>
                <w:sz w:val="19"/>
                <w:szCs w:val="19"/>
              </w:rPr>
              <w:t xml:space="preserve">+0.004 (#12)</w:t>
            </w:r>
          </w:p>
        </w:tc>
      </w:tr>
      <w:tr>
        <w:tc>
          <w:tcPr>
            <w:tcW w:type="dxa" w:w="2600"/>
            <w:shd w:fill="F5F8FA" w:val="clear"/>
            <w:tcMar>
              <w:top w:type="dxa" w:w="60"/>
              <w:left w:type="dxa" w:w="100"/>
              <w:bottom w:type="dxa" w:w="60"/>
              <w:right w:type="dxa" w:w="100"/>
            </w:tcMar>
          </w:tcPr>
          <w:p>
            <w:pPr>
              <w:jc w:val="left"/>
            </w:pPr>
            <w:r>
              <w:rPr>
                <w:b w:val="false"/>
                <w:bCs w:val="false"/>
                <w:color w:val="0D1B2A"/>
                <w:sz w:val="19"/>
                <w:szCs w:val="19"/>
              </w:rPr>
              <w:t xml:space="preserve">Detroit Red Wings</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96</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7347</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1510 (#5)</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+0.005 (#11)</w:t>
            </w:r>
          </w:p>
        </w:tc>
      </w:tr>
      <w:tr>
        <w:tc>
          <w:tcPr>
            <w:tcW w:type="dxa" w:w="2600"/>
            <w:tcMar>
              <w:top w:type="dxa" w:w="60"/>
              <w:left w:type="dxa" w:w="100"/>
              <w:bottom w:type="dxa" w:w="60"/>
              <w:right w:type="dxa" w:w="100"/>
            </w:tcMar>
          </w:tcPr>
          <w:p>
            <w:pPr>
              <w:jc w:val="left"/>
            </w:pPr>
            <w:r>
              <w:rPr>
                <w:b w:val="false"/>
                <w:bCs w:val="false"/>
                <w:color w:val="0D1B2A"/>
                <w:sz w:val="19"/>
                <w:szCs w:val="19"/>
              </w:rPr>
              <w:t xml:space="preserve">Ottawa Senators</w:t>
            </w:r>
          </w:p>
        </w:tc>
        <w:tc>
          <w:tcPr>
            <w:tcW w:type="dxa" w:w="1100"/>
            <w:tcMar>
              <w:top w:type="dxa" w:w="60"/>
              <w:left w:type="dxa" w:w="100"/>
              <w:bottom w:type="dxa" w:w="60"/>
              <w:right w:type="dxa" w:w="100"/>
            </w:tcMar>
          </w:tcPr>
          <w:p>
            <w:pPr>
              <w:jc w:val="left"/>
            </w:pPr>
            <w:r>
              <w:rPr>
                <w:b w:val="false"/>
                <w:bCs w:val="false"/>
                <w:color w:val="0D1B2A"/>
                <w:sz w:val="19"/>
                <w:szCs w:val="19"/>
              </w:rPr>
              <w:t xml:space="preserve">46</w:t>
            </w:r>
          </w:p>
        </w:tc>
        <w:tc>
          <w:tcPr>
            <w:tcW w:type="dxa" w:w="1100"/>
            <w:tcMar>
              <w:top w:type="dxa" w:w="60"/>
              <w:left w:type="dxa" w:w="100"/>
              <w:bottom w:type="dxa" w:w="60"/>
              <w:right w:type="dxa" w:w="100"/>
            </w:tcMar>
          </w:tcPr>
          <w:p>
            <w:pPr>
              <w:jc w:val="left"/>
            </w:pPr>
            <w:r>
              <w:rPr>
                <w:b w:val="false"/>
                <w:bCs w:val="false"/>
                <w:color w:val="0D1B2A"/>
                <w:sz w:val="19"/>
                <w:szCs w:val="19"/>
              </w:rPr>
              <w:t xml:space="preserve">3077</w:t>
            </w:r>
          </w:p>
        </w:tc>
        <w:tc>
          <w:tcPr>
            <w:tcW w:type="dxa" w:w="1900"/>
            <w:tcMar>
              <w:top w:type="dxa" w:w="60"/>
              <w:left w:type="dxa" w:w="100"/>
              <w:bottom w:type="dxa" w:w="60"/>
              <w:right w:type="dxa" w:w="100"/>
            </w:tcMar>
          </w:tcPr>
          <w:p>
            <w:pPr>
              <w:jc w:val="left"/>
            </w:pPr>
            <w:r>
              <w:rPr>
                <w:b w:val="false"/>
                <w:bCs w:val="false"/>
                <w:color w:val="0D1B2A"/>
                <w:sz w:val="19"/>
                <w:szCs w:val="19"/>
              </w:rPr>
              <w:t xml:space="preserve">1487 (#22)</w:t>
            </w:r>
          </w:p>
        </w:tc>
        <w:tc>
          <w:tcPr>
            <w:tcW w:type="dxa" w:w="1900"/>
            <w:tcMar>
              <w:top w:type="dxa" w:w="60"/>
              <w:left w:type="dxa" w:w="100"/>
              <w:bottom w:type="dxa" w:w="60"/>
              <w:right w:type="dxa" w:w="100"/>
            </w:tcMar>
          </w:tcPr>
          <w:p>
            <w:pPr>
              <w:jc w:val="left"/>
            </w:pPr>
            <w:r>
              <w:rPr>
                <w:b w:val="false"/>
                <w:bCs w:val="false"/>
                <w:color w:val="0D1B2A"/>
                <w:sz w:val="19"/>
                <w:szCs w:val="19"/>
              </w:rPr>
              <w:t xml:space="preserve">-0.024 (#26)</w:t>
            </w:r>
          </w:p>
        </w:tc>
      </w:tr>
      <w:tr>
        <w:tc>
          <w:tcPr>
            <w:tcW w:type="dxa" w:w="2600"/>
            <w:shd w:fill="F5F8FA" w:val="clear"/>
            <w:tcMar>
              <w:top w:type="dxa" w:w="60"/>
              <w:left w:type="dxa" w:w="100"/>
              <w:bottom w:type="dxa" w:w="60"/>
              <w:right w:type="dxa" w:w="100"/>
            </w:tcMar>
          </w:tcPr>
          <w:p>
            <w:pPr>
              <w:jc w:val="left"/>
            </w:pPr>
            <w:r>
              <w:rPr>
                <w:b w:val="false"/>
                <w:bCs w:val="false"/>
                <w:color w:val="0D1B2A"/>
                <w:sz w:val="19"/>
                <w:szCs w:val="19"/>
              </w:rPr>
              <w:t xml:space="preserve">San Jose Sharks</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31</w:t>
            </w:r>
          </w:p>
        </w:tc>
        <w:tc>
          <w:tcPr>
            <w:tcW w:type="dxa" w:w="1100"/>
            <w:shd w:fill="F5F8FA" w:val="clear"/>
            <w:tcMar>
              <w:top w:type="dxa" w:w="60"/>
              <w:left w:type="dxa" w:w="100"/>
              <w:bottom w:type="dxa" w:w="60"/>
              <w:right w:type="dxa" w:w="100"/>
            </w:tcMar>
          </w:tcPr>
          <w:p>
            <w:pPr>
              <w:jc w:val="left"/>
            </w:pPr>
            <w:r>
              <w:rPr>
                <w:b w:val="false"/>
                <w:bCs w:val="false"/>
                <w:color w:val="0D1B2A"/>
                <w:sz w:val="19"/>
                <w:szCs w:val="19"/>
              </w:rPr>
              <w:t xml:space="preserve">2679</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1497 (#18)</w:t>
            </w:r>
          </w:p>
        </w:tc>
        <w:tc>
          <w:tcPr>
            <w:tcW w:type="dxa" w:w="1900"/>
            <w:shd w:fill="F5F8FA" w:val="clear"/>
            <w:tcMar>
              <w:top w:type="dxa" w:w="60"/>
              <w:left w:type="dxa" w:w="100"/>
              <w:bottom w:type="dxa" w:w="60"/>
              <w:right w:type="dxa" w:w="100"/>
            </w:tcMar>
          </w:tcPr>
          <w:p>
            <w:pPr>
              <w:jc w:val="left"/>
            </w:pPr>
            <w:r>
              <w:rPr>
                <w:b w:val="false"/>
                <w:bCs w:val="false"/>
                <w:color w:val="0D1B2A"/>
                <w:sz w:val="19"/>
                <w:szCs w:val="19"/>
              </w:rPr>
              <w:t xml:space="preserve">-0.006 (#22)</w:t>
            </w:r>
          </w:p>
        </w:tc>
      </w:tr>
    </w:tbl>
    <w:p>
      <w:pPr>
        <w:spacing w:after="260" w:before="60"/>
      </w:pPr>
      <w:r>
        <w:rPr>
          <w:i/>
          <w:iCs/>
          <w:color w:val="647082"/>
          <w:sz w:val="18"/>
          <w:szCs w:val="18"/>
        </w:rPr>
        <w:t xml:space="preserve">Table 2. Most overrated franchises: low EVA+ rank relative to Elo rank.</w:t>
      </w:r>
    </w:p>
    <w:p>
      <w:pPr>
        <w:pStyle w:val="Heading2"/>
        <w:spacing w:after="120" w:before="240"/>
      </w:pPr>
      <w:r>
        <w:t xml:space="preserve">4.2 Best and worst single seasons by EVA+ (min. 60 games)</w:t>
      </w:r>
    </w:p>
    <w:p>
      <w:pPr>
        <w:spacing w:after="160" w:line="288"/>
      </w:pPr>
      <w:r>
        <w:rPr>
          <w:sz w:val="22"/>
          <w:szCs w:val="22"/>
        </w:rPr>
        <w:t xml:space="preserve">The single greatest EVA+ season in the dataset belongs to the 1973–74 Philadelphia Flyers. The worst belongs to the Quebec Nordiques’ 1989–90 season — recorded in this dataset under the franchise’s current identity, "Colorado Avalanche," per the franchise-continuity convention documented in the Data Dictionary.</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600"/>
        <w:gridCol w:w="1200"/>
      </w:tblGrid>
      <w:tr>
        <w:trPr>
          <w:tblHeader/>
        </w:trPr>
        <w:tc>
          <w:tcPr>
            <w:tcW w:type="dxa" w:w="3000"/>
            <w:shd w:fill="0B3D66" w:val="clear"/>
            <w:tcMar>
              <w:top w:type="dxa" w:w="60"/>
              <w:left w:type="dxa" w:w="100"/>
              <w:bottom w:type="dxa" w:w="60"/>
              <w:right w:type="dxa" w:w="100"/>
            </w:tcMar>
          </w:tcPr>
          <w:p>
            <w:pPr>
              <w:jc w:val="left"/>
            </w:pPr>
            <w:r>
              <w:rPr>
                <w:b/>
                <w:bCs/>
                <w:color w:val="FFFFFF"/>
                <w:sz w:val="19"/>
                <w:szCs w:val="19"/>
              </w:rPr>
              <w:t xml:space="preserve">Franchise</w:t>
            </w:r>
          </w:p>
        </w:tc>
        <w:tc>
          <w:tcPr>
            <w:tcW w:type="dxa" w:w="1400"/>
            <w:shd w:fill="0B3D66" w:val="clear"/>
            <w:tcMar>
              <w:top w:type="dxa" w:w="60"/>
              <w:left w:type="dxa" w:w="100"/>
              <w:bottom w:type="dxa" w:w="60"/>
              <w:right w:type="dxa" w:w="100"/>
            </w:tcMar>
          </w:tcPr>
          <w:p>
            <w:pPr>
              <w:jc w:val="left"/>
            </w:pPr>
            <w:r>
              <w:rPr>
                <w:b/>
                <w:bCs/>
                <w:color w:val="FFFFFF"/>
                <w:sz w:val="19"/>
                <w:szCs w:val="19"/>
              </w:rPr>
              <w:t xml:space="preserve">Season</w:t>
            </w:r>
          </w:p>
        </w:tc>
        <w:tc>
          <w:tcPr>
            <w:tcW w:type="dxa" w:w="1400"/>
            <w:shd w:fill="0B3D66" w:val="clear"/>
            <w:tcMar>
              <w:top w:type="dxa" w:w="60"/>
              <w:left w:type="dxa" w:w="100"/>
              <w:bottom w:type="dxa" w:w="60"/>
              <w:right w:type="dxa" w:w="100"/>
            </w:tcMar>
          </w:tcPr>
          <w:p>
            <w:pPr>
              <w:jc w:val="left"/>
            </w:pPr>
            <w:r>
              <w:rPr>
                <w:b/>
                <w:bCs/>
                <w:color w:val="FFFFFF"/>
                <w:sz w:val="19"/>
                <w:szCs w:val="19"/>
              </w:rPr>
              <w:t xml:space="preserve">Actual W</w:t>
            </w:r>
          </w:p>
        </w:tc>
        <w:tc>
          <w:tcPr>
            <w:tcW w:type="dxa" w:w="1600"/>
            <w:shd w:fill="0B3D66" w:val="clear"/>
            <w:tcMar>
              <w:top w:type="dxa" w:w="60"/>
              <w:left w:type="dxa" w:w="100"/>
              <w:bottom w:type="dxa" w:w="60"/>
              <w:right w:type="dxa" w:w="100"/>
            </w:tcMar>
          </w:tcPr>
          <w:p>
            <w:pPr>
              <w:jc w:val="left"/>
            </w:pPr>
            <w:r>
              <w:rPr>
                <w:b/>
                <w:bCs/>
                <w:color w:val="FFFFFF"/>
                <w:sz w:val="19"/>
                <w:szCs w:val="19"/>
              </w:rPr>
              <w:t xml:space="preserve">Expected W</w:t>
            </w:r>
          </w:p>
        </w:tc>
        <w:tc>
          <w:tcPr>
            <w:tcW w:type="dxa" w:w="1200"/>
            <w:shd w:fill="0B3D66" w:val="clear"/>
            <w:tcMar>
              <w:top w:type="dxa" w:w="60"/>
              <w:left w:type="dxa" w:w="100"/>
              <w:bottom w:type="dxa" w:w="60"/>
              <w:right w:type="dxa" w:w="100"/>
            </w:tcMar>
          </w:tcPr>
          <w:p>
            <w:pPr>
              <w:jc w:val="left"/>
            </w:pPr>
            <w:r>
              <w:rPr>
                <w:b/>
                <w:bCs/>
                <w:color w:val="FFFFFF"/>
                <w:sz w:val="19"/>
                <w:szCs w:val="19"/>
              </w:rPr>
              <w:t xml:space="preserve">EVA+</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Philadelphia Flyers</w:t>
            </w:r>
          </w:p>
        </w:tc>
        <w:tc>
          <w:tcPr>
            <w:tcW w:type="dxa" w:w="1400"/>
            <w:tcMar>
              <w:top w:type="dxa" w:w="60"/>
              <w:left w:type="dxa" w:w="100"/>
              <w:bottom w:type="dxa" w:w="60"/>
              <w:right w:type="dxa" w:w="100"/>
            </w:tcMar>
          </w:tcPr>
          <w:p>
            <w:pPr>
              <w:jc w:val="left"/>
            </w:pPr>
            <w:r>
              <w:rPr>
                <w:b w:val="false"/>
                <w:bCs w:val="false"/>
                <w:color w:val="0D1B2A"/>
                <w:sz w:val="19"/>
                <w:szCs w:val="19"/>
              </w:rPr>
              <w:t xml:space="preserve">1973–74</w:t>
            </w:r>
          </w:p>
        </w:tc>
        <w:tc>
          <w:tcPr>
            <w:tcW w:type="dxa" w:w="1400"/>
            <w:tcMar>
              <w:top w:type="dxa" w:w="60"/>
              <w:left w:type="dxa" w:w="100"/>
              <w:bottom w:type="dxa" w:w="60"/>
              <w:right w:type="dxa" w:w="100"/>
            </w:tcMar>
          </w:tcPr>
          <w:p>
            <w:pPr>
              <w:jc w:val="left"/>
            </w:pPr>
            <w:r>
              <w:rPr>
                <w:b w:val="false"/>
                <w:bCs w:val="false"/>
                <w:color w:val="0D1B2A"/>
                <w:sz w:val="19"/>
                <w:szCs w:val="19"/>
              </w:rPr>
              <w:t xml:space="preserve">62</w:t>
            </w:r>
          </w:p>
        </w:tc>
        <w:tc>
          <w:tcPr>
            <w:tcW w:type="dxa" w:w="1600"/>
            <w:tcMar>
              <w:top w:type="dxa" w:w="60"/>
              <w:left w:type="dxa" w:w="100"/>
              <w:bottom w:type="dxa" w:w="60"/>
              <w:right w:type="dxa" w:w="100"/>
            </w:tcMar>
          </w:tcPr>
          <w:p>
            <w:pPr>
              <w:jc w:val="left"/>
            </w:pPr>
            <w:r>
              <w:rPr>
                <w:b w:val="false"/>
                <w:bCs w:val="false"/>
                <w:color w:val="0D1B2A"/>
                <w:sz w:val="19"/>
                <w:szCs w:val="19"/>
              </w:rPr>
              <w:t xml:space="preserve">55.5</w:t>
            </w:r>
          </w:p>
        </w:tc>
        <w:tc>
          <w:tcPr>
            <w:tcW w:type="dxa" w:w="1200"/>
            <w:tcMar>
              <w:top w:type="dxa" w:w="60"/>
              <w:left w:type="dxa" w:w="100"/>
              <w:bottom w:type="dxa" w:w="60"/>
              <w:right w:type="dxa" w:w="100"/>
            </w:tcMar>
          </w:tcPr>
          <w:p>
            <w:pPr>
              <w:jc w:val="left"/>
            </w:pPr>
            <w:r>
              <w:rPr>
                <w:b w:val="false"/>
                <w:bCs w:val="false"/>
                <w:color w:val="0D1B2A"/>
                <w:sz w:val="19"/>
                <w:szCs w:val="19"/>
              </w:rPr>
              <w:t xml:space="preserve">+27.3</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Montreal Canadiens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1975–76</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70</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64.1</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+26.5</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Carolina Hurricanes</w:t>
            </w:r>
          </w:p>
        </w:tc>
        <w:tc>
          <w:tcPr>
            <w:tcW w:type="dxa" w:w="1400"/>
            <w:tcMar>
              <w:top w:type="dxa" w:w="60"/>
              <w:left w:type="dxa" w:w="100"/>
              <w:bottom w:type="dxa" w:w="60"/>
              <w:right w:type="dxa" w:w="100"/>
            </w:tcMar>
          </w:tcPr>
          <w:p>
            <w:pPr>
              <w:jc w:val="left"/>
            </w:pPr>
            <w:r>
              <w:rPr>
                <w:b w:val="false"/>
                <w:bCs w:val="false"/>
                <w:color w:val="0D1B2A"/>
                <w:sz w:val="19"/>
                <w:szCs w:val="19"/>
              </w:rPr>
              <w:t xml:space="preserve">2005–06</w:t>
            </w:r>
          </w:p>
        </w:tc>
        <w:tc>
          <w:tcPr>
            <w:tcW w:type="dxa" w:w="1400"/>
            <w:tcMar>
              <w:top w:type="dxa" w:w="60"/>
              <w:left w:type="dxa" w:w="100"/>
              <w:bottom w:type="dxa" w:w="60"/>
              <w:right w:type="dxa" w:w="100"/>
            </w:tcMar>
          </w:tcPr>
          <w:p>
            <w:pPr>
              <w:jc w:val="left"/>
            </w:pPr>
            <w:r>
              <w:rPr>
                <w:b w:val="false"/>
                <w:bCs w:val="false"/>
                <w:color w:val="0D1B2A"/>
                <w:sz w:val="19"/>
                <w:szCs w:val="19"/>
              </w:rPr>
              <w:t xml:space="preserve">68</w:t>
            </w:r>
          </w:p>
        </w:tc>
        <w:tc>
          <w:tcPr>
            <w:tcW w:type="dxa" w:w="1600"/>
            <w:tcMar>
              <w:top w:type="dxa" w:w="60"/>
              <w:left w:type="dxa" w:w="100"/>
              <w:bottom w:type="dxa" w:w="60"/>
              <w:right w:type="dxa" w:w="100"/>
            </w:tcMar>
          </w:tcPr>
          <w:p>
            <w:pPr>
              <w:jc w:val="left"/>
            </w:pPr>
            <w:r>
              <w:rPr>
                <w:b w:val="false"/>
                <w:bCs w:val="false"/>
                <w:color w:val="0D1B2A"/>
                <w:sz w:val="19"/>
                <w:szCs w:val="19"/>
              </w:rPr>
              <w:t xml:space="preserve">54.3</w:t>
            </w:r>
          </w:p>
        </w:tc>
        <w:tc>
          <w:tcPr>
            <w:tcW w:type="dxa" w:w="1200"/>
            <w:tcMar>
              <w:top w:type="dxa" w:w="60"/>
              <w:left w:type="dxa" w:w="100"/>
              <w:bottom w:type="dxa" w:w="60"/>
              <w:right w:type="dxa" w:w="100"/>
            </w:tcMar>
          </w:tcPr>
          <w:p>
            <w:pPr>
              <w:jc w:val="left"/>
            </w:pPr>
            <w:r>
              <w:rPr>
                <w:b w:val="false"/>
                <w:bCs w:val="false"/>
                <w:color w:val="0D1B2A"/>
                <w:sz w:val="19"/>
                <w:szCs w:val="19"/>
              </w:rPr>
              <w:t xml:space="preserve">+26.3</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Buffalo Sabres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1974–75</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59</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54.7</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+25.1</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Montreal Canadiens</w:t>
            </w:r>
          </w:p>
        </w:tc>
        <w:tc>
          <w:tcPr>
            <w:tcW w:type="dxa" w:w="1400"/>
            <w:tcMar>
              <w:top w:type="dxa" w:w="60"/>
              <w:left w:type="dxa" w:w="100"/>
              <w:bottom w:type="dxa" w:w="60"/>
              <w:right w:type="dxa" w:w="100"/>
            </w:tcMar>
          </w:tcPr>
          <w:p>
            <w:pPr>
              <w:jc w:val="left"/>
            </w:pPr>
            <w:r>
              <w:rPr>
                <w:b w:val="false"/>
                <w:bCs w:val="false"/>
                <w:color w:val="0D1B2A"/>
                <w:sz w:val="19"/>
                <w:szCs w:val="19"/>
              </w:rPr>
              <w:t xml:space="preserve">1976–77</w:t>
            </w:r>
          </w:p>
        </w:tc>
        <w:tc>
          <w:tcPr>
            <w:tcW w:type="dxa" w:w="1400"/>
            <w:tcMar>
              <w:top w:type="dxa" w:w="60"/>
              <w:left w:type="dxa" w:w="100"/>
              <w:bottom w:type="dxa" w:w="60"/>
              <w:right w:type="dxa" w:w="100"/>
            </w:tcMar>
          </w:tcPr>
          <w:p>
            <w:pPr>
              <w:jc w:val="left"/>
            </w:pPr>
            <w:r>
              <w:rPr>
                <w:b w:val="false"/>
                <w:bCs w:val="false"/>
                <w:color w:val="0D1B2A"/>
                <w:sz w:val="19"/>
                <w:szCs w:val="19"/>
              </w:rPr>
              <w:t xml:space="preserve">72</w:t>
            </w:r>
          </w:p>
        </w:tc>
        <w:tc>
          <w:tcPr>
            <w:tcW w:type="dxa" w:w="1600"/>
            <w:tcMar>
              <w:top w:type="dxa" w:w="60"/>
              <w:left w:type="dxa" w:w="100"/>
              <w:bottom w:type="dxa" w:w="60"/>
              <w:right w:type="dxa" w:w="100"/>
            </w:tcMar>
          </w:tcPr>
          <w:p>
            <w:pPr>
              <w:jc w:val="left"/>
            </w:pPr>
            <w:r>
              <w:rPr>
                <w:b w:val="false"/>
                <w:bCs w:val="false"/>
                <w:color w:val="0D1B2A"/>
                <w:sz w:val="19"/>
                <w:szCs w:val="19"/>
              </w:rPr>
              <w:t xml:space="preserve">68.6</w:t>
            </w:r>
          </w:p>
        </w:tc>
        <w:tc>
          <w:tcPr>
            <w:tcW w:type="dxa" w:w="1200"/>
            <w:tcMar>
              <w:top w:type="dxa" w:w="60"/>
              <w:left w:type="dxa" w:w="100"/>
              <w:bottom w:type="dxa" w:w="60"/>
              <w:right w:type="dxa" w:w="100"/>
            </w:tcMar>
          </w:tcPr>
          <w:p>
            <w:pPr>
              <w:jc w:val="left"/>
            </w:pPr>
            <w:r>
              <w:rPr>
                <w:b w:val="false"/>
                <w:bCs w:val="false"/>
                <w:color w:val="0D1B2A"/>
                <w:sz w:val="19"/>
                <w:szCs w:val="19"/>
              </w:rPr>
              <w:t xml:space="preserve">+24.4</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Calgary Flames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1988–89</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70</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65.4</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+23.0</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San Jose Sharks</w:t>
            </w:r>
          </w:p>
        </w:tc>
        <w:tc>
          <w:tcPr>
            <w:tcW w:type="dxa" w:w="1400"/>
            <w:tcMar>
              <w:top w:type="dxa" w:w="60"/>
              <w:left w:type="dxa" w:w="100"/>
              <w:bottom w:type="dxa" w:w="60"/>
              <w:right w:type="dxa" w:w="100"/>
            </w:tcMar>
          </w:tcPr>
          <w:p>
            <w:pPr>
              <w:jc w:val="left"/>
            </w:pPr>
            <w:r>
              <w:rPr>
                <w:b w:val="false"/>
                <w:bCs w:val="false"/>
                <w:color w:val="0D1B2A"/>
                <w:sz w:val="19"/>
                <w:szCs w:val="19"/>
              </w:rPr>
              <w:t xml:space="preserve">1993–94</w:t>
            </w:r>
          </w:p>
        </w:tc>
        <w:tc>
          <w:tcPr>
            <w:tcW w:type="dxa" w:w="1400"/>
            <w:tcMar>
              <w:top w:type="dxa" w:w="60"/>
              <w:left w:type="dxa" w:w="100"/>
              <w:bottom w:type="dxa" w:w="60"/>
              <w:right w:type="dxa" w:w="100"/>
            </w:tcMar>
          </w:tcPr>
          <w:p>
            <w:pPr>
              <w:jc w:val="left"/>
            </w:pPr>
            <w:r>
              <w:rPr>
                <w:b w:val="false"/>
                <w:bCs w:val="false"/>
                <w:color w:val="0D1B2A"/>
                <w:sz w:val="19"/>
                <w:szCs w:val="19"/>
              </w:rPr>
              <w:t xml:space="preserve">40</w:t>
            </w:r>
          </w:p>
        </w:tc>
        <w:tc>
          <w:tcPr>
            <w:tcW w:type="dxa" w:w="1600"/>
            <w:tcMar>
              <w:top w:type="dxa" w:w="60"/>
              <w:left w:type="dxa" w:w="100"/>
              <w:bottom w:type="dxa" w:w="60"/>
              <w:right w:type="dxa" w:w="100"/>
            </w:tcMar>
          </w:tcPr>
          <w:p>
            <w:pPr>
              <w:jc w:val="left"/>
            </w:pPr>
            <w:r>
              <w:rPr>
                <w:b w:val="false"/>
                <w:bCs w:val="false"/>
                <w:color w:val="0D1B2A"/>
                <w:sz w:val="19"/>
                <w:szCs w:val="19"/>
              </w:rPr>
              <w:t xml:space="preserve">34.2</w:t>
            </w:r>
          </w:p>
        </w:tc>
        <w:tc>
          <w:tcPr>
            <w:tcW w:type="dxa" w:w="1200"/>
            <w:tcMar>
              <w:top w:type="dxa" w:w="60"/>
              <w:left w:type="dxa" w:w="100"/>
              <w:bottom w:type="dxa" w:w="60"/>
              <w:right w:type="dxa" w:w="100"/>
            </w:tcMar>
          </w:tcPr>
          <w:p>
            <w:pPr>
              <w:jc w:val="left"/>
            </w:pPr>
            <w:r>
              <w:rPr>
                <w:b w:val="false"/>
                <w:bCs w:val="false"/>
                <w:color w:val="0D1B2A"/>
                <w:sz w:val="19"/>
                <w:szCs w:val="19"/>
              </w:rPr>
              <w:t xml:space="preserve">+23.0</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Anaheim Ducks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2002–03</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55</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47.2</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+22.6</w:t>
            </w:r>
          </w:p>
        </w:tc>
      </w:tr>
    </w:tbl>
    <w:p>
      <w:pPr>
        <w:spacing w:after="260" w:before="60"/>
      </w:pPr>
      <w:r>
        <w:rPr>
          <w:i/>
          <w:iCs/>
          <w:color w:val="647082"/>
          <w:sz w:val="18"/>
          <w:szCs w:val="18"/>
        </w:rPr>
        <w:t xml:space="preserve">Table 3. Highest single-season EVA+.</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600"/>
        <w:gridCol w:w="1200"/>
      </w:tblGrid>
      <w:tr>
        <w:trPr>
          <w:tblHeader/>
        </w:trPr>
        <w:tc>
          <w:tcPr>
            <w:tcW w:type="dxa" w:w="3000"/>
            <w:shd w:fill="0B3D66" w:val="clear"/>
            <w:tcMar>
              <w:top w:type="dxa" w:w="60"/>
              <w:left w:type="dxa" w:w="100"/>
              <w:bottom w:type="dxa" w:w="60"/>
              <w:right w:type="dxa" w:w="100"/>
            </w:tcMar>
          </w:tcPr>
          <w:p>
            <w:pPr>
              <w:jc w:val="left"/>
            </w:pPr>
            <w:r>
              <w:rPr>
                <w:b/>
                <w:bCs/>
                <w:color w:val="FFFFFF"/>
                <w:sz w:val="19"/>
                <w:szCs w:val="19"/>
              </w:rPr>
              <w:t xml:space="preserve">Franchise</w:t>
            </w:r>
          </w:p>
        </w:tc>
        <w:tc>
          <w:tcPr>
            <w:tcW w:type="dxa" w:w="1400"/>
            <w:shd w:fill="0B3D66" w:val="clear"/>
            <w:tcMar>
              <w:top w:type="dxa" w:w="60"/>
              <w:left w:type="dxa" w:w="100"/>
              <w:bottom w:type="dxa" w:w="60"/>
              <w:right w:type="dxa" w:w="100"/>
            </w:tcMar>
          </w:tcPr>
          <w:p>
            <w:pPr>
              <w:jc w:val="left"/>
            </w:pPr>
            <w:r>
              <w:rPr>
                <w:b/>
                <w:bCs/>
                <w:color w:val="FFFFFF"/>
                <w:sz w:val="19"/>
                <w:szCs w:val="19"/>
              </w:rPr>
              <w:t xml:space="preserve">Season</w:t>
            </w:r>
          </w:p>
        </w:tc>
        <w:tc>
          <w:tcPr>
            <w:tcW w:type="dxa" w:w="1400"/>
            <w:shd w:fill="0B3D66" w:val="clear"/>
            <w:tcMar>
              <w:top w:type="dxa" w:w="60"/>
              <w:left w:type="dxa" w:w="100"/>
              <w:bottom w:type="dxa" w:w="60"/>
              <w:right w:type="dxa" w:w="100"/>
            </w:tcMar>
          </w:tcPr>
          <w:p>
            <w:pPr>
              <w:jc w:val="left"/>
            </w:pPr>
            <w:r>
              <w:rPr>
                <w:b/>
                <w:bCs/>
                <w:color w:val="FFFFFF"/>
                <w:sz w:val="19"/>
                <w:szCs w:val="19"/>
              </w:rPr>
              <w:t xml:space="preserve">Actual W</w:t>
            </w:r>
          </w:p>
        </w:tc>
        <w:tc>
          <w:tcPr>
            <w:tcW w:type="dxa" w:w="1600"/>
            <w:shd w:fill="0B3D66" w:val="clear"/>
            <w:tcMar>
              <w:top w:type="dxa" w:w="60"/>
              <w:left w:type="dxa" w:w="100"/>
              <w:bottom w:type="dxa" w:w="60"/>
              <w:right w:type="dxa" w:w="100"/>
            </w:tcMar>
          </w:tcPr>
          <w:p>
            <w:pPr>
              <w:jc w:val="left"/>
            </w:pPr>
            <w:r>
              <w:rPr>
                <w:b/>
                <w:bCs/>
                <w:color w:val="FFFFFF"/>
                <w:sz w:val="19"/>
                <w:szCs w:val="19"/>
              </w:rPr>
              <w:t xml:space="preserve">Expected W</w:t>
            </w:r>
          </w:p>
        </w:tc>
        <w:tc>
          <w:tcPr>
            <w:tcW w:type="dxa" w:w="1200"/>
            <w:shd w:fill="0B3D66" w:val="clear"/>
            <w:tcMar>
              <w:top w:type="dxa" w:w="60"/>
              <w:left w:type="dxa" w:w="100"/>
              <w:bottom w:type="dxa" w:w="60"/>
              <w:right w:type="dxa" w:w="100"/>
            </w:tcMar>
          </w:tcPr>
          <w:p>
            <w:pPr>
              <w:jc w:val="left"/>
            </w:pPr>
            <w:r>
              <w:rPr>
                <w:b/>
                <w:bCs/>
                <w:color w:val="FFFFFF"/>
                <w:sz w:val="19"/>
                <w:szCs w:val="19"/>
              </w:rPr>
              <w:t xml:space="preserve">EVA+</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Colorado Avalanche</w:t>
            </w:r>
          </w:p>
        </w:tc>
        <w:tc>
          <w:tcPr>
            <w:tcW w:type="dxa" w:w="1400"/>
            <w:tcMar>
              <w:top w:type="dxa" w:w="60"/>
              <w:left w:type="dxa" w:w="100"/>
              <w:bottom w:type="dxa" w:w="60"/>
              <w:right w:type="dxa" w:w="100"/>
            </w:tcMar>
          </w:tcPr>
          <w:p>
            <w:pPr>
              <w:jc w:val="left"/>
            </w:pPr>
            <w:r>
              <w:rPr>
                <w:b w:val="false"/>
                <w:bCs w:val="false"/>
                <w:color w:val="0D1B2A"/>
                <w:sz w:val="19"/>
                <w:szCs w:val="19"/>
              </w:rPr>
              <w:t xml:space="preserve">1989–90</w:t>
            </w:r>
          </w:p>
        </w:tc>
        <w:tc>
          <w:tcPr>
            <w:tcW w:type="dxa" w:w="1400"/>
            <w:tcMar>
              <w:top w:type="dxa" w:w="60"/>
              <w:left w:type="dxa" w:w="100"/>
              <w:bottom w:type="dxa" w:w="60"/>
              <w:right w:type="dxa" w:w="100"/>
            </w:tcMar>
          </w:tcPr>
          <w:p>
            <w:pPr>
              <w:jc w:val="left"/>
            </w:pPr>
            <w:r>
              <w:rPr>
                <w:b w:val="false"/>
                <w:bCs w:val="false"/>
                <w:color w:val="0D1B2A"/>
                <w:sz w:val="19"/>
                <w:szCs w:val="19"/>
              </w:rPr>
              <w:t xml:space="preserve">12</w:t>
            </w:r>
          </w:p>
        </w:tc>
        <w:tc>
          <w:tcPr>
            <w:tcW w:type="dxa" w:w="1600"/>
            <w:tcMar>
              <w:top w:type="dxa" w:w="60"/>
              <w:left w:type="dxa" w:w="100"/>
              <w:bottom w:type="dxa" w:w="60"/>
              <w:right w:type="dxa" w:w="100"/>
            </w:tcMar>
          </w:tcPr>
          <w:p>
            <w:pPr>
              <w:jc w:val="left"/>
            </w:pPr>
            <w:r>
              <w:rPr>
                <w:b w:val="false"/>
                <w:bCs w:val="false"/>
                <w:color w:val="0D1B2A"/>
                <w:sz w:val="19"/>
                <w:szCs w:val="19"/>
              </w:rPr>
              <w:t xml:space="preserve">28.5</w:t>
            </w:r>
          </w:p>
        </w:tc>
        <w:tc>
          <w:tcPr>
            <w:tcW w:type="dxa" w:w="1200"/>
            <w:tcMar>
              <w:top w:type="dxa" w:w="60"/>
              <w:left w:type="dxa" w:w="100"/>
              <w:bottom w:type="dxa" w:w="60"/>
              <w:right w:type="dxa" w:w="100"/>
            </w:tcMar>
          </w:tcPr>
          <w:p>
            <w:pPr>
              <w:jc w:val="left"/>
            </w:pPr>
            <w:r>
              <w:rPr>
                <w:b w:val="false"/>
                <w:bCs w:val="false"/>
                <w:color w:val="0D1B2A"/>
                <w:sz w:val="19"/>
                <w:szCs w:val="19"/>
              </w:rPr>
              <w:t xml:space="preserve">-30.2</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Colorado Avalanche</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2016–17</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22</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33.3</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-30.0</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Buffalo Sabres</w:t>
            </w:r>
          </w:p>
        </w:tc>
        <w:tc>
          <w:tcPr>
            <w:tcW w:type="dxa" w:w="1400"/>
            <w:tcMar>
              <w:top w:type="dxa" w:w="60"/>
              <w:left w:type="dxa" w:w="100"/>
              <w:bottom w:type="dxa" w:w="60"/>
              <w:right w:type="dxa" w:w="100"/>
            </w:tcMar>
          </w:tcPr>
          <w:p>
            <w:pPr>
              <w:jc w:val="left"/>
            </w:pPr>
            <w:r>
              <w:rPr>
                <w:b w:val="false"/>
                <w:bCs w:val="false"/>
                <w:color w:val="0D1B2A"/>
                <w:sz w:val="19"/>
                <w:szCs w:val="19"/>
              </w:rPr>
              <w:t xml:space="preserve">2013–14</w:t>
            </w:r>
          </w:p>
        </w:tc>
        <w:tc>
          <w:tcPr>
            <w:tcW w:type="dxa" w:w="1400"/>
            <w:tcMar>
              <w:top w:type="dxa" w:w="60"/>
              <w:left w:type="dxa" w:w="100"/>
              <w:bottom w:type="dxa" w:w="60"/>
              <w:right w:type="dxa" w:w="100"/>
            </w:tcMar>
          </w:tcPr>
          <w:p>
            <w:pPr>
              <w:jc w:val="left"/>
            </w:pPr>
            <w:r>
              <w:rPr>
                <w:b w:val="false"/>
                <w:bCs w:val="false"/>
                <w:color w:val="0D1B2A"/>
                <w:sz w:val="19"/>
                <w:szCs w:val="19"/>
              </w:rPr>
              <w:t xml:space="preserve">21</w:t>
            </w:r>
          </w:p>
        </w:tc>
        <w:tc>
          <w:tcPr>
            <w:tcW w:type="dxa" w:w="1600"/>
            <w:tcMar>
              <w:top w:type="dxa" w:w="60"/>
              <w:left w:type="dxa" w:w="100"/>
              <w:bottom w:type="dxa" w:w="60"/>
              <w:right w:type="dxa" w:w="100"/>
            </w:tcMar>
          </w:tcPr>
          <w:p>
            <w:pPr>
              <w:jc w:val="left"/>
            </w:pPr>
            <w:r>
              <w:rPr>
                <w:b w:val="false"/>
                <w:bCs w:val="false"/>
                <w:color w:val="0D1B2A"/>
                <w:sz w:val="19"/>
                <w:szCs w:val="19"/>
              </w:rPr>
              <w:t xml:space="preserve">33.9</w:t>
            </w:r>
          </w:p>
        </w:tc>
        <w:tc>
          <w:tcPr>
            <w:tcW w:type="dxa" w:w="1200"/>
            <w:tcMar>
              <w:top w:type="dxa" w:w="60"/>
              <w:left w:type="dxa" w:w="100"/>
              <w:bottom w:type="dxa" w:w="60"/>
              <w:right w:type="dxa" w:w="100"/>
            </w:tcMar>
          </w:tcPr>
          <w:p>
            <w:pPr>
              <w:jc w:val="left"/>
            </w:pPr>
            <w:r>
              <w:rPr>
                <w:b w:val="false"/>
                <w:bCs w:val="false"/>
                <w:color w:val="0D1B2A"/>
                <w:sz w:val="19"/>
                <w:szCs w:val="19"/>
              </w:rPr>
              <w:t xml:space="preserve">-27.6</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Washington Capitals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1974–75</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8</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22.4</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-27.5</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San Jose Sharks</w:t>
            </w:r>
          </w:p>
        </w:tc>
        <w:tc>
          <w:tcPr>
            <w:tcW w:type="dxa" w:w="1400"/>
            <w:tcMar>
              <w:top w:type="dxa" w:w="60"/>
              <w:left w:type="dxa" w:w="100"/>
              <w:bottom w:type="dxa" w:w="60"/>
              <w:right w:type="dxa" w:w="100"/>
            </w:tcMar>
          </w:tcPr>
          <w:p>
            <w:pPr>
              <w:jc w:val="left"/>
            </w:pPr>
            <w:r>
              <w:rPr>
                <w:b w:val="false"/>
                <w:bCs w:val="false"/>
                <w:color w:val="0D1B2A"/>
                <w:sz w:val="19"/>
                <w:szCs w:val="19"/>
              </w:rPr>
              <w:t xml:space="preserve">1992–93</w:t>
            </w:r>
          </w:p>
        </w:tc>
        <w:tc>
          <w:tcPr>
            <w:tcW w:type="dxa" w:w="1400"/>
            <w:tcMar>
              <w:top w:type="dxa" w:w="60"/>
              <w:left w:type="dxa" w:w="100"/>
              <w:bottom w:type="dxa" w:w="60"/>
              <w:right w:type="dxa" w:w="100"/>
            </w:tcMar>
          </w:tcPr>
          <w:p>
            <w:pPr>
              <w:jc w:val="left"/>
            </w:pPr>
            <w:r>
              <w:rPr>
                <w:b w:val="false"/>
                <w:bCs w:val="false"/>
                <w:color w:val="0D1B2A"/>
                <w:sz w:val="19"/>
                <w:szCs w:val="19"/>
              </w:rPr>
              <w:t xml:space="preserve">11</w:t>
            </w:r>
          </w:p>
        </w:tc>
        <w:tc>
          <w:tcPr>
            <w:tcW w:type="dxa" w:w="1600"/>
            <w:tcMar>
              <w:top w:type="dxa" w:w="60"/>
              <w:left w:type="dxa" w:w="100"/>
              <w:bottom w:type="dxa" w:w="60"/>
              <w:right w:type="dxa" w:w="100"/>
            </w:tcMar>
          </w:tcPr>
          <w:p>
            <w:pPr>
              <w:jc w:val="left"/>
            </w:pPr>
            <w:r>
              <w:rPr>
                <w:b w:val="false"/>
                <w:bCs w:val="false"/>
                <w:color w:val="0D1B2A"/>
                <w:sz w:val="19"/>
                <w:szCs w:val="19"/>
              </w:rPr>
              <w:t xml:space="preserve">24.6</w:t>
            </w:r>
          </w:p>
        </w:tc>
        <w:tc>
          <w:tcPr>
            <w:tcW w:type="dxa" w:w="1200"/>
            <w:tcMar>
              <w:top w:type="dxa" w:w="60"/>
              <w:left w:type="dxa" w:w="100"/>
              <w:bottom w:type="dxa" w:w="60"/>
              <w:right w:type="dxa" w:w="100"/>
            </w:tcMar>
          </w:tcPr>
          <w:p>
            <w:pPr>
              <w:jc w:val="left"/>
            </w:pPr>
            <w:r>
              <w:rPr>
                <w:b w:val="false"/>
                <w:bCs w:val="false"/>
                <w:color w:val="0D1B2A"/>
                <w:sz w:val="19"/>
                <w:szCs w:val="19"/>
              </w:rPr>
              <w:t xml:space="preserve">-26.9</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Chicago Blackhawks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1953–54</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12</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27.3</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-25.7</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Philadelphia Flyers</w:t>
            </w:r>
          </w:p>
        </w:tc>
        <w:tc>
          <w:tcPr>
            <w:tcW w:type="dxa" w:w="1400"/>
            <w:tcMar>
              <w:top w:type="dxa" w:w="60"/>
              <w:left w:type="dxa" w:w="100"/>
              <w:bottom w:type="dxa" w:w="60"/>
              <w:right w:type="dxa" w:w="100"/>
            </w:tcMar>
          </w:tcPr>
          <w:p>
            <w:pPr>
              <w:jc w:val="left"/>
            </w:pPr>
            <w:r>
              <w:rPr>
                <w:b w:val="false"/>
                <w:bCs w:val="false"/>
                <w:color w:val="0D1B2A"/>
                <w:sz w:val="19"/>
                <w:szCs w:val="19"/>
              </w:rPr>
              <w:t xml:space="preserve">2006–07</w:t>
            </w:r>
          </w:p>
        </w:tc>
        <w:tc>
          <w:tcPr>
            <w:tcW w:type="dxa" w:w="1400"/>
            <w:tcMar>
              <w:top w:type="dxa" w:w="60"/>
              <w:left w:type="dxa" w:w="100"/>
              <w:bottom w:type="dxa" w:w="60"/>
              <w:right w:type="dxa" w:w="100"/>
            </w:tcMar>
          </w:tcPr>
          <w:p>
            <w:pPr>
              <w:jc w:val="left"/>
            </w:pPr>
            <w:r>
              <w:rPr>
                <w:b w:val="false"/>
                <w:bCs w:val="false"/>
                <w:color w:val="0D1B2A"/>
                <w:sz w:val="19"/>
                <w:szCs w:val="19"/>
              </w:rPr>
              <w:t xml:space="preserve">22</w:t>
            </w:r>
          </w:p>
        </w:tc>
        <w:tc>
          <w:tcPr>
            <w:tcW w:type="dxa" w:w="1600"/>
            <w:tcMar>
              <w:top w:type="dxa" w:w="60"/>
              <w:left w:type="dxa" w:w="100"/>
              <w:bottom w:type="dxa" w:w="60"/>
              <w:right w:type="dxa" w:w="100"/>
            </w:tcMar>
          </w:tcPr>
          <w:p>
            <w:pPr>
              <w:jc w:val="left"/>
            </w:pPr>
            <w:r>
              <w:rPr>
                <w:b w:val="false"/>
                <w:bCs w:val="false"/>
                <w:color w:val="0D1B2A"/>
                <w:sz w:val="19"/>
                <w:szCs w:val="19"/>
              </w:rPr>
              <w:t xml:space="preserve">35.5</w:t>
            </w:r>
          </w:p>
        </w:tc>
        <w:tc>
          <w:tcPr>
            <w:tcW w:type="dxa" w:w="1200"/>
            <w:tcMar>
              <w:top w:type="dxa" w:w="60"/>
              <w:left w:type="dxa" w:w="100"/>
              <w:bottom w:type="dxa" w:w="60"/>
              <w:right w:type="dxa" w:w="100"/>
            </w:tcMar>
          </w:tcPr>
          <w:p>
            <w:pPr>
              <w:jc w:val="left"/>
            </w:pPr>
            <w:r>
              <w:rPr>
                <w:b w:val="false"/>
                <w:bCs w:val="false"/>
                <w:color w:val="0D1B2A"/>
                <w:sz w:val="19"/>
                <w:szCs w:val="19"/>
              </w:rPr>
              <w:t xml:space="preserve">-25.6</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Carolina Hurricanes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2002–03</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22</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40.1</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-25.0</w:t>
            </w:r>
          </w:p>
        </w:tc>
      </w:tr>
    </w:tbl>
    <w:p>
      <w:pPr>
        <w:spacing w:after="260" w:before="60"/>
      </w:pPr>
      <w:r>
        <w:rPr>
          <w:i/>
          <w:iCs/>
          <w:color w:val="647082"/>
          <w:sz w:val="18"/>
          <w:szCs w:val="18"/>
        </w:rPr>
        <w:t xml:space="preserve">Table 4. Lowest single-season EVA+.</w:t>
      </w:r>
    </w:p>
    <w:p>
      <w:pPr>
        <w:pStyle w:val="Heading2"/>
        <w:spacing w:after="120" w:before="240"/>
      </w:pPr>
      <w:r>
        <w:t xml:space="preserve">4.3 Playoff EVA+ leaders</w:t>
      </w:r>
    </w:p>
    <w:p>
      <w:pPr>
        <w:spacing w:after="160" w:line="288"/>
      </w:pPr>
      <w:r>
        <w:rPr>
          <w:sz w:val="22"/>
          <w:szCs w:val="22"/>
        </w:rPr>
        <w:t xml:space="preserve">Isolating playoff games only, the 1991–92 Pittsburgh Penguins — en route to their second consecutive Stanley Cup — posted the strongest single-postseason EVA+ in the dataset among teams with at least 10 playoff games.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1600"/>
        <w:gridCol w:w="1200"/>
      </w:tblGrid>
      <w:tr>
        <w:trPr>
          <w:tblHeader/>
        </w:trPr>
        <w:tc>
          <w:tcPr>
            <w:tcW w:type="dxa" w:w="3000"/>
            <w:shd w:fill="0B3D66" w:val="clear"/>
            <w:tcMar>
              <w:top w:type="dxa" w:w="60"/>
              <w:left w:type="dxa" w:w="100"/>
              <w:bottom w:type="dxa" w:w="60"/>
              <w:right w:type="dxa" w:w="100"/>
            </w:tcMar>
          </w:tcPr>
          <w:p>
            <w:pPr>
              <w:jc w:val="left"/>
            </w:pPr>
            <w:r>
              <w:rPr>
                <w:b/>
                <w:bCs/>
                <w:color w:val="FFFFFF"/>
                <w:sz w:val="19"/>
                <w:szCs w:val="19"/>
              </w:rPr>
              <w:t xml:space="preserve">Franchise</w:t>
            </w:r>
          </w:p>
        </w:tc>
        <w:tc>
          <w:tcPr>
            <w:tcW w:type="dxa" w:w="1400"/>
            <w:shd w:fill="0B3D66" w:val="clear"/>
            <w:tcMar>
              <w:top w:type="dxa" w:w="60"/>
              <w:left w:type="dxa" w:w="100"/>
              <w:bottom w:type="dxa" w:w="60"/>
              <w:right w:type="dxa" w:w="100"/>
            </w:tcMar>
          </w:tcPr>
          <w:p>
            <w:pPr>
              <w:jc w:val="left"/>
            </w:pPr>
            <w:r>
              <w:rPr>
                <w:b/>
                <w:bCs/>
                <w:color w:val="FFFFFF"/>
                <w:sz w:val="19"/>
                <w:szCs w:val="19"/>
              </w:rPr>
              <w:t xml:space="preserve">Season</w:t>
            </w:r>
          </w:p>
        </w:tc>
        <w:tc>
          <w:tcPr>
            <w:tcW w:type="dxa" w:w="1400"/>
            <w:shd w:fill="0B3D66" w:val="clear"/>
            <w:tcMar>
              <w:top w:type="dxa" w:w="60"/>
              <w:left w:type="dxa" w:w="100"/>
              <w:bottom w:type="dxa" w:w="60"/>
              <w:right w:type="dxa" w:w="100"/>
            </w:tcMar>
          </w:tcPr>
          <w:p>
            <w:pPr>
              <w:jc w:val="left"/>
            </w:pPr>
            <w:r>
              <w:rPr>
                <w:b/>
                <w:bCs/>
                <w:color w:val="FFFFFF"/>
                <w:sz w:val="19"/>
                <w:szCs w:val="19"/>
              </w:rPr>
              <w:t xml:space="preserve">PO Games</w:t>
            </w:r>
          </w:p>
        </w:tc>
        <w:tc>
          <w:tcPr>
            <w:tcW w:type="dxa" w:w="1600"/>
            <w:shd w:fill="0B3D66" w:val="clear"/>
            <w:tcMar>
              <w:top w:type="dxa" w:w="60"/>
              <w:left w:type="dxa" w:w="100"/>
              <w:bottom w:type="dxa" w:w="60"/>
              <w:right w:type="dxa" w:w="100"/>
            </w:tcMar>
          </w:tcPr>
          <w:p>
            <w:pPr>
              <w:jc w:val="left"/>
            </w:pPr>
            <w:r>
              <w:rPr>
                <w:b/>
                <w:bCs/>
                <w:color w:val="FFFFFF"/>
                <w:sz w:val="19"/>
                <w:szCs w:val="19"/>
              </w:rPr>
              <w:t xml:space="preserve">Playoff EVA+</w:t>
            </w:r>
          </w:p>
        </w:tc>
        <w:tc>
          <w:tcPr>
            <w:tcW w:type="dxa" w:w="1200"/>
            <w:shd w:fill="0B3D66" w:val="clear"/>
            <w:tcMar>
              <w:top w:type="dxa" w:w="60"/>
              <w:left w:type="dxa" w:w="100"/>
              <w:bottom w:type="dxa" w:w="60"/>
              <w:right w:type="dxa" w:w="100"/>
            </w:tcMar>
          </w:tcPr>
          <w:p>
            <w:pPr>
              <w:jc w:val="left"/>
            </w:pPr>
            <w:r>
              <w:rPr>
                <w:b/>
                <w:bCs/>
                <w:color w:val="FFFFFF"/>
                <w:sz w:val="19"/>
                <w:szCs w:val="19"/>
              </w:rPr>
              <w:t xml:space="preserve">Per Game</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Pittsburgh Penguins</w:t>
            </w:r>
          </w:p>
        </w:tc>
        <w:tc>
          <w:tcPr>
            <w:tcW w:type="dxa" w:w="1400"/>
            <w:tcMar>
              <w:top w:type="dxa" w:w="60"/>
              <w:left w:type="dxa" w:w="100"/>
              <w:bottom w:type="dxa" w:w="60"/>
              <w:right w:type="dxa" w:w="100"/>
            </w:tcMar>
          </w:tcPr>
          <w:p>
            <w:pPr>
              <w:jc w:val="left"/>
            </w:pPr>
            <w:r>
              <w:rPr>
                <w:b w:val="false"/>
                <w:bCs w:val="false"/>
                <w:color w:val="0D1B2A"/>
                <w:sz w:val="19"/>
                <w:szCs w:val="19"/>
              </w:rPr>
              <w:t xml:space="preserve">1991–92</w:t>
            </w:r>
          </w:p>
        </w:tc>
        <w:tc>
          <w:tcPr>
            <w:tcW w:type="dxa" w:w="1400"/>
            <w:tcMar>
              <w:top w:type="dxa" w:w="60"/>
              <w:left w:type="dxa" w:w="100"/>
              <w:bottom w:type="dxa" w:w="60"/>
              <w:right w:type="dxa" w:w="100"/>
            </w:tcMar>
          </w:tcPr>
          <w:p>
            <w:pPr>
              <w:jc w:val="left"/>
            </w:pPr>
            <w:r>
              <w:rPr>
                <w:b w:val="false"/>
                <w:bCs w:val="false"/>
                <w:color w:val="0D1B2A"/>
                <w:sz w:val="19"/>
                <w:szCs w:val="19"/>
              </w:rPr>
              <w:t xml:space="preserve">21</w:t>
            </w:r>
          </w:p>
        </w:tc>
        <w:tc>
          <w:tcPr>
            <w:tcW w:type="dxa" w:w="1600"/>
            <w:tcMar>
              <w:top w:type="dxa" w:w="60"/>
              <w:left w:type="dxa" w:w="100"/>
              <w:bottom w:type="dxa" w:w="60"/>
              <w:right w:type="dxa" w:w="100"/>
            </w:tcMar>
          </w:tcPr>
          <w:p>
            <w:pPr>
              <w:jc w:val="left"/>
            </w:pPr>
            <w:r>
              <w:rPr>
                <w:b w:val="false"/>
                <w:bCs w:val="false"/>
                <w:color w:val="0D1B2A"/>
                <w:sz w:val="19"/>
                <w:szCs w:val="19"/>
              </w:rPr>
              <w:t xml:space="preserve">+12.0</w:t>
            </w:r>
          </w:p>
        </w:tc>
        <w:tc>
          <w:tcPr>
            <w:tcW w:type="dxa" w:w="1200"/>
            <w:tcMar>
              <w:top w:type="dxa" w:w="60"/>
              <w:left w:type="dxa" w:w="100"/>
              <w:bottom w:type="dxa" w:w="60"/>
              <w:right w:type="dxa" w:w="100"/>
            </w:tcMar>
          </w:tcPr>
          <w:p>
            <w:pPr>
              <w:jc w:val="left"/>
            </w:pPr>
            <w:r>
              <w:rPr>
                <w:b w:val="false"/>
                <w:bCs w:val="false"/>
                <w:color w:val="0D1B2A"/>
                <w:sz w:val="19"/>
                <w:szCs w:val="19"/>
              </w:rPr>
              <w:t xml:space="preserve">+0.57</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New York Rangers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1978–79</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18</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+11.3</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+0.63</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New Jersey Devils</w:t>
            </w:r>
          </w:p>
        </w:tc>
        <w:tc>
          <w:tcPr>
            <w:tcW w:type="dxa" w:w="1400"/>
            <w:tcMar>
              <w:top w:type="dxa" w:w="60"/>
              <w:left w:type="dxa" w:w="100"/>
              <w:bottom w:type="dxa" w:w="60"/>
              <w:right w:type="dxa" w:w="100"/>
            </w:tcMar>
          </w:tcPr>
          <w:p>
            <w:pPr>
              <w:jc w:val="left"/>
            </w:pPr>
            <w:r>
              <w:rPr>
                <w:b w:val="false"/>
                <w:bCs w:val="false"/>
                <w:color w:val="0D1B2A"/>
                <w:sz w:val="19"/>
                <w:szCs w:val="19"/>
              </w:rPr>
              <w:t xml:space="preserve">1994–95</w:t>
            </w:r>
          </w:p>
        </w:tc>
        <w:tc>
          <w:tcPr>
            <w:tcW w:type="dxa" w:w="1400"/>
            <w:tcMar>
              <w:top w:type="dxa" w:w="60"/>
              <w:left w:type="dxa" w:w="100"/>
              <w:bottom w:type="dxa" w:w="60"/>
              <w:right w:type="dxa" w:w="100"/>
            </w:tcMar>
          </w:tcPr>
          <w:p>
            <w:pPr>
              <w:jc w:val="left"/>
            </w:pPr>
            <w:r>
              <w:rPr>
                <w:b w:val="false"/>
                <w:bCs w:val="false"/>
                <w:color w:val="0D1B2A"/>
                <w:sz w:val="19"/>
                <w:szCs w:val="19"/>
              </w:rPr>
              <w:t xml:space="preserve">20</w:t>
            </w:r>
          </w:p>
        </w:tc>
        <w:tc>
          <w:tcPr>
            <w:tcW w:type="dxa" w:w="1600"/>
            <w:tcMar>
              <w:top w:type="dxa" w:w="60"/>
              <w:left w:type="dxa" w:w="100"/>
              <w:bottom w:type="dxa" w:w="60"/>
              <w:right w:type="dxa" w:w="100"/>
            </w:tcMar>
          </w:tcPr>
          <w:p>
            <w:pPr>
              <w:jc w:val="left"/>
            </w:pPr>
            <w:r>
              <w:rPr>
                <w:b w:val="false"/>
                <w:bCs w:val="false"/>
                <w:color w:val="0D1B2A"/>
                <w:sz w:val="19"/>
                <w:szCs w:val="19"/>
              </w:rPr>
              <w:t xml:space="preserve">+11.3</w:t>
            </w:r>
          </w:p>
        </w:tc>
        <w:tc>
          <w:tcPr>
            <w:tcW w:type="dxa" w:w="1200"/>
            <w:tcMar>
              <w:top w:type="dxa" w:w="60"/>
              <w:left w:type="dxa" w:w="100"/>
              <w:bottom w:type="dxa" w:w="60"/>
              <w:right w:type="dxa" w:w="100"/>
            </w:tcMar>
          </w:tcPr>
          <w:p>
            <w:pPr>
              <w:jc w:val="left"/>
            </w:pPr>
            <w:r>
              <w:rPr>
                <w:b w:val="false"/>
                <w:bCs w:val="false"/>
                <w:color w:val="0D1B2A"/>
                <w:sz w:val="19"/>
                <w:szCs w:val="19"/>
              </w:rPr>
              <w:t xml:space="preserve">+0.56</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Anaheim Ducks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2002–03</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21</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+10.8</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+0.51</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Montreal Canadiens</w:t>
            </w:r>
          </w:p>
        </w:tc>
        <w:tc>
          <w:tcPr>
            <w:tcW w:type="dxa" w:w="1400"/>
            <w:tcMar>
              <w:top w:type="dxa" w:w="60"/>
              <w:left w:type="dxa" w:w="100"/>
              <w:bottom w:type="dxa" w:w="60"/>
              <w:right w:type="dxa" w:w="100"/>
            </w:tcMar>
          </w:tcPr>
          <w:p>
            <w:pPr>
              <w:jc w:val="left"/>
            </w:pPr>
            <w:r>
              <w:rPr>
                <w:b w:val="false"/>
                <w:bCs w:val="false"/>
                <w:color w:val="0D1B2A"/>
                <w:sz w:val="19"/>
                <w:szCs w:val="19"/>
              </w:rPr>
              <w:t xml:space="preserve">1992–93</w:t>
            </w:r>
          </w:p>
        </w:tc>
        <w:tc>
          <w:tcPr>
            <w:tcW w:type="dxa" w:w="1400"/>
            <w:tcMar>
              <w:top w:type="dxa" w:w="60"/>
              <w:left w:type="dxa" w:w="100"/>
              <w:bottom w:type="dxa" w:w="60"/>
              <w:right w:type="dxa" w:w="100"/>
            </w:tcMar>
          </w:tcPr>
          <w:p>
            <w:pPr>
              <w:jc w:val="left"/>
            </w:pPr>
            <w:r>
              <w:rPr>
                <w:b w:val="false"/>
                <w:bCs w:val="false"/>
                <w:color w:val="0D1B2A"/>
                <w:sz w:val="19"/>
                <w:szCs w:val="19"/>
              </w:rPr>
              <w:t xml:space="preserve">20</w:t>
            </w:r>
          </w:p>
        </w:tc>
        <w:tc>
          <w:tcPr>
            <w:tcW w:type="dxa" w:w="1600"/>
            <w:tcMar>
              <w:top w:type="dxa" w:w="60"/>
              <w:left w:type="dxa" w:w="100"/>
              <w:bottom w:type="dxa" w:w="60"/>
              <w:right w:type="dxa" w:w="100"/>
            </w:tcMar>
          </w:tcPr>
          <w:p>
            <w:pPr>
              <w:jc w:val="left"/>
            </w:pPr>
            <w:r>
              <w:rPr>
                <w:b w:val="false"/>
                <w:bCs w:val="false"/>
                <w:color w:val="0D1B2A"/>
                <w:sz w:val="19"/>
                <w:szCs w:val="19"/>
              </w:rPr>
              <w:t xml:space="preserve">+10.3</w:t>
            </w:r>
          </w:p>
        </w:tc>
        <w:tc>
          <w:tcPr>
            <w:tcW w:type="dxa" w:w="1200"/>
            <w:tcMar>
              <w:top w:type="dxa" w:w="60"/>
              <w:left w:type="dxa" w:w="100"/>
              <w:bottom w:type="dxa" w:w="60"/>
              <w:right w:type="dxa" w:w="100"/>
            </w:tcMar>
          </w:tcPr>
          <w:p>
            <w:pPr>
              <w:jc w:val="left"/>
            </w:pPr>
            <w:r>
              <w:rPr>
                <w:b w:val="false"/>
                <w:bCs w:val="false"/>
                <w:color w:val="0D1B2A"/>
                <w:sz w:val="19"/>
                <w:szCs w:val="19"/>
              </w:rPr>
              <w:t xml:space="preserve">+0.51</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Colorado Avalanche</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1995–96</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22</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+9.8</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+0.44</w:t>
            </w:r>
          </w:p>
        </w:tc>
      </w:tr>
      <w:tr>
        <w:tc>
          <w:tcPr>
            <w:tcW w:type="dxa" w:w="3000"/>
            <w:tcMar>
              <w:top w:type="dxa" w:w="60"/>
              <w:left w:type="dxa" w:w="100"/>
              <w:bottom w:type="dxa" w:w="60"/>
              <w:right w:type="dxa" w:w="100"/>
            </w:tcMar>
          </w:tcPr>
          <w:p>
            <w:pPr>
              <w:jc w:val="left"/>
            </w:pPr>
            <w:r>
              <w:rPr>
                <w:b w:val="false"/>
                <w:bCs w:val="false"/>
                <w:color w:val="0D1B2A"/>
                <w:sz w:val="19"/>
                <w:szCs w:val="19"/>
              </w:rPr>
              <w:t xml:space="preserve">Anaheim Ducks</w:t>
            </w:r>
          </w:p>
        </w:tc>
        <w:tc>
          <w:tcPr>
            <w:tcW w:type="dxa" w:w="1400"/>
            <w:tcMar>
              <w:top w:type="dxa" w:w="60"/>
              <w:left w:type="dxa" w:w="100"/>
              <w:bottom w:type="dxa" w:w="60"/>
              <w:right w:type="dxa" w:w="100"/>
            </w:tcMar>
          </w:tcPr>
          <w:p>
            <w:pPr>
              <w:jc w:val="left"/>
            </w:pPr>
            <w:r>
              <w:rPr>
                <w:b w:val="false"/>
                <w:bCs w:val="false"/>
                <w:color w:val="0D1B2A"/>
                <w:sz w:val="19"/>
                <w:szCs w:val="19"/>
              </w:rPr>
              <w:t xml:space="preserve">2006–07</w:t>
            </w:r>
          </w:p>
        </w:tc>
        <w:tc>
          <w:tcPr>
            <w:tcW w:type="dxa" w:w="1400"/>
            <w:tcMar>
              <w:top w:type="dxa" w:w="60"/>
              <w:left w:type="dxa" w:w="100"/>
              <w:bottom w:type="dxa" w:w="60"/>
              <w:right w:type="dxa" w:w="100"/>
            </w:tcMar>
          </w:tcPr>
          <w:p>
            <w:pPr>
              <w:jc w:val="left"/>
            </w:pPr>
            <w:r>
              <w:rPr>
                <w:b w:val="false"/>
                <w:bCs w:val="false"/>
                <w:color w:val="0D1B2A"/>
                <w:sz w:val="19"/>
                <w:szCs w:val="19"/>
              </w:rPr>
              <w:t xml:space="preserve">21</w:t>
            </w:r>
          </w:p>
        </w:tc>
        <w:tc>
          <w:tcPr>
            <w:tcW w:type="dxa" w:w="1600"/>
            <w:tcMar>
              <w:top w:type="dxa" w:w="60"/>
              <w:left w:type="dxa" w:w="100"/>
              <w:bottom w:type="dxa" w:w="60"/>
              <w:right w:type="dxa" w:w="100"/>
            </w:tcMar>
          </w:tcPr>
          <w:p>
            <w:pPr>
              <w:jc w:val="left"/>
            </w:pPr>
            <w:r>
              <w:rPr>
                <w:b w:val="false"/>
                <w:bCs w:val="false"/>
                <w:color w:val="0D1B2A"/>
                <w:sz w:val="19"/>
                <w:szCs w:val="19"/>
              </w:rPr>
              <w:t xml:space="preserve">+9.7</w:t>
            </w:r>
          </w:p>
        </w:tc>
        <w:tc>
          <w:tcPr>
            <w:tcW w:type="dxa" w:w="1200"/>
            <w:tcMar>
              <w:top w:type="dxa" w:w="60"/>
              <w:left w:type="dxa" w:w="100"/>
              <w:bottom w:type="dxa" w:w="60"/>
              <w:right w:type="dxa" w:w="100"/>
            </w:tcMar>
          </w:tcPr>
          <w:p>
            <w:pPr>
              <w:jc w:val="left"/>
            </w:pPr>
            <w:r>
              <w:rPr>
                <w:b w:val="false"/>
                <w:bCs w:val="false"/>
                <w:color w:val="0D1B2A"/>
                <w:sz w:val="19"/>
                <w:szCs w:val="19"/>
              </w:rPr>
              <w:t xml:space="preserve">+0.46</w:t>
            </w:r>
          </w:p>
        </w:tc>
      </w:tr>
      <w:tr>
        <w:tc>
          <w:tcPr>
            <w:tcW w:type="dxa" w:w="3000"/>
            <w:shd w:fill="F5F8FA" w:val="clear"/>
            <w:tcMar>
              <w:top w:type="dxa" w:w="60"/>
              <w:left w:type="dxa" w:w="100"/>
              <w:bottom w:type="dxa" w:w="60"/>
              <w:right w:type="dxa" w:w="100"/>
            </w:tcMar>
          </w:tcPr>
          <w:p>
            <w:pPr>
              <w:jc w:val="left"/>
            </w:pPr>
            <w:r>
              <w:rPr>
                <w:b w:val="false"/>
                <w:bCs w:val="false"/>
                <w:color w:val="0D1B2A"/>
                <w:sz w:val="19"/>
                <w:szCs w:val="19"/>
              </w:rPr>
              <w:t xml:space="preserve">Los Angeles Kings</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2011–12</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20</w:t>
            </w:r>
          </w:p>
        </w:tc>
        <w:tc>
          <w:tcPr>
            <w:tcW w:type="dxa" w:w="1600"/>
            <w:shd w:fill="F5F8FA" w:val="clear"/>
            <w:tcMar>
              <w:top w:type="dxa" w:w="60"/>
              <w:left w:type="dxa" w:w="100"/>
              <w:bottom w:type="dxa" w:w="60"/>
              <w:right w:type="dxa" w:w="100"/>
            </w:tcMar>
          </w:tcPr>
          <w:p>
            <w:pPr>
              <w:jc w:val="left"/>
            </w:pPr>
            <w:r>
              <w:rPr>
                <w:b w:val="false"/>
                <w:bCs w:val="false"/>
                <w:color w:val="0D1B2A"/>
                <w:sz w:val="19"/>
                <w:szCs w:val="19"/>
              </w:rPr>
              <w:t xml:space="preserve">+9.5</w:t>
            </w:r>
          </w:p>
        </w:tc>
        <w:tc>
          <w:tcPr>
            <w:tcW w:type="dxa" w:w="1200"/>
            <w:shd w:fill="F5F8FA" w:val="clear"/>
            <w:tcMar>
              <w:top w:type="dxa" w:w="60"/>
              <w:left w:type="dxa" w:w="100"/>
              <w:bottom w:type="dxa" w:w="60"/>
              <w:right w:type="dxa" w:w="100"/>
            </w:tcMar>
          </w:tcPr>
          <w:p>
            <w:pPr>
              <w:jc w:val="left"/>
            </w:pPr>
            <w:r>
              <w:rPr>
                <w:b w:val="false"/>
                <w:bCs w:val="false"/>
                <w:color w:val="0D1B2A"/>
                <w:sz w:val="19"/>
                <w:szCs w:val="19"/>
              </w:rPr>
              <w:t xml:space="preserve">+0.47</w:t>
            </w:r>
          </w:p>
        </w:tc>
      </w:tr>
    </w:tbl>
    <w:p>
      <w:pPr>
        <w:spacing w:after="260" w:before="60"/>
      </w:pPr>
      <w:r>
        <w:rPr>
          <w:i/>
          <w:iCs/>
          <w:color w:val="647082"/>
          <w:sz w:val="18"/>
          <w:szCs w:val="18"/>
        </w:rPr>
        <w:t xml:space="preserve">Table 5. Highest single-postseason Playoff EVA+, minimum 10 playoff games.</w:t>
      </w:r>
    </w:p>
    <w:p>
      <w:pPr>
        <w:pStyle w:val="Heading2"/>
        <w:spacing w:after="120" w:before="240"/>
      </w:pPr>
      <w:r>
        <w:t xml:space="preserve">4.4 The 2022–23 season</w:t>
      </w:r>
    </w:p>
    <w:p>
      <w:pPr>
        <w:spacing w:after="60" w:before="120"/>
        <w:jc w:val="center"/>
      </w:pPr>
      <w:r>
        <w:drawing>
          <wp:inline distT="0" distB="0" distL="0" distR="0">
            <wp:extent cx="43815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552700"/>
                    </a:xfrm>
                    <a:prstGeom prst="rect">
                      <a:avLst/>
                    </a:prstGeom>
                  </pic:spPr>
                </pic:pic>
              </a:graphicData>
            </a:graphic>
          </wp:inline>
        </w:drawing>
      </w:r>
    </w:p>
    <w:p>
      <w:pPr>
        <w:spacing w:after="260" w:before="60"/>
      </w:pPr>
      <w:r>
        <w:rPr>
          <w:i/>
          <w:iCs/>
          <w:color w:val="647082"/>
          <w:sz w:val="18"/>
          <w:szCs w:val="18"/>
        </w:rPr>
        <w:t xml:space="preserve">Figure 2. 2022–23 season, EVA+ by team (top and bottom 8 shown).</w:t>
      </w:r>
    </w:p>
    <w:p>
      <w:pPr>
        <w:spacing w:after="160" w:line="288"/>
      </w:pPr>
      <w:r>
        <w:rPr>
          <w:sz w:val="22"/>
          <w:szCs w:val="22"/>
        </w:rPr>
        <w:t xml:space="preserve">The Boston Bruins, who set the all-time NHL record for points in a single season in 2022–23, also lead the league in EVA+ that season — a useful sanity check that the statistic is not simply inverse to team quality; the best team by Elo can also be the best team relative to its own already-high bar.</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700"/>
        <w:gridCol w:w="1400"/>
      </w:tblGrid>
      <w:tr>
        <w:trPr>
          <w:tblHeader/>
        </w:trPr>
        <w:tc>
          <w:tcPr>
            <w:tcW w:type="dxa" w:w="3400"/>
            <w:shd w:fill="0B3D66" w:val="clear"/>
            <w:tcMar>
              <w:top w:type="dxa" w:w="60"/>
              <w:left w:type="dxa" w:w="100"/>
              <w:bottom w:type="dxa" w:w="60"/>
              <w:right w:type="dxa" w:w="100"/>
            </w:tcMar>
          </w:tcPr>
          <w:p>
            <w:pPr>
              <w:jc w:val="left"/>
            </w:pPr>
            <w:r>
              <w:rPr>
                <w:b/>
                <w:bCs/>
                <w:color w:val="FFFFFF"/>
                <w:sz w:val="19"/>
                <w:szCs w:val="19"/>
              </w:rPr>
              <w:t xml:space="preserve">Franchise</w:t>
            </w:r>
          </w:p>
        </w:tc>
        <w:tc>
          <w:tcPr>
            <w:tcW w:type="dxa" w:w="1500"/>
            <w:shd w:fill="0B3D66" w:val="clear"/>
            <w:tcMar>
              <w:top w:type="dxa" w:w="60"/>
              <w:left w:type="dxa" w:w="100"/>
              <w:bottom w:type="dxa" w:w="60"/>
              <w:right w:type="dxa" w:w="100"/>
            </w:tcMar>
          </w:tcPr>
          <w:p>
            <w:pPr>
              <w:jc w:val="left"/>
            </w:pPr>
            <w:r>
              <w:rPr>
                <w:b/>
                <w:bCs/>
                <w:color w:val="FFFFFF"/>
                <w:sz w:val="19"/>
                <w:szCs w:val="19"/>
              </w:rPr>
              <w:t xml:space="preserve">Actual W</w:t>
            </w:r>
          </w:p>
        </w:tc>
        <w:tc>
          <w:tcPr>
            <w:tcW w:type="dxa" w:w="1700"/>
            <w:shd w:fill="0B3D66" w:val="clear"/>
            <w:tcMar>
              <w:top w:type="dxa" w:w="60"/>
              <w:left w:type="dxa" w:w="100"/>
              <w:bottom w:type="dxa" w:w="60"/>
              <w:right w:type="dxa" w:w="100"/>
            </w:tcMar>
          </w:tcPr>
          <w:p>
            <w:pPr>
              <w:jc w:val="left"/>
            </w:pPr>
            <w:r>
              <w:rPr>
                <w:b/>
                <w:bCs/>
                <w:color w:val="FFFFFF"/>
                <w:sz w:val="19"/>
                <w:szCs w:val="19"/>
              </w:rPr>
              <w:t xml:space="preserve">Expected W</w:t>
            </w:r>
          </w:p>
        </w:tc>
        <w:tc>
          <w:tcPr>
            <w:tcW w:type="dxa" w:w="1400"/>
            <w:shd w:fill="0B3D66" w:val="clear"/>
            <w:tcMar>
              <w:top w:type="dxa" w:w="60"/>
              <w:left w:type="dxa" w:w="100"/>
              <w:bottom w:type="dxa" w:w="60"/>
              <w:right w:type="dxa" w:w="100"/>
            </w:tcMar>
          </w:tcPr>
          <w:p>
            <w:pPr>
              <w:jc w:val="left"/>
            </w:pPr>
            <w:r>
              <w:rPr>
                <w:b/>
                <w:bCs/>
                <w:color w:val="FFFFFF"/>
                <w:sz w:val="19"/>
                <w:szCs w:val="19"/>
              </w:rPr>
              <w:t xml:space="preserve">EVA+</w:t>
            </w:r>
          </w:p>
        </w:tc>
      </w:tr>
      <w:tr>
        <w:tc>
          <w:tcPr>
            <w:tcW w:type="dxa" w:w="3400"/>
            <w:tcMar>
              <w:top w:type="dxa" w:w="60"/>
              <w:left w:type="dxa" w:w="100"/>
              <w:bottom w:type="dxa" w:w="60"/>
              <w:right w:type="dxa" w:w="100"/>
            </w:tcMar>
          </w:tcPr>
          <w:p>
            <w:pPr>
              <w:jc w:val="left"/>
            </w:pPr>
            <w:r>
              <w:rPr>
                <w:b w:val="false"/>
                <w:bCs w:val="false"/>
                <w:color w:val="0D1B2A"/>
                <w:sz w:val="19"/>
                <w:szCs w:val="19"/>
              </w:rPr>
              <w:t xml:space="preserve">Boston Bruins</w:t>
            </w:r>
          </w:p>
        </w:tc>
        <w:tc>
          <w:tcPr>
            <w:tcW w:type="dxa" w:w="1500"/>
            <w:tcMar>
              <w:top w:type="dxa" w:w="60"/>
              <w:left w:type="dxa" w:w="100"/>
              <w:bottom w:type="dxa" w:w="60"/>
              <w:right w:type="dxa" w:w="100"/>
            </w:tcMar>
          </w:tcPr>
          <w:p>
            <w:pPr>
              <w:jc w:val="left"/>
            </w:pPr>
            <w:r>
              <w:rPr>
                <w:b w:val="false"/>
                <w:bCs w:val="false"/>
                <w:color w:val="0D1B2A"/>
                <w:sz w:val="19"/>
                <w:szCs w:val="19"/>
              </w:rPr>
              <w:t xml:space="preserve">68</w:t>
            </w:r>
          </w:p>
        </w:tc>
        <w:tc>
          <w:tcPr>
            <w:tcW w:type="dxa" w:w="1700"/>
            <w:tcMar>
              <w:top w:type="dxa" w:w="60"/>
              <w:left w:type="dxa" w:w="100"/>
              <w:bottom w:type="dxa" w:w="60"/>
              <w:right w:type="dxa" w:w="100"/>
            </w:tcMar>
          </w:tcPr>
          <w:p>
            <w:pPr>
              <w:jc w:val="left"/>
            </w:pPr>
            <w:r>
              <w:rPr>
                <w:b w:val="false"/>
                <w:bCs w:val="false"/>
                <w:color w:val="0D1B2A"/>
                <w:sz w:val="19"/>
                <w:szCs w:val="19"/>
              </w:rPr>
              <w:t xml:space="preserve">57.0</w:t>
            </w:r>
          </w:p>
        </w:tc>
        <w:tc>
          <w:tcPr>
            <w:tcW w:type="dxa" w:w="1400"/>
            <w:tcMar>
              <w:top w:type="dxa" w:w="60"/>
              <w:left w:type="dxa" w:w="100"/>
              <w:bottom w:type="dxa" w:w="60"/>
              <w:right w:type="dxa" w:w="100"/>
            </w:tcMar>
          </w:tcPr>
          <w:p>
            <w:pPr>
              <w:jc w:val="left"/>
            </w:pPr>
            <w:r>
              <w:rPr>
                <w:b w:val="false"/>
                <w:bCs w:val="false"/>
                <w:color w:val="0D1B2A"/>
                <w:sz w:val="19"/>
                <w:szCs w:val="19"/>
              </w:rPr>
              <w:t xml:space="preserve">+21.6</w:t>
            </w:r>
          </w:p>
        </w:tc>
      </w:tr>
      <w:tr>
        <w:tc>
          <w:tcPr>
            <w:tcW w:type="dxa" w:w="3400"/>
            <w:shd w:fill="F5F8FA" w:val="clear"/>
            <w:tcMar>
              <w:top w:type="dxa" w:w="60"/>
              <w:left w:type="dxa" w:w="100"/>
              <w:bottom w:type="dxa" w:w="60"/>
              <w:right w:type="dxa" w:w="100"/>
            </w:tcMar>
          </w:tcPr>
          <w:p>
            <w:pPr>
              <w:jc w:val="left"/>
            </w:pPr>
            <w:r>
              <w:rPr>
                <w:b w:val="false"/>
                <w:bCs w:val="false"/>
                <w:color w:val="0D1B2A"/>
                <w:sz w:val="19"/>
                <w:szCs w:val="19"/>
              </w:rPr>
              <w:t xml:space="preserve">New Jersey Devils</w:t>
            </w:r>
          </w:p>
        </w:tc>
        <w:tc>
          <w:tcPr>
            <w:tcW w:type="dxa" w:w="1500"/>
            <w:shd w:fill="F5F8FA" w:val="clear"/>
            <w:tcMar>
              <w:top w:type="dxa" w:w="60"/>
              <w:left w:type="dxa" w:w="100"/>
              <w:bottom w:type="dxa" w:w="60"/>
              <w:right w:type="dxa" w:w="100"/>
            </w:tcMar>
          </w:tcPr>
          <w:p>
            <w:pPr>
              <w:jc w:val="left"/>
            </w:pPr>
            <w:r>
              <w:rPr>
                <w:b w:val="false"/>
                <w:bCs w:val="false"/>
                <w:color w:val="0D1B2A"/>
                <w:sz w:val="19"/>
                <w:szCs w:val="19"/>
              </w:rPr>
              <w:t xml:space="preserve">57</w:t>
            </w:r>
          </w:p>
        </w:tc>
        <w:tc>
          <w:tcPr>
            <w:tcW w:type="dxa" w:w="1700"/>
            <w:shd w:fill="F5F8FA" w:val="clear"/>
            <w:tcMar>
              <w:top w:type="dxa" w:w="60"/>
              <w:left w:type="dxa" w:w="100"/>
              <w:bottom w:type="dxa" w:w="60"/>
              <w:right w:type="dxa" w:w="100"/>
            </w:tcMar>
          </w:tcPr>
          <w:p>
            <w:pPr>
              <w:jc w:val="left"/>
            </w:pPr>
            <w:r>
              <w:rPr>
                <w:b w:val="false"/>
                <w:bCs w:val="false"/>
                <w:color w:val="0D1B2A"/>
                <w:sz w:val="19"/>
                <w:szCs w:val="19"/>
              </w:rPr>
              <w:t xml:space="preserve">45.6</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+20.4</w:t>
            </w:r>
          </w:p>
        </w:tc>
      </w:tr>
      <w:tr>
        <w:tc>
          <w:tcPr>
            <w:tcW w:type="dxa" w:w="3400"/>
            <w:tcMar>
              <w:top w:type="dxa" w:w="60"/>
              <w:left w:type="dxa" w:w="100"/>
              <w:bottom w:type="dxa" w:w="60"/>
              <w:right w:type="dxa" w:w="100"/>
            </w:tcMar>
          </w:tcPr>
          <w:p>
            <w:pPr>
              <w:jc w:val="left"/>
            </w:pPr>
            <w:r>
              <w:rPr>
                <w:b w:val="false"/>
                <w:bCs w:val="false"/>
                <w:color w:val="0D1B2A"/>
                <w:sz w:val="19"/>
                <w:szCs w:val="19"/>
              </w:rPr>
              <w:t xml:space="preserve">Vegas Golden Knights</w:t>
            </w:r>
          </w:p>
        </w:tc>
        <w:tc>
          <w:tcPr>
            <w:tcW w:type="dxa" w:w="1500"/>
            <w:tcMar>
              <w:top w:type="dxa" w:w="60"/>
              <w:left w:type="dxa" w:w="100"/>
              <w:bottom w:type="dxa" w:w="60"/>
              <w:right w:type="dxa" w:w="100"/>
            </w:tcMar>
          </w:tcPr>
          <w:p>
            <w:pPr>
              <w:jc w:val="left"/>
            </w:pPr>
            <w:r>
              <w:rPr>
                <w:b w:val="false"/>
                <w:bCs w:val="false"/>
                <w:color w:val="0D1B2A"/>
                <w:sz w:val="19"/>
                <w:szCs w:val="19"/>
              </w:rPr>
              <w:t xml:space="preserve">67</w:t>
            </w:r>
          </w:p>
        </w:tc>
        <w:tc>
          <w:tcPr>
            <w:tcW w:type="dxa" w:w="1700"/>
            <w:tcMar>
              <w:top w:type="dxa" w:w="60"/>
              <w:left w:type="dxa" w:w="100"/>
              <w:bottom w:type="dxa" w:w="60"/>
              <w:right w:type="dxa" w:w="100"/>
            </w:tcMar>
          </w:tcPr>
          <w:p>
            <w:pPr>
              <w:jc w:val="left"/>
            </w:pPr>
            <w:r>
              <w:rPr>
                <w:b w:val="false"/>
                <w:bCs w:val="false"/>
                <w:color w:val="0D1B2A"/>
                <w:sz w:val="19"/>
                <w:szCs w:val="19"/>
              </w:rPr>
              <w:t xml:space="preserve">57.3</w:t>
            </w:r>
          </w:p>
        </w:tc>
        <w:tc>
          <w:tcPr>
            <w:tcW w:type="dxa" w:w="1400"/>
            <w:tcMar>
              <w:top w:type="dxa" w:w="60"/>
              <w:left w:type="dxa" w:w="100"/>
              <w:bottom w:type="dxa" w:w="60"/>
              <w:right w:type="dxa" w:w="100"/>
            </w:tcMar>
          </w:tcPr>
          <w:p>
            <w:pPr>
              <w:jc w:val="left"/>
            </w:pPr>
            <w:r>
              <w:rPr>
                <w:b w:val="false"/>
                <w:bCs w:val="false"/>
                <w:color w:val="0D1B2A"/>
                <w:sz w:val="19"/>
                <w:szCs w:val="19"/>
              </w:rPr>
              <w:t xml:space="preserve">+19.5</w:t>
            </w:r>
          </w:p>
        </w:tc>
      </w:tr>
      <w:tr>
        <w:tc>
          <w:tcPr>
            <w:tcW w:type="dxa" w:w="3400"/>
            <w:shd w:fill="F5F8FA" w:val="clear"/>
            <w:tcMar>
              <w:top w:type="dxa" w:w="60"/>
              <w:left w:type="dxa" w:w="100"/>
              <w:bottom w:type="dxa" w:w="60"/>
              <w:right w:type="dxa" w:w="100"/>
            </w:tcMar>
          </w:tcPr>
          <w:p>
            <w:pPr>
              <w:jc w:val="left"/>
            </w:pPr>
            <w:r>
              <w:rPr>
                <w:b w:val="false"/>
                <w:bCs w:val="false"/>
                <w:color w:val="0D1B2A"/>
                <w:sz w:val="19"/>
                <w:szCs w:val="19"/>
              </w:rPr>
              <w:t xml:space="preserve">Seattle Kraken</w:t>
            </w:r>
          </w:p>
        </w:tc>
        <w:tc>
          <w:tcPr>
            <w:tcW w:type="dxa" w:w="1500"/>
            <w:shd w:fill="F5F8FA" w:val="clear"/>
            <w:tcMar>
              <w:top w:type="dxa" w:w="60"/>
              <w:left w:type="dxa" w:w="100"/>
              <w:bottom w:type="dxa" w:w="60"/>
              <w:right w:type="dxa" w:w="100"/>
            </w:tcMar>
          </w:tcPr>
          <w:p>
            <w:pPr>
              <w:jc w:val="left"/>
            </w:pPr>
            <w:r>
              <w:rPr>
                <w:b w:val="false"/>
                <w:bCs w:val="false"/>
                <w:color w:val="0D1B2A"/>
                <w:sz w:val="19"/>
                <w:szCs w:val="19"/>
              </w:rPr>
              <w:t xml:space="preserve">53</w:t>
            </w:r>
          </w:p>
        </w:tc>
        <w:tc>
          <w:tcPr>
            <w:tcW w:type="dxa" w:w="1700"/>
            <w:shd w:fill="F5F8FA" w:val="clear"/>
            <w:tcMar>
              <w:top w:type="dxa" w:w="60"/>
              <w:left w:type="dxa" w:w="100"/>
              <w:bottom w:type="dxa" w:w="60"/>
              <w:right w:type="dxa" w:w="100"/>
            </w:tcMar>
          </w:tcPr>
          <w:p>
            <w:pPr>
              <w:jc w:val="left"/>
            </w:pPr>
            <w:r>
              <w:rPr>
                <w:b w:val="false"/>
                <w:bCs w:val="false"/>
                <w:color w:val="0D1B2A"/>
                <w:sz w:val="19"/>
                <w:szCs w:val="19"/>
              </w:rPr>
              <w:t xml:space="preserve">44.5</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+13.1</w:t>
            </w:r>
          </w:p>
        </w:tc>
      </w:tr>
      <w:tr>
        <w:tc>
          <w:tcPr>
            <w:tcW w:type="dxa" w:w="3400"/>
            <w:tcMar>
              <w:top w:type="dxa" w:w="60"/>
              <w:left w:type="dxa" w:w="100"/>
              <w:bottom w:type="dxa" w:w="60"/>
              <w:right w:type="dxa" w:w="100"/>
            </w:tcMar>
          </w:tcPr>
          <w:p>
            <w:pPr>
              <w:jc w:val="left"/>
            </w:pPr>
            <w:r>
              <w:rPr>
                <w:b w:val="false"/>
                <w:bCs w:val="false"/>
                <w:color w:val="0D1B2A"/>
                <w:sz w:val="19"/>
                <w:szCs w:val="19"/>
              </w:rPr>
              <w:t xml:space="preserve">Dallas Stars</w:t>
            </w:r>
          </w:p>
        </w:tc>
        <w:tc>
          <w:tcPr>
            <w:tcW w:type="dxa" w:w="1500"/>
            <w:tcMar>
              <w:top w:type="dxa" w:w="60"/>
              <w:left w:type="dxa" w:w="100"/>
              <w:bottom w:type="dxa" w:w="60"/>
              <w:right w:type="dxa" w:w="100"/>
            </w:tcMar>
          </w:tcPr>
          <w:p>
            <w:pPr>
              <w:jc w:val="left"/>
            </w:pPr>
            <w:r>
              <w:rPr>
                <w:b w:val="false"/>
                <w:bCs w:val="false"/>
                <w:color w:val="0D1B2A"/>
                <w:sz w:val="19"/>
                <w:szCs w:val="19"/>
              </w:rPr>
              <w:t xml:space="preserve">57</w:t>
            </w:r>
          </w:p>
        </w:tc>
        <w:tc>
          <w:tcPr>
            <w:tcW w:type="dxa" w:w="1700"/>
            <w:tcMar>
              <w:top w:type="dxa" w:w="60"/>
              <w:left w:type="dxa" w:w="100"/>
              <w:bottom w:type="dxa" w:w="60"/>
              <w:right w:type="dxa" w:w="100"/>
            </w:tcMar>
          </w:tcPr>
          <w:p>
            <w:pPr>
              <w:jc w:val="left"/>
            </w:pPr>
            <w:r>
              <w:rPr>
                <w:b w:val="false"/>
                <w:bCs w:val="false"/>
                <w:color w:val="0D1B2A"/>
                <w:sz w:val="19"/>
                <w:szCs w:val="19"/>
              </w:rPr>
              <w:t xml:space="preserve">54.7</w:t>
            </w:r>
          </w:p>
        </w:tc>
        <w:tc>
          <w:tcPr>
            <w:tcW w:type="dxa" w:w="1400"/>
            <w:tcMar>
              <w:top w:type="dxa" w:w="60"/>
              <w:left w:type="dxa" w:w="100"/>
              <w:bottom w:type="dxa" w:w="60"/>
              <w:right w:type="dxa" w:w="100"/>
            </w:tcMar>
          </w:tcPr>
          <w:p>
            <w:pPr>
              <w:jc w:val="left"/>
            </w:pPr>
            <w:r>
              <w:rPr>
                <w:b w:val="false"/>
                <w:bCs w:val="false"/>
                <w:color w:val="0D1B2A"/>
                <w:sz w:val="19"/>
                <w:szCs w:val="19"/>
              </w:rPr>
              <w:t xml:space="preserve">+11.6</w:t>
            </w:r>
          </w:p>
        </w:tc>
      </w:tr>
      <w:tr>
        <w:tc>
          <w:tcPr>
            <w:tcW w:type="dxa" w:w="3400"/>
            <w:shd w:fill="F5F8FA" w:val="clear"/>
            <w:tcMar>
              <w:top w:type="dxa" w:w="60"/>
              <w:left w:type="dxa" w:w="100"/>
              <w:bottom w:type="dxa" w:w="60"/>
              <w:right w:type="dxa" w:w="100"/>
            </w:tcMar>
          </w:tcPr>
          <w:p>
            <w:pPr>
              <w:jc w:val="left"/>
            </w:pPr>
            <w:r>
              <w:rPr>
                <w:b w:val="false"/>
                <w:bCs w:val="false"/>
                <w:color w:val="0D1B2A"/>
                <w:sz w:val="19"/>
                <w:szCs w:val="19"/>
              </w:rPr>
              <w:t xml:space="preserve">Los Angeles Kings</w:t>
            </w:r>
          </w:p>
        </w:tc>
        <w:tc>
          <w:tcPr>
            <w:tcW w:type="dxa" w:w="1500"/>
            <w:shd w:fill="F5F8FA" w:val="clear"/>
            <w:tcMar>
              <w:top w:type="dxa" w:w="60"/>
              <w:left w:type="dxa" w:w="100"/>
              <w:bottom w:type="dxa" w:w="60"/>
              <w:right w:type="dxa" w:w="100"/>
            </w:tcMar>
          </w:tcPr>
          <w:p>
            <w:pPr>
              <w:jc w:val="left"/>
            </w:pPr>
            <w:r>
              <w:rPr>
                <w:b w:val="false"/>
                <w:bCs w:val="false"/>
                <w:color w:val="0D1B2A"/>
                <w:sz w:val="19"/>
                <w:szCs w:val="19"/>
              </w:rPr>
              <w:t xml:space="preserve">49</w:t>
            </w:r>
          </w:p>
        </w:tc>
        <w:tc>
          <w:tcPr>
            <w:tcW w:type="dxa" w:w="1700"/>
            <w:shd w:fill="F5F8FA" w:val="clear"/>
            <w:tcMar>
              <w:top w:type="dxa" w:w="60"/>
              <w:left w:type="dxa" w:w="100"/>
              <w:bottom w:type="dxa" w:w="60"/>
              <w:right w:type="dxa" w:w="100"/>
            </w:tcMar>
          </w:tcPr>
          <w:p>
            <w:pPr>
              <w:jc w:val="left"/>
            </w:pPr>
            <w:r>
              <w:rPr>
                <w:b w:val="false"/>
                <w:bCs w:val="false"/>
                <w:color w:val="0D1B2A"/>
                <w:sz w:val="19"/>
                <w:szCs w:val="19"/>
              </w:rPr>
              <w:t xml:space="preserve">44.3</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+10.1</w:t>
            </w:r>
          </w:p>
        </w:tc>
      </w:tr>
      <w:tr>
        <w:tc>
          <w:tcPr>
            <w:tcW w:type="dxa" w:w="3400"/>
            <w:tcMar>
              <w:top w:type="dxa" w:w="60"/>
              <w:left w:type="dxa" w:w="100"/>
              <w:bottom w:type="dxa" w:w="60"/>
              <w:right w:type="dxa" w:w="100"/>
            </w:tcMar>
          </w:tcPr>
          <w:p>
            <w:pPr>
              <w:jc w:val="left"/>
            </w:pPr>
            <w:r>
              <w:rPr>
                <w:b w:val="false"/>
                <w:bCs w:val="false"/>
                <w:color w:val="0D1B2A"/>
                <w:sz w:val="19"/>
                <w:szCs w:val="19"/>
              </w:rPr>
              <w:t xml:space="preserve">Edmonton Oilers</w:t>
            </w:r>
          </w:p>
        </w:tc>
        <w:tc>
          <w:tcPr>
            <w:tcW w:type="dxa" w:w="1500"/>
            <w:tcMar>
              <w:top w:type="dxa" w:w="60"/>
              <w:left w:type="dxa" w:w="100"/>
              <w:bottom w:type="dxa" w:w="60"/>
              <w:right w:type="dxa" w:w="100"/>
            </w:tcMar>
          </w:tcPr>
          <w:p>
            <w:pPr>
              <w:jc w:val="left"/>
            </w:pPr>
            <w:r>
              <w:rPr>
                <w:b w:val="false"/>
                <w:bCs w:val="false"/>
                <w:color w:val="0D1B2A"/>
                <w:sz w:val="19"/>
                <w:szCs w:val="19"/>
              </w:rPr>
              <w:t xml:space="preserve">56</w:t>
            </w:r>
          </w:p>
        </w:tc>
        <w:tc>
          <w:tcPr>
            <w:tcW w:type="dxa" w:w="1700"/>
            <w:tcMar>
              <w:top w:type="dxa" w:w="60"/>
              <w:left w:type="dxa" w:w="100"/>
              <w:bottom w:type="dxa" w:w="60"/>
              <w:right w:type="dxa" w:w="100"/>
            </w:tcMar>
          </w:tcPr>
          <w:p>
            <w:pPr>
              <w:jc w:val="left"/>
            </w:pPr>
            <w:r>
              <w:rPr>
                <w:b w:val="false"/>
                <w:bCs w:val="false"/>
                <w:color w:val="0D1B2A"/>
                <w:sz w:val="19"/>
                <w:szCs w:val="19"/>
              </w:rPr>
              <w:t xml:space="preserve">52.5</w:t>
            </w:r>
          </w:p>
        </w:tc>
        <w:tc>
          <w:tcPr>
            <w:tcW w:type="dxa" w:w="1400"/>
            <w:tcMar>
              <w:top w:type="dxa" w:w="60"/>
              <w:left w:type="dxa" w:w="100"/>
              <w:bottom w:type="dxa" w:w="60"/>
              <w:right w:type="dxa" w:w="100"/>
            </w:tcMar>
          </w:tcPr>
          <w:p>
            <w:pPr>
              <w:jc w:val="left"/>
            </w:pPr>
            <w:r>
              <w:rPr>
                <w:b w:val="false"/>
                <w:bCs w:val="false"/>
                <w:color w:val="0D1B2A"/>
                <w:sz w:val="19"/>
                <w:szCs w:val="19"/>
              </w:rPr>
              <w:t xml:space="preserve">+8.2</w:t>
            </w:r>
          </w:p>
        </w:tc>
      </w:tr>
      <w:tr>
        <w:tc>
          <w:tcPr>
            <w:tcW w:type="dxa" w:w="3400"/>
            <w:shd w:fill="F5F8FA" w:val="clear"/>
            <w:tcMar>
              <w:top w:type="dxa" w:w="60"/>
              <w:left w:type="dxa" w:w="100"/>
              <w:bottom w:type="dxa" w:w="60"/>
              <w:right w:type="dxa" w:w="100"/>
            </w:tcMar>
          </w:tcPr>
          <w:p>
            <w:pPr>
              <w:jc w:val="left"/>
            </w:pPr>
            <w:r>
              <w:rPr>
                <w:b w:val="false"/>
                <w:bCs w:val="false"/>
                <w:color w:val="0D1B2A"/>
                <w:sz w:val="19"/>
                <w:szCs w:val="19"/>
              </w:rPr>
              <w:t xml:space="preserve">Carolina Hurricanes</w:t>
            </w:r>
          </w:p>
        </w:tc>
        <w:tc>
          <w:tcPr>
            <w:tcW w:type="dxa" w:w="1500"/>
            <w:shd w:fill="F5F8FA" w:val="clear"/>
            <w:tcMar>
              <w:top w:type="dxa" w:w="60"/>
              <w:left w:type="dxa" w:w="100"/>
              <w:bottom w:type="dxa" w:w="60"/>
              <w:right w:type="dxa" w:w="100"/>
            </w:tcMar>
          </w:tcPr>
          <w:p>
            <w:pPr>
              <w:jc w:val="left"/>
            </w:pPr>
            <w:r>
              <w:rPr>
                <w:b w:val="false"/>
                <w:bCs w:val="false"/>
                <w:color w:val="0D1B2A"/>
                <w:sz w:val="19"/>
                <w:szCs w:val="19"/>
              </w:rPr>
              <w:t xml:space="preserve">60</w:t>
            </w:r>
          </w:p>
        </w:tc>
        <w:tc>
          <w:tcPr>
            <w:tcW w:type="dxa" w:w="1700"/>
            <w:shd w:fill="F5F8FA" w:val="clear"/>
            <w:tcMar>
              <w:top w:type="dxa" w:w="60"/>
              <w:left w:type="dxa" w:w="100"/>
              <w:bottom w:type="dxa" w:w="60"/>
              <w:right w:type="dxa" w:w="100"/>
            </w:tcMar>
          </w:tcPr>
          <w:p>
            <w:pPr>
              <w:jc w:val="left"/>
            </w:pPr>
            <w:r>
              <w:rPr>
                <w:b w:val="false"/>
                <w:bCs w:val="false"/>
                <w:color w:val="0D1B2A"/>
                <w:sz w:val="19"/>
                <w:szCs w:val="19"/>
              </w:rPr>
              <w:t xml:space="preserve">56.8</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+7.9</w:t>
            </w:r>
          </w:p>
        </w:tc>
      </w:tr>
      <w:tr>
        <w:tc>
          <w:tcPr>
            <w:tcW w:type="dxa" w:w="3400"/>
            <w:tcMar>
              <w:top w:type="dxa" w:w="60"/>
              <w:left w:type="dxa" w:w="100"/>
              <w:bottom w:type="dxa" w:w="60"/>
              <w:right w:type="dxa" w:w="100"/>
            </w:tcMar>
          </w:tcPr>
          <w:p>
            <w:pPr>
              <w:jc w:val="left"/>
            </w:pPr>
            <w:r>
              <w:rPr>
                <w:b w:val="false"/>
                <w:bCs w:val="false"/>
                <w:color w:val="0D1B2A"/>
                <w:sz w:val="19"/>
                <w:szCs w:val="19"/>
              </w:rPr>
              <w:t xml:space="preserve">Toronto Maple Leafs</w:t>
            </w:r>
          </w:p>
        </w:tc>
        <w:tc>
          <w:tcPr>
            <w:tcW w:type="dxa" w:w="1500"/>
            <w:tcMar>
              <w:top w:type="dxa" w:w="60"/>
              <w:left w:type="dxa" w:w="100"/>
              <w:bottom w:type="dxa" w:w="60"/>
              <w:right w:type="dxa" w:w="100"/>
            </w:tcMar>
          </w:tcPr>
          <w:p>
            <w:pPr>
              <w:jc w:val="left"/>
            </w:pPr>
            <w:r>
              <w:rPr>
                <w:b w:val="false"/>
                <w:bCs w:val="false"/>
                <w:color w:val="0D1B2A"/>
                <w:sz w:val="19"/>
                <w:szCs w:val="19"/>
              </w:rPr>
              <w:t xml:space="preserve">55</w:t>
            </w:r>
          </w:p>
        </w:tc>
        <w:tc>
          <w:tcPr>
            <w:tcW w:type="dxa" w:w="1700"/>
            <w:tcMar>
              <w:top w:type="dxa" w:w="60"/>
              <w:left w:type="dxa" w:w="100"/>
              <w:bottom w:type="dxa" w:w="60"/>
              <w:right w:type="dxa" w:w="100"/>
            </w:tcMar>
          </w:tcPr>
          <w:p>
            <w:pPr>
              <w:jc w:val="left"/>
            </w:pPr>
            <w:r>
              <w:rPr>
                <w:b w:val="false"/>
                <w:bCs w:val="false"/>
                <w:color w:val="0D1B2A"/>
                <w:sz w:val="19"/>
                <w:szCs w:val="19"/>
              </w:rPr>
              <w:t xml:space="preserve">53.4</w:t>
            </w:r>
          </w:p>
        </w:tc>
        <w:tc>
          <w:tcPr>
            <w:tcW w:type="dxa" w:w="1400"/>
            <w:tcMar>
              <w:top w:type="dxa" w:w="60"/>
              <w:left w:type="dxa" w:w="100"/>
              <w:bottom w:type="dxa" w:w="60"/>
              <w:right w:type="dxa" w:w="100"/>
            </w:tcMar>
          </w:tcPr>
          <w:p>
            <w:pPr>
              <w:jc w:val="left"/>
            </w:pPr>
            <w:r>
              <w:rPr>
                <w:b w:val="false"/>
                <w:bCs w:val="false"/>
                <w:color w:val="0D1B2A"/>
                <w:sz w:val="19"/>
                <w:szCs w:val="19"/>
              </w:rPr>
              <w:t xml:space="preserve">+6.9</w:t>
            </w:r>
          </w:p>
        </w:tc>
      </w:tr>
      <w:tr>
        <w:tc>
          <w:tcPr>
            <w:tcW w:type="dxa" w:w="3400"/>
            <w:shd w:fill="F5F8FA" w:val="clear"/>
            <w:tcMar>
              <w:top w:type="dxa" w:w="60"/>
              <w:left w:type="dxa" w:w="100"/>
              <w:bottom w:type="dxa" w:w="60"/>
              <w:right w:type="dxa" w:w="100"/>
            </w:tcMar>
          </w:tcPr>
          <w:p>
            <w:pPr>
              <w:jc w:val="left"/>
            </w:pPr>
            <w:r>
              <w:rPr>
                <w:b w:val="false"/>
                <w:bCs w:val="false"/>
                <w:color w:val="0D1B2A"/>
                <w:sz w:val="19"/>
                <w:szCs w:val="19"/>
              </w:rPr>
              <w:t xml:space="preserve">Buffalo Sabres</w:t>
            </w:r>
          </w:p>
        </w:tc>
        <w:tc>
          <w:tcPr>
            <w:tcW w:type="dxa" w:w="1500"/>
            <w:shd w:fill="F5F8FA" w:val="clear"/>
            <w:tcMar>
              <w:top w:type="dxa" w:w="60"/>
              <w:left w:type="dxa" w:w="100"/>
              <w:bottom w:type="dxa" w:w="60"/>
              <w:right w:type="dxa" w:w="100"/>
            </w:tcMar>
          </w:tcPr>
          <w:p>
            <w:pPr>
              <w:jc w:val="left"/>
            </w:pPr>
            <w:r>
              <w:rPr>
                <w:b w:val="false"/>
                <w:bCs w:val="false"/>
                <w:color w:val="0D1B2A"/>
                <w:sz w:val="19"/>
                <w:szCs w:val="19"/>
              </w:rPr>
              <w:t xml:space="preserve">42</w:t>
            </w:r>
          </w:p>
        </w:tc>
        <w:tc>
          <w:tcPr>
            <w:tcW w:type="dxa" w:w="1700"/>
            <w:shd w:fill="F5F8FA" w:val="clear"/>
            <w:tcMar>
              <w:top w:type="dxa" w:w="60"/>
              <w:left w:type="dxa" w:w="100"/>
              <w:bottom w:type="dxa" w:w="60"/>
              <w:right w:type="dxa" w:w="100"/>
            </w:tcMar>
          </w:tcPr>
          <w:p>
            <w:pPr>
              <w:jc w:val="left"/>
            </w:pPr>
            <w:r>
              <w:rPr>
                <w:b w:val="false"/>
                <w:bCs w:val="false"/>
                <w:color w:val="0D1B2A"/>
                <w:sz w:val="19"/>
                <w:szCs w:val="19"/>
              </w:rPr>
              <w:t xml:space="preserve">37.7</w:t>
            </w:r>
          </w:p>
        </w:tc>
        <w:tc>
          <w:tcPr>
            <w:tcW w:type="dxa" w:w="1400"/>
            <w:shd w:fill="F5F8FA" w:val="clear"/>
            <w:tcMar>
              <w:top w:type="dxa" w:w="60"/>
              <w:left w:type="dxa" w:w="100"/>
              <w:bottom w:type="dxa" w:w="60"/>
              <w:right w:type="dxa" w:w="100"/>
            </w:tcMar>
          </w:tcPr>
          <w:p>
            <w:pPr>
              <w:jc w:val="left"/>
            </w:pPr>
            <w:r>
              <w:rPr>
                <w:b w:val="false"/>
                <w:bCs w:val="false"/>
                <w:color w:val="0D1B2A"/>
                <w:sz w:val="19"/>
                <w:szCs w:val="19"/>
              </w:rPr>
              <w:t xml:space="preserve">+5.2</w:t>
            </w:r>
          </w:p>
        </w:tc>
      </w:tr>
    </w:tbl>
    <w:p>
      <w:pPr>
        <w:spacing w:after="260" w:before="60"/>
      </w:pPr>
      <w:r>
        <w:rPr>
          <w:i/>
          <w:iCs/>
          <w:color w:val="647082"/>
          <w:sz w:val="18"/>
          <w:szCs w:val="18"/>
        </w:rPr>
        <w:t xml:space="preserve">Table 6. Top 10 by EVA+, 2022–23 season.</w:t>
      </w:r>
    </w:p>
    <w:p>
      <w:pPr>
        <w:pStyle w:val="Heading1"/>
        <w:spacing w:after="160" w:before="320"/>
      </w:pPr>
      <w:r>
        <w:t xml:space="preserve">5. Limitations</w:t>
      </w:r>
    </w:p>
    <w:p>
      <w:pPr>
        <w:pStyle w:val="ListParagraph"/>
        <w:numPr>
          <w:ilvl w:val="0"/>
          <w:numId w:val="1"/>
        </w:numPr>
        <w:spacing w:after="80"/>
      </w:pPr>
      <w:r>
        <w:t xml:space="preserve">EVA+ corrects the average era bias per season; it cannot correct within-season heterogeneity if overtime rates vary unusually within a single season.</w:t>
      </w:r>
    </w:p>
    <w:p>
      <w:pPr>
        <w:pStyle w:val="ListParagraph"/>
        <w:numPr>
          <w:ilvl w:val="0"/>
          <w:numId w:val="1"/>
        </w:numPr>
        <w:spacing w:after="80"/>
      </w:pPr>
      <w:r>
        <w:t xml:space="preserve">Pregame Elo already incorporates some mean reversion, so multi-season EVA+ and Elo trajectory are not fully independent measurements over long windows.</w:t>
      </w:r>
    </w:p>
    <w:p>
      <w:pPr>
        <w:pStyle w:val="ListParagraph"/>
        <w:numPr>
          <w:ilvl w:val="0"/>
          <w:numId w:val="1"/>
        </w:numPr>
        <w:spacing w:after="80"/>
      </w:pPr>
      <w:r>
        <w:t xml:space="preserve">Full importance-weighted Clutch EVA is presently a single-season (2022–23) metric due to data coverage; any historical "clutch" claim in this paper uses the Playoff EVA+ proxy, not the importance-weighted definition.</w:t>
      </w:r>
    </w:p>
    <w:p>
      <w:pPr>
        <w:pStyle w:val="ListParagraph"/>
        <w:numPr>
          <w:ilvl w:val="0"/>
          <w:numId w:val="1"/>
        </w:numPr>
        <w:spacing w:after="80"/>
      </w:pPr>
      <w:r>
        <w:t xml:space="preserve">Franchise-level career comparisons inherit the dataset’s franchise-continuity convention (relocated/renamed franchises appear under their current identity throughout their history).</w:t>
      </w:r>
    </w:p>
    <w:p>
      <w:pPr>
        <w:pStyle w:val="Heading1"/>
        <w:spacing w:after="160" w:before="320"/>
      </w:pPr>
      <w:r>
        <w:t xml:space="preserve">6. Future Work</w:t>
      </w:r>
    </w:p>
    <w:p>
      <w:pPr>
        <w:spacing w:after="160" w:line="288"/>
      </w:pPr>
      <w:r>
        <w:rPr>
          <w:sz w:val="22"/>
          <w:szCs w:val="22"/>
        </w:rPr>
        <w:t xml:space="preserve">Two extensions follow directly from this dataset once more seasons carry the game_importance_rating field: (1) a fully importance-weighted Clutch EVA computed identically to the playoff proxy used here, and (2) a study of how quickly EVA+ mean-reverts within a franchise, which would clarify how much of a single season’s EVA+ is signal versus variance. A companion case-study collection and an interactive explorer accompany this paper and are referenced in the appendix materials distributed alongside it.</w:t>
      </w:r>
    </w:p>
    <w:p>
      <w:pPr>
        <w:pStyle w:val="Heading1"/>
        <w:spacing w:after="160" w:before="320"/>
      </w:pPr>
      <w:r>
        <w:t xml:space="preserve">7. Conclusion</w:t>
      </w:r>
    </w:p>
    <w:p>
      <w:pPr>
        <w:spacing w:after="160" w:line="288"/>
      </w:pPr>
      <w:r>
        <w:rPr>
          <w:sz w:val="22"/>
          <w:szCs w:val="22"/>
        </w:rPr>
        <w:t xml:space="preserve">EVA and EVA+ reframe "how good is this team" (Elo) as a second, complementary question: "is this team earning what its own rating says it should?" Applied across 106 seasons, the framework surfaces both a genuine methodological artifact in the source data — a uniform modern-rules assumption that biases raw comparisons across NHL rule eras — and a set of concrete, falsifiable historical claims (the most under/overrated franchises, the best and worst single seasons, and the top playoff performances) that are reproducible directly from the published specification.</w:t>
      </w:r>
    </w:p>
    <w:p>
      <w:pPr>
        <w:pStyle w:val="Heading1"/>
        <w:spacing w:after="160" w:before="320"/>
      </w:pPr>
      <w:r>
        <w:t xml:space="preserve">Appendix: Reproducibility</w:t>
      </w:r>
    </w:p>
    <w:p>
      <w:pPr>
        <w:spacing w:after="160" w:line="288"/>
      </w:pPr>
      <w:r>
        <w:rPr>
          <w:sz w:val="22"/>
          <w:szCs w:val="22"/>
        </w:rPr>
        <w:t xml:space="preserve">All figures and tables in this paper are generated directly from NHL_ELO_Odyssey.csv using the formulas specified in STATISTIC_SPECIFICATION.md v1.0, distributed alongside this document. No values in this paper were manually adjusted after computation.</w:t>
      </w:r>
    </w:p>
    <w:sectPr>
      <w:headerReference w:type="default" r:id="rId7"/>
      <w:footerReference w:type="default" r:id="rId8"/>
      <w:pgSz w:w="12240" w:h="15840" w:orient="portrait"/>
      <w:pgMar w:top="1440" w:right="1350" w:bottom="144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082"/>
        <w:sz w:val="16"/>
        <w:szCs w:val="16"/>
      </w:rPr>
      <w:t xml:space="preserve">Page </w:t>
    </w:r>
    <w:r>
      <w:rPr>
        <w:color w:val="64708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082"/>
        <w:sz w:val="16"/>
        <w:szCs w:val="16"/>
      </w:rPr>
      <w:t xml:space="preserve">EVA — Elo Value Added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D1B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Arial" w:cs="Arial" w:eastAsia="Arial" w:hAnsi="Arial"/>
      <w:b/>
      <w:bCs/>
      <w:color w:val="0B3D66"/>
      <w:sz w:val="30"/>
      <w:szCs w:val="30"/>
    </w:rPr>
  </w:style>
  <w:style w:type="paragraph" w:styleId="Heading2">
    <w:name w:val="Heading 2"/>
    <w:basedOn w:val="Normal"/>
    <w:next w:val="Normal"/>
    <w:qFormat/>
    <w:pPr>
      <w:spacing w:after="120" w:before="260"/>
    </w:pPr>
    <w:rPr>
      <w:rFonts w:ascii="Arial" w:cs="Arial" w:eastAsia="Arial" w:hAnsi="Arial"/>
      <w:b/>
      <w:bCs/>
      <w:color w:val="0D1B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7a4acfdf4938712859616ba15d7690683c9d031.png"/><Relationship Id="rId10" Type="http://schemas.openxmlformats.org/officeDocument/2006/relationships/image" Target="media/6cb4587bd6ffce95eb70dd7ad6fd92b6b1bfdc61.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2026-09-14T05:18:40.850Z</dcterms:created>
  <dcterms:modified xsi:type="dcterms:W3CDTF">2026-09-14T05:18:40.862Z</dcterms:modified>
</cp:coreProperties>
</file>

<file path=docProps/custom.xml><?xml version="1.0" encoding="utf-8"?>
<Properties xmlns="http://schemas.openxmlformats.org/officeDocument/2006/custom-properties" xmlns:vt="http://schemas.openxmlformats.org/officeDocument/2006/docPropsVTypes"/>
</file>