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b/>
          <w:bCs/>
          <w:sz w:val="52"/>
          <w:szCs w:val="52"/>
        </w:rPr>
        <w:t xml:space="preserve">Screens and Sight</w:t>
      </w:r>
    </w:p>
    <w:p>
      <w:pPr>
        <w:spacing w:after="60"/>
        <w:jc w:val="center"/>
      </w:pPr>
      <w:r>
        <w:rPr>
          <w:i/>
          <w:iCs/>
          <w:color w:val="444444"/>
          <w:sz w:val="28"/>
          <w:szCs w:val="28"/>
        </w:rPr>
        <w:t xml:space="preserve">A Review of the Evidence on Digital Screen Time and Eye Health</w:t>
      </w:r>
    </w:p>
    <w:p>
      <w:pPr>
        <w:spacing w:after="500"/>
        <w:jc w:val="center"/>
      </w:pPr>
      <w:r>
        <w:rPr>
          <w:color w:val="666666"/>
          <w:sz w:val="22"/>
          <w:szCs w:val="22"/>
        </w:rPr>
        <w:t xml:space="preserve">September 2026</w:t>
      </w:r>
    </w:p>
    <w:p>
      <w:pPr>
        <w:pStyle w:val="Heading1"/>
        <w:spacing w:after="160" w:before="360"/>
      </w:pPr>
      <w:r>
        <w:t xml:space="preserve">Abstract</w:t>
      </w:r>
    </w:p>
    <w:p>
      <w:pPr>
        <w:spacing w:after="200" w:line="300"/>
      </w:pPr>
      <w:r>
        <w:t xml:space="preserve">Daily screen exposure has risen sharply over the past decade, and with it, clinical and public interest in how that exposure affects the eyes. This paper reviews the published evidence on three of the most studied outcomes: digital eye strain (also called computer vision syndrome), myopia (nearsightedness) risk, and disruption of sleep through blue-light exposure. Across a 2025 dose-response meta-analysis covering more than 300,000 participants, digital eye strain prevalence studies spanning adolescents to older adults, and controlled laboratory studies of blinking behavior, a consistent picture emerges: screen time is reliably associated with a higher likelihood of eye strain symptoms and, in children and adolescents, a measurably higher odds of myopia, with risk rising steeply through the first four hours of daily exposure before climbing more gradually. The mechanisms are physiological rather than mysterious — reduced and incomplete blinking, sustained near-focus, and evening blue-light exposure suppressing melatonin — and the mitigations backed by evidence (the 20-20-20 rule, deliberate blinking, outdoor time, and reduced pre-bedtime screen use) are simple. The paper closes by being explicit about what the evidence does not show: most of the underlying studies are cross-sectional and self-reported, populations and definitions vary widely between them, and screen time is one contributing factor among several rather than a sole cause of any of these outcomes.</w:t>
      </w:r>
    </w:p>
    <w:p>
      <w:pPr>
        <w:pStyle w:val="Heading1"/>
        <w:spacing w:after="160" w:before="360"/>
      </w:pPr>
      <w:r>
        <w:t xml:space="preserve">1. Introduction</w:t>
      </w:r>
    </w:p>
    <w:p>
      <w:pPr>
        <w:spacing w:after="200" w:line="300"/>
      </w:pPr>
      <w:r>
        <w:t xml:space="preserve">Screens are no longer an occasional activity but the default surface of work, school, and leisure. Survey data compiled by CooperVision found that over half of U.S. adults aged 18–44 report six or more hours of daily device use, and an industry report commissioned by the American Optometric Association estimated that more than 104 million working-age Americans view digital screens for over seven hours a day. Children are not exempt: one industry summary put average daily screen time for U.S. children aged 8 to 12 at roughly 5.5 hours, excluding schoolwork.</w:t>
      </w:r>
    </w:p>
    <w:p>
      <w:pPr>
        <w:spacing w:after="200" w:line="300"/>
      </w:pPr>
      <w:r>
        <w:t xml:space="preserve">This rise has been tracked alongside a corresponding rise in reported eye symptoms and, more consequentially, a rise in myopia prevalence in children and young adults worldwide. This paper asks a narrow, evidence-focused question: what does the peer-reviewed and clinical literature actually say about the relationship between screen time and eye health, at what level of confidence, and what follows practically from it?</w:t>
      </w:r>
    </w:p>
    <w:p>
      <w:pPr>
        <w:pStyle w:val="Heading1"/>
        <w:spacing w:after="160" w:before="360"/>
      </w:pPr>
      <w:r>
        <w:t xml:space="preserve">2. Digital Eye Strain and Computer Vision Syndrome</w:t>
      </w:r>
    </w:p>
    <w:p>
      <w:pPr>
        <w:spacing w:after="200" w:line="300"/>
      </w:pPr>
      <w:r>
        <w:t xml:space="preserve">Digital eye strain (DES), sometimes called computer vision syndrome (CVS), describes a cluster of symptoms — eye fatigue, dryness, burning, blurred vision, and headache — associated with extended near-focus screen use. It is not a single diagnosis with one clinical test but a symptom complex typically assessed by questionnaire, most commonly the CVS-Q instrument.</w:t>
      </w:r>
    </w:p>
    <w:p>
      <w:pPr>
        <w:spacing w:after="200" w:line="300"/>
      </w:pPr>
      <w:r>
        <w:t xml:space="preserve">Reported prevalence varies by population and by how symptoms were measured, but the pattern across studies is consistent: as daily screen exposure rises, so does the share of a population reporting symptoms.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50"/>
      </w:tblGrid>
      <w:tr>
        <w:tc>
          <w:tcPr>
            <w:tcW w:type="dxa" w:w="3200"/>
            <w:shd w:fill="E8E4D8" w:val="clear"/>
          </w:tcPr>
          <w:p>
            <w:r>
              <w:rPr>
                <w:b/>
                <w:bCs/>
                <w:sz w:val="21"/>
                <w:szCs w:val="21"/>
              </w:rPr>
              <w:t xml:space="preserve">Population</w:t>
            </w:r>
          </w:p>
        </w:tc>
        <w:tc>
          <w:tcPr>
            <w:tcW w:type="dxa" w:w="1800"/>
            <w:shd w:fill="E8E4D8" w:val="clear"/>
          </w:tcPr>
          <w:p>
            <w:r>
              <w:rPr>
                <w:b/>
                <w:bCs/>
                <w:sz w:val="21"/>
                <w:szCs w:val="21"/>
              </w:rPr>
              <w:t xml:space="preserve">Reported daily hours</w:t>
            </w:r>
          </w:p>
        </w:tc>
        <w:tc>
          <w:tcPr>
            <w:tcW w:type="dxa" w:w="4350"/>
            <w:shd w:fill="E8E4D8" w:val="clear"/>
          </w:tcPr>
          <w:p>
            <w:r>
              <w:rPr>
                <w:b/>
                <w:bCs/>
                <w:sz w:val="21"/>
                <w:szCs w:val="21"/>
              </w:rPr>
              <w:t xml:space="preserve">DES / CVS symptom prevalence</w:t>
            </w:r>
          </w:p>
        </w:tc>
      </w:tr>
      <w:tr>
        <w:tc>
          <w:tcPr>
            <w:tcW w:type="dxa" w:w="3200"/>
          </w:tcPr>
          <w:p>
            <w:r>
              <w:rPr>
                <w:b w:val="false"/>
                <w:bCs w:val="false"/>
                <w:sz w:val="21"/>
                <w:szCs w:val="21"/>
              </w:rPr>
              <w:t xml:space="preserve">Adolescent schoolchildren, India (n=546)</w:t>
            </w:r>
          </w:p>
        </w:tc>
        <w:tc>
          <w:tcPr>
            <w:tcW w:type="dxa" w:w="1800"/>
          </w:tcPr>
          <w:p>
            <w:r>
              <w:rPr>
                <w:b w:val="false"/>
                <w:bCs w:val="false"/>
                <w:sz w:val="21"/>
                <w:szCs w:val="21"/>
              </w:rPr>
              <w:t xml:space="preserve">6.7 h (mean)</w:t>
            </w:r>
          </w:p>
        </w:tc>
        <w:tc>
          <w:tcPr>
            <w:tcW w:type="dxa" w:w="4350"/>
          </w:tcPr>
          <w:p>
            <w:r>
              <w:rPr>
                <w:b w:val="false"/>
                <w:bCs w:val="false"/>
                <w:sz w:val="21"/>
                <w:szCs w:val="21"/>
              </w:rPr>
              <w:t xml:space="preserve">51.5% met DES criteria</w:t>
            </w:r>
          </w:p>
        </w:tc>
      </w:tr>
      <w:tr>
        <w:tc>
          <w:tcPr>
            <w:tcW w:type="dxa" w:w="3200"/>
          </w:tcPr>
          <w:p>
            <w:r>
              <w:rPr>
                <w:b w:val="false"/>
                <w:bCs w:val="false"/>
                <w:sz w:val="21"/>
                <w:szCs w:val="21"/>
              </w:rPr>
              <w:t xml:space="preserve">Older adult device users</w:t>
            </w:r>
          </w:p>
        </w:tc>
        <w:tc>
          <w:tcPr>
            <w:tcW w:type="dxa" w:w="1800"/>
          </w:tcPr>
          <w:p>
            <w:r>
              <w:rPr>
                <w:b w:val="false"/>
                <w:bCs w:val="false"/>
                <w:sz w:val="21"/>
                <w:szCs w:val="21"/>
              </w:rPr>
              <w:t xml:space="preserve">4 h (mean)</w:t>
            </w:r>
          </w:p>
        </w:tc>
        <w:tc>
          <w:tcPr>
            <w:tcW w:type="dxa" w:w="4350"/>
          </w:tcPr>
          <w:p>
            <w:r>
              <w:rPr>
                <w:b w:val="false"/>
                <w:bCs w:val="false"/>
                <w:sz w:val="21"/>
                <w:szCs w:val="21"/>
              </w:rPr>
              <w:t xml:space="preserve">51.6% by CVS-Q ≥6; 71% self-reported symptoms</w:t>
            </w:r>
          </w:p>
        </w:tc>
      </w:tr>
      <w:tr>
        <w:tc>
          <w:tcPr>
            <w:tcW w:type="dxa" w:w="3200"/>
          </w:tcPr>
          <w:p>
            <w:r>
              <w:rPr>
                <w:b w:val="false"/>
                <w:bCs w:val="false"/>
                <w:sz w:val="21"/>
                <w:szCs w:val="21"/>
              </w:rPr>
              <w:t xml:space="preserve">University undergraduates, Riyadh (n=634)</w:t>
            </w:r>
          </w:p>
        </w:tc>
        <w:tc>
          <w:tcPr>
            <w:tcW w:type="dxa" w:w="1800"/>
          </w:tcPr>
          <w:p>
            <w:r>
              <w:rPr>
                <w:b w:val="false"/>
                <w:bCs w:val="false"/>
                <w:sz w:val="21"/>
                <w:szCs w:val="21"/>
              </w:rPr>
              <w:t xml:space="preserve">84.6% used ≥5 h</w:t>
            </w:r>
          </w:p>
        </w:tc>
        <w:tc>
          <w:tcPr>
            <w:tcW w:type="dxa" w:w="4350"/>
          </w:tcPr>
          <w:p>
            <w:r>
              <w:rPr>
                <w:b w:val="false"/>
                <w:bCs w:val="false"/>
                <w:sz w:val="21"/>
                <w:szCs w:val="21"/>
              </w:rPr>
              <w:t xml:space="preserve">76.1% CVS-positive</w:t>
            </w:r>
          </w:p>
        </w:tc>
      </w:tr>
      <w:tr>
        <w:tc>
          <w:tcPr>
            <w:tcW w:type="dxa" w:w="3200"/>
          </w:tcPr>
          <w:p>
            <w:r>
              <w:rPr>
                <w:b w:val="false"/>
                <w:bCs w:val="false"/>
                <w:sz w:val="21"/>
                <w:szCs w:val="21"/>
              </w:rPr>
              <w:t xml:space="preserve">Nursing students, Peru (n=796)</w:t>
            </w:r>
          </w:p>
        </w:tc>
        <w:tc>
          <w:tcPr>
            <w:tcW w:type="dxa" w:w="1800"/>
          </w:tcPr>
          <w:p>
            <w:r>
              <w:rPr>
                <w:b w:val="false"/>
                <w:bCs w:val="false"/>
                <w:sz w:val="21"/>
                <w:szCs w:val="21"/>
              </w:rPr>
              <w:t xml:space="preserve">&gt;4 h associated with 1.73× odds</w:t>
            </w:r>
          </w:p>
        </w:tc>
        <w:tc>
          <w:tcPr>
            <w:tcW w:type="dxa" w:w="4350"/>
          </w:tcPr>
          <w:p>
            <w:r>
              <w:rPr>
                <w:b w:val="false"/>
                <w:bCs w:val="false"/>
                <w:sz w:val="21"/>
                <w:szCs w:val="21"/>
              </w:rPr>
              <w:t xml:space="preserve">Elevated odds of DES (OR 1.73, 95% CI 1.02–2.86)</w:t>
            </w:r>
          </w:p>
        </w:tc>
      </w:tr>
      <w:tr>
        <w:tc>
          <w:tcPr>
            <w:tcW w:type="dxa" w:w="3200"/>
          </w:tcPr>
          <w:p>
            <w:r>
              <w:rPr>
                <w:b w:val="false"/>
                <w:bCs w:val="false"/>
                <w:sz w:val="21"/>
                <w:szCs w:val="21"/>
              </w:rPr>
              <w:t xml:space="preserve">U.S. general adult population</w:t>
            </w:r>
          </w:p>
        </w:tc>
        <w:tc>
          <w:tcPr>
            <w:tcW w:type="dxa" w:w="1800"/>
          </w:tcPr>
          <w:p>
            <w:r>
              <w:rPr>
                <w:b w:val="false"/>
                <w:bCs w:val="false"/>
                <w:sz w:val="21"/>
                <w:szCs w:val="21"/>
              </w:rPr>
              <w:t xml:space="preserve">~7 h average</w:t>
            </w:r>
          </w:p>
        </w:tc>
        <w:tc>
          <w:tcPr>
            <w:tcW w:type="dxa" w:w="4350"/>
          </w:tcPr>
          <w:p>
            <w:r>
              <w:rPr>
                <w:b w:val="false"/>
                <w:bCs w:val="false"/>
                <w:sz w:val="21"/>
                <w:szCs w:val="21"/>
              </w:rPr>
              <w:t xml:space="preserve">~65% report DES symptoms</w:t>
            </w:r>
          </w:p>
        </w:tc>
      </w:tr>
    </w:tbl>
    <w:p>
      <w:pPr>
        <w:spacing w:after="200" w:line="300"/>
      </w:pPr>
      <w:r>
        <w:t xml:space="preserve"/>
      </w:r>
    </w:p>
    <w:p>
      <w:pPr>
        <w:spacing w:after="200" w:line="300"/>
      </w:pPr>
      <w:r>
        <w:t xml:space="preserve">These figures should not be read as points on a single smooth curve — they come from different countries, age groups, and symptom thresholds. But every study that varied exposure within its sample found the same direction of effect: more screen time, more reported strain. The Peruvian nursing-student study is useful here because it estimated an odds ratio directly: using electronic devices more than four hours a day was associated with 73% higher odds of digital eye strain, alongside other independent risk factors including high screen brightness and not following the 20-20-20 rule.</w:t>
      </w:r>
    </w:p>
    <w:p>
      <w:pPr>
        <w:pStyle w:val="Heading1"/>
        <w:spacing w:after="160" w:before="360"/>
      </w:pPr>
      <w:r>
        <w:t xml:space="preserve">3. Blinking, Tear Film, and Why the Mechanism Is More Subtle Than It Sounds</w:t>
      </w:r>
    </w:p>
    <w:p>
      <w:pPr>
        <w:spacing w:after="200" w:line="300"/>
      </w:pPr>
      <w:r>
        <w:t xml:space="preserve">A common claim is that screen use cuts blink rate roughly in half or more — several patient-education sources cite a drop from a baseline of 15–20 blinks per minute to as few as 5–7 during intense screen use. This is worth treating carefully: a controlled laboratory study by Portello, Chu, and Rosenfield (2013), which is the only study in this review that used a matched hard-copy control condition rather than comparing screen use to an unrelated baseline, found a much smaller and statistically non-significant difference in blink rate itself — 14.9 blinks per minute during computer reading versus 13.6 for hard copy.</w:t>
      </w:r>
    </w:p>
    <w:p>
      <w:pPr>
        <w:spacing w:after="200" w:line="300"/>
      </w:pPr>
      <w:r>
        <w:t xml:space="preserve">What that same study did find, and what popular explanations often miss, is that the percentage of incomplete blinks rose significantly during computer use: 7.02% versus 4.33% for hard copy (p = 0.02). An incomplete blink does not fully re-coat the eye's tear film, so even without a large drop in blink frequency, screen use can leave the ocular surface under-lubricated for longer stretches — a more precise mechanism than “you blink less at a screen,” and one that still points to the same practical fix: conscious, complete blinking.</w:t>
      </w:r>
    </w:p>
    <w:p>
      <w:pPr>
        <w:spacing w:after="200" w:line="300"/>
      </w:pPr>
      <w:r>
        <w:t xml:space="preserve">A separate pilot study using camera-based blink tracking found spontaneous resting blink rates around 43 blinks per minute, dropping to roughly 24–25 blinks per minute during on-screen reading or video-watching tasks — a reminder that absolute blink-rate numbers vary considerably by measurement method, and comparisons are most meaningful within a single study's own conditions rather than across studies.</w:t>
      </w:r>
    </w:p>
    <w:p>
      <w:pPr>
        <w:pStyle w:val="Heading1"/>
        <w:spacing w:after="160" w:before="360"/>
      </w:pPr>
      <w:r>
        <w:t xml:space="preserve">4. Myopia: The Strongest Dose-Response Evidence</w:t>
      </w:r>
    </w:p>
    <w:p>
      <w:pPr>
        <w:spacing w:after="200" w:line="300"/>
      </w:pPr>
      <w:r>
        <w:t xml:space="preserve">The most rigorous evidence in this review comes from a 2025 systematic review and dose-response meta-analysis published in JAMA Network Open by Ha and colleagues, pooling 45 studies and 335,524 participants (mean age 9.3 years) for a linear model, and 34 studies with 314,910 participants for a nonlinear model. The linear model found that each additional hour of daily digital screen time was associated with 21% higher odds of myopia (odds ratio 1.21, 95% CI 1.13–1.30).</w:t>
      </w:r>
    </w:p>
    <w:p>
      <w:pPr>
        <w:spacing w:after="200" w:line="300"/>
      </w:pPr>
      <w:r>
        <w:t xml:space="preserve">The nonlinear model is more informative: it found a sigmoidal, S-shaped dose-response curve. At one hour of daily screen exposure, the odds ratio for myopia was only modestly elevated at 1.05 (95% CI 1.01–1.09). By four hours, it had climbed to 1.97 (95% CI 1.56–2.40). Beyond four hours, the rate of increase slowed, though the authors note risk continued to rise gradually rather than plateauing outright. The authors describe this pattern as suggesting a potential “safety threshold” below one hour of daily screen exposure, after which risk begins climbing more steeply.</w:t>
      </w:r>
    </w:p>
    <w:p>
      <w:pPr>
        <w:spacing w:after="200" w:line="300"/>
      </w:pPr>
      <w:r>
        <w:t xml:space="preserve">It's worth being precise about what this odds ratio means and doesn't mean: it describes an association across a large pooled population, not a guarantee for any individual, and myopia has well-established genetic and environmental contributors beyond screens — most notably, reduced time spent outdoors. A separate systematic review found that each additional hour of daily outdoor light exposure was associated with roughly a 13% reduction in myopia risk, and that children who spent an additional hour outside per week saw a 2% reduction — suggesting outdoor time may be protective independent of, and possibly more actionable than, reducing screen time alone.</w:t>
      </w:r>
    </w:p>
    <w:p>
      <w:pPr>
        <w:spacing w:after="200" w:line="300"/>
      </w:pPr>
      <w:r>
        <w:t xml:space="preserve">The leading mechanistic explanation is not that screens are uniquely harmful, but that they concentrate near-work (sustained close-focus vision) and displace outdoor time, both of which are independently linked to axial elongation of the eye — the structural change underlying myopia.</w:t>
      </w:r>
    </w:p>
    <w:p>
      <w:pPr>
        <w:pStyle w:val="Heading1"/>
        <w:spacing w:after="160" w:before="360"/>
      </w:pPr>
      <w:r>
        <w:t xml:space="preserve">5. Blue Light, Melatonin, and Sleep</w:t>
      </w:r>
    </w:p>
    <w:p>
      <w:pPr>
        <w:spacing w:after="200" w:line="300"/>
      </w:pPr>
      <w:r>
        <w:t xml:space="preserve">Beyond the eye itself, screens affect sleep through their light spectrum rather than eye strain mechanics. Blue-enriched light in the 460–480 nanometer range is the primary stimulus for intrinsically photosensitive retinal ganglion cells, which signal the brain's master circadian clock (the suprachiasmatic nucleus) to suppress melatonin release. A widely cited Harvard-affiliated study compared 6.5 hours of evening exposure to blue light against equally bright green light, and found blue light suppressed melatonin for roughly twice as long and shifted circadian rhythm by roughly twice as much (about 3 hours versus 1.5 hours for green light).</w:t>
      </w:r>
    </w:p>
    <w:p>
      <w:pPr>
        <w:spacing w:after="200" w:line="300"/>
      </w:pPr>
      <w:r>
        <w:t xml:space="preserve">This effect is driven far more by timing than by cumulative daily hours: exposure in the evening, close to bedtime, matters disproportionately compared with the same light exposure earlier in the day. This is a meaningfully different dose-response shape than digital eye strain or myopia, and it is the reason this paper's accompanying interactive tool treats sleep as a timing-sensitive note rather than an hours-based curve.</w:t>
      </w:r>
    </w:p>
    <w:p>
      <w:pPr>
        <w:pStyle w:val="Heading1"/>
        <w:spacing w:after="160" w:before="360"/>
      </w:pPr>
      <w:r>
        <w:t xml:space="preserve">6. Who Is Most Affected</w:t>
      </w:r>
    </w:p>
    <w:p>
      <w:pPr>
        <w:pStyle w:val="ListParagraph"/>
        <w:numPr>
          <w:ilvl w:val="0"/>
          <w:numId w:val="1"/>
        </w:numPr>
        <w:spacing w:after="100" w:line="280"/>
      </w:pPr>
      <w:r>
        <w:t xml:space="preserve">Children and adolescents: the age group in which the myopia dose-response evidence is strongest, and where screen time is often layered on top of school-driven near-work, compounding exposure.</w:t>
      </w:r>
    </w:p>
    <w:p>
      <w:pPr>
        <w:pStyle w:val="ListParagraph"/>
        <w:numPr>
          <w:ilvl w:val="0"/>
          <w:numId w:val="1"/>
        </w:numPr>
        <w:spacing w:after="100" w:line="280"/>
      </w:pPr>
      <w:r>
        <w:t xml:space="preserve">Office workers and remote employees: sustained, work-mandated screen use with limited natural breaks; industry estimates place symptom prevalence in this group among the highest of any adult population studied (around 68%).</w:t>
      </w:r>
    </w:p>
    <w:p>
      <w:pPr>
        <w:pStyle w:val="ListParagraph"/>
        <w:numPr>
          <w:ilvl w:val="0"/>
          <w:numId w:val="1"/>
        </w:numPr>
        <w:spacing w:after="100" w:line="280"/>
      </w:pPr>
      <w:r>
        <w:t xml:space="preserve">Older adults: one study specifically of older device users found DES prevalence (51.6% by clinical questionnaire) comparable to much younger populations, and noted that participants may under- or over-estimate their own screen time, a limitation worth flagging for any self-report-based figure in this review.</w:t>
      </w:r>
    </w:p>
    <w:p>
      <w:pPr>
        <w:pStyle w:val="Heading1"/>
        <w:spacing w:after="160" w:before="360"/>
      </w:pPr>
      <w:r>
        <w:t xml:space="preserve">7. What the Evidence Supports as Mitigation</w:t>
      </w:r>
    </w:p>
    <w:p>
      <w:pPr>
        <w:pStyle w:val="ListParagraph"/>
        <w:numPr>
          <w:ilvl w:val="0"/>
          <w:numId w:val="1"/>
        </w:numPr>
        <w:spacing w:after="100" w:line="280"/>
      </w:pPr>
      <w:r>
        <w:t xml:space="preserve">The 20-20-20 rule (every 20 minutes, look at something 20 feet away for 20 seconds) is the most consistently recommended intervention across the clinical sources reviewed, and its absence was independently associated with higher odds of digital eye strain in the Peruvian nursing-student study.</w:t>
      </w:r>
    </w:p>
    <w:p>
      <w:pPr>
        <w:pStyle w:val="ListParagraph"/>
        <w:numPr>
          <w:ilvl w:val="0"/>
          <w:numId w:val="1"/>
        </w:numPr>
        <w:spacing w:after="100" w:line="280"/>
      </w:pPr>
      <w:r>
        <w:t xml:space="preserve">Deliberate, complete blinking directly addresses the mechanism identified by the Rosenfield et al. controlled study — incomplete blinks, not blink frequency alone.</w:t>
      </w:r>
    </w:p>
    <w:p>
      <w:pPr>
        <w:pStyle w:val="ListParagraph"/>
        <w:numPr>
          <w:ilvl w:val="0"/>
          <w:numId w:val="1"/>
        </w:numPr>
        <w:spacing w:after="100" w:line="280"/>
      </w:pPr>
      <w:r>
        <w:t xml:space="preserve">Screen distance and brightness: high screen brightness was an independent risk factor for DES; sitting upright and maintaining distance were protective in the same study.</w:t>
      </w:r>
    </w:p>
    <w:p>
      <w:pPr>
        <w:pStyle w:val="ListParagraph"/>
        <w:numPr>
          <w:ilvl w:val="0"/>
          <w:numId w:val="1"/>
        </w:numPr>
        <w:spacing w:after="100" w:line="280"/>
      </w:pPr>
      <w:r>
        <w:t xml:space="preserve">Outdoor time, particularly for children, is one of the few interventions with its own directly protective dose-response evidence against myopia — independent of reducing screen time.</w:t>
      </w:r>
    </w:p>
    <w:p>
      <w:pPr>
        <w:pStyle w:val="ListParagraph"/>
        <w:numPr>
          <w:ilvl w:val="0"/>
          <w:numId w:val="1"/>
        </w:numPr>
        <w:spacing w:after="100" w:line="280"/>
      </w:pPr>
      <w:r>
        <w:t xml:space="preserve">Reducing screen exposure in the hour or so before bed addresses the timing-sensitive melatonin-suppression mechanism more directly than reducing total daily hours.</w:t>
      </w:r>
    </w:p>
    <w:p>
      <w:pPr>
        <w:pStyle w:val="Heading1"/>
        <w:spacing w:after="160" w:before="360"/>
      </w:pPr>
      <w:r>
        <w:t xml:space="preserve">8. Limitations of the Evidence Base</w:t>
      </w:r>
    </w:p>
    <w:p>
      <w:pPr>
        <w:spacing w:after="200" w:line="300"/>
      </w:pPr>
      <w:r>
        <w:t xml:space="preserve">Readers of this review, and users of its accompanying interactive tool, should keep several limitations in view. First, most digital eye strain prevalence studies are cross-sectional and rely on self-reported screen time and self-reported symptoms, both of which are subject to recall and reporting bias — one of the studies cited here explicitly noted this risk in its own population. Second, definitions of “digital eye strain” and thresholds for a positive CVS-Q score vary between studies, which limits direct numeric comparison across the studies summarized in Section 2. Third, and most importantly, association is not causation: even the strongest evidence in this review, the myopia dose-response meta-analysis, describes a pooled statistical association across many observational studies, not a controlled experiment isolating screen time from other near-work or lifestyle factors. Finally, no dataset combining individual-level screen time with individual-level eye outcomes across all these populations was available for this review; the interactive tool built alongside this paper is explicit that it interpolates and, beyond four hours per day for myopia specifically, extrapolates between real published anchor points rather than fitting a model to raw personal data.</w:t>
      </w:r>
    </w:p>
    <w:p>
      <w:pPr>
        <w:pStyle w:val="Heading1"/>
        <w:spacing w:after="160" w:before="360"/>
      </w:pPr>
      <w:r>
        <w:t xml:space="preserve">9. Conclusion</w:t>
      </w:r>
    </w:p>
    <w:p>
      <w:pPr>
        <w:spacing w:after="200" w:line="300"/>
      </w:pPr>
      <w:r>
        <w:t xml:space="preserve">The evidence reviewed here does not support alarmism, but it does support taking screen time seriously as one real, modifiable contributor to eye strain symptoms and, particularly in children, to myopia risk. The dose-response relationship for myopia is the clearest finding in the literature: risk rises quickly through the first few hours of daily exposure and continues rising, more gradually, beyond that. Digital eye strain prevalence climbs alongside screen hours across every population studied, even though the studies themselves are heterogeneous. And the mechanisms behind both — incomplete blinking, sustained near-focus, and evening blue-light exposure — point toward specific, low-cost mitigations rather than a need to eliminate screens altogether.</w:t>
      </w:r>
    </w:p>
    <w:p>
      <w:r>
        <w:br w:type="page"/>
      </w:r>
    </w:p>
    <w:p>
      <w:pPr>
        <w:pStyle w:val="Heading1"/>
        <w:spacing w:after="160" w:before="360"/>
      </w:pPr>
      <w:r>
        <w:t xml:space="preserve">References</w:t>
      </w:r>
    </w:p>
    <w:p>
      <w:pPr>
        <w:spacing w:after="160" w:line="280"/>
        <w:ind w:left="360" w:hanging="360"/>
      </w:pPr>
      <w:r>
        <w:rPr>
          <w:sz w:val="21"/>
          <w:szCs w:val="21"/>
        </w:rPr>
        <w:t xml:space="preserve">Ha, A., et al. (2025). Digital Screen Time and Myopia: A Systematic Review and Dose-Response Meta-Analysis. JAMA Network Open. https://pubmed.ncbi.nlm.nih.gov/39982728/</w:t>
      </w:r>
    </w:p>
    <w:p>
      <w:pPr>
        <w:spacing w:after="160" w:line="280"/>
        <w:ind w:left="360" w:hanging="360"/>
      </w:pPr>
      <w:r>
        <w:rPr>
          <w:sz w:val="21"/>
          <w:szCs w:val="21"/>
        </w:rPr>
        <w:t xml:space="preserve">Portello, J. K., Rosenfield, M., &amp; Chu, C. A. (2013). Blink Patterns: Reading from a Computer Screen versus Hard Copy. Optometry and Vision Science. https://pubmed.ncbi.nlm.nih.gov/24413278/</w:t>
      </w:r>
    </w:p>
    <w:p>
      <w:pPr>
        <w:spacing w:after="160" w:line="280"/>
        <w:ind w:left="360" w:hanging="360"/>
      </w:pPr>
      <w:r>
        <w:rPr>
          <w:sz w:val="21"/>
          <w:szCs w:val="21"/>
        </w:rPr>
        <w:t xml:space="preserve">American Optometric Association. The Benefits of Blinking. https://www.aoa.org/news/clinical-eye-care/health-and-wellness/the-benefits-of-blinking</w:t>
      </w:r>
    </w:p>
    <w:p>
      <w:pPr>
        <w:spacing w:after="160" w:line="280"/>
        <w:ind w:left="360" w:hanging="360"/>
      </w:pPr>
      <w:r>
        <w:rPr>
          <w:sz w:val="21"/>
          <w:szCs w:val="21"/>
        </w:rPr>
        <w:t xml:space="preserve">The impact of unmanaged excessive screen time in the United States (AOA-commissioned report). https://www.aoa.org/AOA/Documents/Eye%20Deserve%20More/Cost%20of%20Unmanaged%20Screen%20Time%20Report_FINAL.pdf</w:t>
      </w:r>
    </w:p>
    <w:p>
      <w:pPr>
        <w:spacing w:after="160" w:line="280"/>
        <w:ind w:left="360" w:hanging="360"/>
      </w:pPr>
      <w:r>
        <w:rPr>
          <w:sz w:val="21"/>
          <w:szCs w:val="21"/>
        </w:rPr>
        <w:t xml:space="preserve">Prevalence of Digital Eye Strain During the COVID-19 Pandemic Among Adolescent Schoolchildren in Chengalpattu District (2024). https://www.ncbi.nlm.nih.gov/pmc/articles/PMC12790465/</w:t>
      </w:r>
    </w:p>
    <w:p>
      <w:pPr>
        <w:spacing w:after="160" w:line="280"/>
        <w:ind w:left="360" w:hanging="360"/>
      </w:pPr>
      <w:r>
        <w:rPr>
          <w:sz w:val="21"/>
          <w:szCs w:val="21"/>
        </w:rPr>
        <w:t xml:space="preserve">Digital eye strain and clinical correlates in older adults (2024). ScienceDirect. https://www.sciencedirect.com/science/article/pii/S136704842400242X</w:t>
      </w:r>
    </w:p>
    <w:p>
      <w:pPr>
        <w:spacing w:after="160" w:line="280"/>
        <w:ind w:left="360" w:hanging="360"/>
      </w:pPr>
      <w:r>
        <w:rPr>
          <w:sz w:val="21"/>
          <w:szCs w:val="21"/>
        </w:rPr>
        <w:t xml:space="preserve">The Prevalence and Knowledge of Digital Eye Strain Among the Undergraduates in Riyadh, Saudi Arabia (2023). https://www.ncbi.nlm.nih.gov/pmc/articles/PMC10156438/</w:t>
      </w:r>
    </w:p>
    <w:p>
      <w:pPr>
        <w:spacing w:after="160" w:line="280"/>
        <w:ind w:left="360" w:hanging="360"/>
      </w:pPr>
      <w:r>
        <w:rPr>
          <w:sz w:val="21"/>
          <w:szCs w:val="21"/>
        </w:rPr>
        <w:t xml:space="preserve">Digital Eye Strain among Peruvian Nursing Students: Prevalence and Associated Factors (2023). https://www.ncbi.nlm.nih.gov/pmc/articles/PMC10048894/</w:t>
      </w:r>
    </w:p>
    <w:p>
      <w:pPr>
        <w:spacing w:after="160" w:line="280"/>
        <w:ind w:left="360" w:hanging="360"/>
      </w:pPr>
      <w:r>
        <w:rPr>
          <w:sz w:val="21"/>
          <w:szCs w:val="21"/>
        </w:rPr>
        <w:t xml:space="preserve">Intelligent Standalone Eye Blinking Monitoring System for Computer Users (2024). https://www.ncbi.nlm.nih.gov/pmc/articles/PMC11744486/</w:t>
      </w:r>
    </w:p>
    <w:p>
      <w:pPr>
        <w:spacing w:after="160" w:line="280"/>
        <w:ind w:left="360" w:hanging="360"/>
      </w:pPr>
      <w:r>
        <w:rPr>
          <w:sz w:val="21"/>
          <w:szCs w:val="21"/>
        </w:rPr>
        <w:t xml:space="preserve">Dose–Response Relationship of Outdoor Exposure and Myopia Indicators: A Systematic Review and Meta-Analysis (2019). https://www.ncbi.nlm.nih.gov/pmc/articles/PMC6678505/</w:t>
      </w:r>
    </w:p>
    <w:p>
      <w:pPr>
        <w:spacing w:after="160" w:line="280"/>
        <w:ind w:left="360" w:hanging="360"/>
      </w:pPr>
      <w:r>
        <w:rPr>
          <w:sz w:val="21"/>
          <w:szCs w:val="21"/>
        </w:rPr>
        <w:t xml:space="preserve">Blue Light Has a Dark Side. Harvard Health Publishing (2024). https://www.health.harvard.edu/staying-healthy/blue-light-has-a-dark-side</w:t>
      </w:r>
    </w:p>
    <w:p>
      <w:pPr>
        <w:spacing w:after="160" w:line="280"/>
        <w:ind w:left="360" w:hanging="360"/>
      </w:pPr>
      <w:r>
        <w:rPr>
          <w:sz w:val="21"/>
          <w:szCs w:val="21"/>
        </w:rPr>
        <w:t xml:space="preserve">The Impact of Screen Time on Vision: 2025 Statistics &amp; Trends. Vision Center. https://www.visioncenter.org/resources/screen-time-statistics/</w:t>
      </w:r>
    </w:p>
    <w:p>
      <w:pPr>
        <w:spacing w:after="160" w:line="280"/>
        <w:ind w:left="360" w:hanging="360"/>
      </w:pPr>
      <w:r>
        <w:rPr>
          <w:sz w:val="21"/>
          <w:szCs w:val="21"/>
        </w:rPr>
        <w:t xml:space="preserve">CooperVision Research Reveals U.S. Screen Time and Digital Eye Strain Continue to Rise (2024). https://coopervision.com/our-company/news-center/press-release/coopervision-research-reveals-us-screen-time-and-digital-eye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2026-09-07T19:27:27.398Z</dcterms:created>
  <dcterms:modified xsi:type="dcterms:W3CDTF">2026-09-07T19:27:27.410Z</dcterms:modified>
</cp:coreProperties>
</file>

<file path=docProps/custom.xml><?xml version="1.0" encoding="utf-8"?>
<Properties xmlns="http://schemas.openxmlformats.org/officeDocument/2006/custom-properties" xmlns:vt="http://schemas.openxmlformats.org/officeDocument/2006/docPropsVTypes"/>
</file>