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686" w:tblpY="2071"/>
        <w:tblW w:w="4000" w:type="pct"/>
        <w:tblCellMar>
          <w:left w:w="0" w:type="dxa"/>
          <w:right w:w="0" w:type="dxa"/>
        </w:tblCellMar>
        <w:tblLook w:val="04A0"/>
      </w:tblPr>
      <w:tblGrid>
        <w:gridCol w:w="2428"/>
        <w:gridCol w:w="5180"/>
      </w:tblGrid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5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wp9000002"/>
            <w:bookmarkEnd w:id="0"/>
            <w:r w:rsidRPr="00A015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</w:tr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" w:name="wp9000003"/>
            <w:bookmarkEnd w:id="1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High-Performance Processor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2" w:name="wp9000004"/>
            <w:bookmarkEnd w:id="2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Supports concurrent deployment of high-performance, secure data services with headroom for future applications</w:t>
            </w:r>
          </w:p>
        </w:tc>
      </w:tr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3" w:name="wp9000005"/>
            <w:bookmarkEnd w:id="3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Modular Architecture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4" w:name="wp9000006"/>
            <w:bookmarkEnd w:id="4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Offers wide variety of LAN and WAN options; network interfaces are field-upgradable to accommodate future technologies</w:t>
            </w:r>
          </w:p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5" w:name="wp9000007"/>
            <w:bookmarkEnd w:id="5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Provides many types of slots to add connectivity and services in the future on an "integrate-as-you-grow" basis</w:t>
            </w:r>
          </w:p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6" w:name="wp9000008"/>
            <w:bookmarkEnd w:id="6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• Supports more than 30 modules and interface cards, including existing WAN (WIC)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multiflex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(VWIC) interface cards (for data support only on the Cisco 1841 router) and advanced integration modules (AIMs)</w:t>
            </w:r>
          </w:p>
        </w:tc>
      </w:tr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7" w:name="wp9000009"/>
            <w:bookmarkEnd w:id="7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Hardware-Based Encryption Acceleration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8" w:name="wp9000010"/>
            <w:bookmarkEnd w:id="8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Offers cryptography accelerator as standard integrated hardware that can be enabled with an optional Cisco IOS Software for 3DES and AES encryption support</w:t>
            </w:r>
          </w:p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9" w:name="wp9000011"/>
            <w:bookmarkEnd w:id="9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Provides enhanced feature set of security performance through support of optional VPN acceleration card for VPN 3DES or AES encryption</w:t>
            </w:r>
          </w:p>
        </w:tc>
      </w:tr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0" w:name="wp9000012"/>
            <w:bookmarkEnd w:id="10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Ample Default Memory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1" w:name="wp9000013"/>
            <w:bookmarkEnd w:id="11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Provides 64 MB of Flash and 256 MB of synchronous dynamic RAM (SDRAM) memory to support deployment of concurrent services</w:t>
            </w:r>
          </w:p>
        </w:tc>
      </w:tr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2" w:name="wp9000014"/>
            <w:bookmarkEnd w:id="12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Dual High-Speed Ethernet LAN Ports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3" w:name="wp9000015"/>
            <w:bookmarkEnd w:id="13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Helps enable connectivity speeds up to 100BASE-T Ethernet technology without the need for cards and modules</w:t>
            </w:r>
          </w:p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4" w:name="wp9000016"/>
            <w:bookmarkEnd w:id="14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Allows segmentation of the LAN</w:t>
            </w:r>
          </w:p>
        </w:tc>
      </w:tr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5" w:name="wp9000017"/>
            <w:bookmarkEnd w:id="15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Support for Cisco IOS 12.3T, 12.4, 12.4T Feature Sets and Beyond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6" w:name="wp9000018"/>
            <w:bookmarkEnd w:id="16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Supports the Cisco 1841 router starting with Cisco IOS Software Release 12.3T</w:t>
            </w:r>
          </w:p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7" w:name="wp9000019"/>
            <w:bookmarkEnd w:id="17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• Helps enable end-to-end solutions with support for latest Cisco IOS Software-based </w:t>
            </w:r>
            <w:proofErr w:type="spellStart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QoS</w:t>
            </w:r>
            <w:proofErr w:type="spellEnd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, bandwidth management, and security features</w:t>
            </w:r>
          </w:p>
        </w:tc>
      </w:tr>
      <w:tr w:rsidR="007B75C1" w:rsidRPr="00A015C2" w:rsidTr="007B75C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15C2" w:rsidRPr="00A015C2" w:rsidRDefault="007B75C1" w:rsidP="007B75C1">
            <w:pPr>
              <w:spacing w:before="60" w:after="6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8" w:name="wp9000020"/>
            <w:bookmarkEnd w:id="18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Integrated Standard Power Supply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B75C1" w:rsidRPr="00A015C2" w:rsidRDefault="007B75C1" w:rsidP="007B75C1">
            <w:pPr>
              <w:spacing w:after="60" w:line="240" w:lineRule="auto"/>
              <w:ind w:hanging="1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19" w:name="wp9000021"/>
            <w:bookmarkEnd w:id="19"/>
            <w:r w:rsidRPr="00A015C2">
              <w:rPr>
                <w:rFonts w:ascii="Times New Roman" w:eastAsia="Times New Roman" w:hAnsi="Times New Roman" w:cs="Times New Roman"/>
                <w:sz w:val="21"/>
                <w:szCs w:val="21"/>
              </w:rPr>
              <w:t>• Provides for easier installation and management of the router platform</w:t>
            </w:r>
          </w:p>
        </w:tc>
      </w:tr>
    </w:tbl>
    <w:p w:rsidR="007B75C1" w:rsidRDefault="007B75C1" w:rsidP="007B75C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B75C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CISCO 1800 series features:-</w:t>
      </w: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7B75C1" w:rsidRDefault="007B75C1" w:rsidP="007B75C1">
      <w:pPr>
        <w:rPr>
          <w:rFonts w:ascii="Times New Roman" w:hAnsi="Times New Roman" w:cs="Times New Roman"/>
          <w:sz w:val="28"/>
          <w:szCs w:val="24"/>
        </w:rPr>
      </w:pPr>
    </w:p>
    <w:p w:rsidR="00A015C2" w:rsidRDefault="007B75C1" w:rsidP="007B75C1">
      <w:pPr>
        <w:tabs>
          <w:tab w:val="left" w:pos="261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7B75C1" w:rsidRDefault="007B75C1" w:rsidP="007B75C1">
      <w:pPr>
        <w:tabs>
          <w:tab w:val="left" w:pos="2610"/>
        </w:tabs>
        <w:rPr>
          <w:rFonts w:ascii="Times New Roman" w:hAnsi="Times New Roman" w:cs="Times New Roman"/>
          <w:sz w:val="28"/>
          <w:szCs w:val="24"/>
        </w:rPr>
      </w:pPr>
    </w:p>
    <w:p w:rsidR="007B75C1" w:rsidRDefault="007B75C1" w:rsidP="007B75C1">
      <w:pPr>
        <w:tabs>
          <w:tab w:val="left" w:pos="2610"/>
        </w:tabs>
        <w:rPr>
          <w:rFonts w:ascii="Times New Roman" w:hAnsi="Times New Roman" w:cs="Times New Roman"/>
          <w:sz w:val="28"/>
          <w:szCs w:val="24"/>
        </w:rPr>
      </w:pPr>
    </w:p>
    <w:p w:rsidR="007B75C1" w:rsidRDefault="007B75C1" w:rsidP="007B75C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HUAWEI AR 150</w:t>
      </w:r>
      <w:r w:rsidRPr="007B75C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series features:-</w:t>
      </w:r>
    </w:p>
    <w:p w:rsidR="007B75C1" w:rsidRDefault="007B75C1" w:rsidP="007B75C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7B75C1" w:rsidRDefault="007B75C1" w:rsidP="007B75C1">
      <w:pPr>
        <w:tabs>
          <w:tab w:val="left" w:pos="2610"/>
        </w:tabs>
        <w:rPr>
          <w:rFonts w:ascii="Times New Roman" w:hAnsi="Times New Roman" w:cs="Times New Roman"/>
          <w:sz w:val="28"/>
          <w:szCs w:val="24"/>
        </w:rPr>
      </w:pPr>
    </w:p>
    <w:p w:rsidR="007B75C1" w:rsidRDefault="007B75C1" w:rsidP="007B75C1">
      <w:pPr>
        <w:tabs>
          <w:tab w:val="left" w:pos="2610"/>
        </w:tabs>
        <w:rPr>
          <w:rFonts w:ascii="Times New Roman" w:hAnsi="Times New Roman" w:cs="Times New Roman"/>
          <w:sz w:val="28"/>
          <w:szCs w:val="24"/>
        </w:rPr>
      </w:pPr>
    </w:p>
    <w:p w:rsidR="007B75C1" w:rsidRPr="007B75C1" w:rsidRDefault="007B75C1" w:rsidP="007B75C1">
      <w:pPr>
        <w:tabs>
          <w:tab w:val="left" w:pos="2610"/>
        </w:tabs>
        <w:rPr>
          <w:rFonts w:ascii="Times New Roman" w:hAnsi="Times New Roman" w:cs="Times New Roman"/>
          <w:sz w:val="28"/>
          <w:szCs w:val="24"/>
        </w:rPr>
      </w:pPr>
    </w:p>
    <w:sectPr w:rsidR="007B75C1" w:rsidRPr="007B75C1" w:rsidSect="00DA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5C2"/>
    <w:rsid w:val="00581135"/>
    <w:rsid w:val="007B75C1"/>
    <w:rsid w:val="00A015C2"/>
    <w:rsid w:val="00B31351"/>
    <w:rsid w:val="00DA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59"/>
  </w:style>
  <w:style w:type="paragraph" w:styleId="Heading3">
    <w:name w:val="heading 3"/>
    <w:basedOn w:val="Normal"/>
    <w:link w:val="Heading3Char"/>
    <w:uiPriority w:val="9"/>
    <w:qFormat/>
    <w:rsid w:val="00A01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15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5C2"/>
    <w:rPr>
      <w:color w:val="0000FF"/>
      <w:u w:val="single"/>
    </w:rPr>
  </w:style>
  <w:style w:type="paragraph" w:customStyle="1" w:styleId="pchartheadcmt">
    <w:name w:val="pchart_headcmt"/>
    <w:basedOn w:val="Normal"/>
    <w:rsid w:val="00A0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subheadcmt">
    <w:name w:val="pchart_subheadcmt"/>
    <w:basedOn w:val="Normal"/>
    <w:rsid w:val="00A0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80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17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03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24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87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14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32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9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046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26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34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90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3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67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2020-01-15T07:00:00Z</dcterms:created>
  <dcterms:modified xsi:type="dcterms:W3CDTF">2020-01-15T07:23:00Z</dcterms:modified>
</cp:coreProperties>
</file>