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Highlights</w:t>
      </w:r>
    </w:p>
    <w:p>
      <w:r>
        <w:t>Manuscript Title: ProteoPredict: Tri-Modal Deep Network Fusion for High-Resolution Protein Function Prediction Across Low 3-mer Feature-Space Similarity Regimes</w:t>
      </w:r>
    </w:p>
    <w:p>
      <w:r>
        <w:t>Journal: Computers in Biology and Medicine (Elsevier)</w:t>
      </w:r>
    </w:p>
    <w:p>
      <w:pPr>
        <w:pStyle w:val="ListBullet"/>
      </w:pPr>
      <w:r>
        <w:t>Tri-modal deep network predicts protein GO functions in low feature-space regimes.</w:t>
      </w:r>
    </w:p>
    <w:p>
      <w:pPr>
        <w:pStyle w:val="ListBullet"/>
      </w:pPr>
      <w:r>
        <w:t>Non-redundant benchmark of 17,624 human proteins across 16,171 disjoint clusters.</w:t>
      </w:r>
    </w:p>
    <w:p>
      <w:pPr>
        <w:pStyle w:val="ListBullet"/>
      </w:pPr>
      <w:r>
        <w:t>Achieves 0.5031 test Micro-F1, yielding +35.5% higher recall than transfer.</w:t>
      </w:r>
    </w:p>
    <w:p>
      <w:pPr>
        <w:pStyle w:val="ListBullet"/>
      </w:pPr>
      <w:r>
        <w:t>Minimizes CAFA semantic distance to S_min = 19.86 with 0.6146 Molecular Function F1.</w:t>
      </w:r>
    </w:p>
    <w:p>
      <w:pPr>
        <w:pStyle w:val="ListBullet"/>
      </w:pPr>
      <w:r>
        <w:t>In silico perturbation shows 1.31x sensitivity enrichment at catalytic 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