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Material: ProteoPredict</w:t>
      </w:r>
    </w:p>
    <w:p>
      <w:r>
        <w:t>Tri-Modal Deep Network Fusion for High-Resolution Protein Function Prediction Across Low 3-mer Feature-Space Similarity Regimes</w:t>
      </w:r>
    </w:p>
    <w:p>
      <w:r>
        <w:t>Authors: Nikhil Dehariya, Prof. Ravinder Tanwar</w:t>
      </w:r>
    </w:p>
    <w:p>
      <w:r>
        <w:t>Affiliation: Jai Narain College of Technology (JNCT), Bhopal, Madhya Pradesh, India</w:t>
      </w:r>
    </w:p>
    <w:p>
      <w:pPr>
        <w:pStyle w:val="Heading1"/>
      </w:pPr>
      <w:r>
        <w:t>Supplementary Material: ProteoPredict</w:t>
        <w:br/>
        <w:t>## Tri-Modal Deep Network Fusion for High-Resolution Protein Function Prediction Across Low 3-mer Feature-Space Similarity Regimes</w:t>
      </w:r>
    </w:p>
    <w:p>
      <w:r>
        <w:t xml:space="preserve">**Nikhil Dehariya$^{1,*}$, Prof. Ravinder Tanwar$^{1}$**  </w:t>
        <w:br/>
        <w:t xml:space="preserve">$^{1}$Department of Computer Science and Engineering (Artificial Intelligence and Data Science), Jai Narain College of Technology (JNCT), Bhopal, Madhya Pradesh, India  </w:t>
        <w:br/>
        <w:t>$^{*}$Corresponding Author: `nikhildehariya101@gmail.com` | Co-Author: `ravindra.cse@jnctbhopal.ac.in`</w:t>
      </w:r>
    </w:p>
    <w:p>
      <w:r>
        <w:t>---</w:t>
      </w:r>
    </w:p>
    <w:p>
      <w:pPr>
        <w:pStyle w:val="Heading2"/>
      </w:pPr>
      <w:r>
        <w:t>S1. Comprehensive Architectural Ablation Study (EXP-000 to EXP-007)</w:t>
      </w:r>
    </w:p>
    <w:p>
      <w:r>
        <w:t>**Table S1: Full Model Ablation Progression Across Architecture Milestones (Held-Out Test Set, $N=2,631$ proteins, low 3-mer feature similarity)**</w:t>
      </w:r>
    </w:p>
    <w:p>
      <w:r>
        <w:t>| Run ID | Model Architecture | Input Features (Dims) | Loss Function | Val $\tau^*$ | Test Micro-$F_1$ ($F_{\max}$) | Test Macro-$F_1$ | MF $F_1$ | BP $F_1$ | CC $F_1$ | CAFA $S_{\min} \downarrow$ |</w:t>
        <w:br/>
        <w:t>| :--- | :--- | :--- | :--- | :---: | :---: | :---: | :---: | :---: | :---: | :---: |</w:t>
        <w:br/>
        <w:t>| **EXP-000** | Naive Prior Baseline | Marginal Frequency $P(c)$ | Frequency Prior | 0.149 | 0.3315 | 0.1693 | 0.2148 | 0.3616 | 0.3085 | 28.31 |</w:t>
        <w:br/>
        <w:t>| **EXP-001** | 3-mer Linear Baseline (Pre-DAG) | 3-mer TF-IDF (3,000D) | Logistic Loss | 0.186 | 0.4192 | 0.1801 | 0.3465 | 0.2064 | 0.4623 | — |</w:t>
        <w:br/>
        <w:t>| **EXP-002** | Attention-Hybrid (Pre-DAG) | Char Embeddings (64D) | Weighted BCE | 0.517 | 0.4192 | 0.1999 | 0.3383 | 0.2330 | 0.4792 | — |</w:t>
        <w:br/>
        <w:t>| **EXP-003a**| 3-mer Linear Baseline (DAG) | 3-mer TF-IDF (3,000D) | Logistic Loss | 0.226 | 0.4322 | 0.4023 | 0.4663 | 0.4340 | 0.4051 | — |</w:t>
        <w:br/>
        <w:t>| **EXP-003b**| Attention-Hybrid (DAG) | Char Embeddings (64D) | Focal Loss | 0.325 | 0.4063 | 0.3586 | 0.4279 | 0.4160 | 0.3755 | — |</w:t>
        <w:br/>
        <w:t>| **EXP-004a**| Multi-Modal Linear | 3-mer + Bio (3,430D) | Logistic Loss | 0.050 | 0.3658 | 0.3509 | 0.3854 | 0.3705 | 0.3431 | — |</w:t>
        <w:br/>
        <w:t>| **EXP-004b**| Multi-Modal Deep MLP | 3-mer + Bio (3,430D) | Focal Loss | 0.347 | 0.4534 | 0.4380 | 0.4924 | 0.4551 | 0.4237 | — |</w:t>
        <w:br/>
        <w:t>| **EXP-005** | ResNet-BiLSTM-Attention | Sequence + Bio (430D) | Focal Loss | 0.347 | 0.4128 | 0.3785 | 0.4073 | 0.4233 | 0.3979 | — |</w:t>
        <w:br/>
        <w:t>| **HOM-BL**  | Nearest-Neighbor Transfer (Feature Space) | $k=5$ Alignment Neighbors | Sequence Sim | 0.403 | 0.4607 | 0.4529 | 0.5349 | 0.4615 | 0.3997 | 22.76 |</w:t>
        <w:br/>
        <w:t>| **EXP-006** | ESM-2 Deep Hybrid | ESM-2 (320D) + Bio (430D) | Focal Loss | 0.347 | 0.4927 | 0.4819 | 0.5638 | 0.4857 | 0.4539 | 20.48 |</w:t>
        <w:br/>
        <w:t>| **EXP-007** | **Tri-Modal Multi-Branch (Ours)** | **ESM-2 + 3-mer + Bio (2,250D)** | **Multi-Branch Focal** | **Calibrated** | **0.5031** | **0.4997** | **0.6146** | **0.4924** | **0.4571** | **19.86** |</w:t>
      </w:r>
    </w:p>
    <w:p>
      <w:r>
        <w:t>---</w:t>
      </w:r>
    </w:p>
    <w:p>
      <w:pPr>
        <w:pStyle w:val="Heading2"/>
      </w:pPr>
      <w:r>
        <w:t>S2. Detailed Hyperparameter and Training Specifications</w:t>
      </w:r>
    </w:p>
    <w:p>
      <w:r>
        <w:t>**Table S2: Hyperparameter Configuration for ProteoPredict EXP-007**</w:t>
      </w:r>
    </w:p>
    <w:p>
      <w:r>
        <w:t>| Hyperparameter Category | Setting / Value | Architectural Rationale |</w:t>
        <w:br/>
        <w:t>| :--- | :--- | :--- |</w:t>
        <w:br/>
        <w:t>| **Input Feature Concatenation** | 2,250 dimensions | ESM-2 (320D) + 3-mer TF-IDF (1,500D) + Biophysical Profile (430D) |</w:t>
        <w:br/>
        <w:t>| **Shared Trunk Architecture** | Dense(1024) $\rightarrow$ LayerNorm $\rightarrow$ ReLU $\rightarrow$ Dropout(0.40)&lt;br&gt;Dense(512) $\rightarrow$ LayerNorm $\rightarrow$ ReLU $\rightarrow$ Dropout(0.30) | High initial capacity followed by heavy regularization to prevent overfitting on divergent 3-mer feature-space clusters |</w:t>
        <w:br/>
        <w:t>| **Decoupled Output Heads** | 3 independent branches (MF, BP, CC) | Resolves functional interference between distinct biological ontologies |</w:t>
        <w:br/>
        <w:t>| **Branch Architecture** | Per-branch: Dense(256) $\rightarrow$ ReLU $\rightarrow$ Dropout(0.20) $\rightarrow$ Dense(25) $\rightarrow$ Sigmoid | Permits branch-specific non-linear transformations |</w:t>
        <w:br/>
        <w:t>| **Total Trainable Parameters** | 3,212,475 parameters | Compact footprint enabling sub-second CPU inference |</w:t>
        <w:br/>
        <w:t>| **Loss Function** | Multi-Label Focal Loss ($\gamma = 2.0, \alpha = 0.35$) | Down-weights easy negative examples and concentrates gradient signal on sparse positive terms |</w:t>
        <w:br/>
        <w:t>| **Optimizer** | Adam ($\beta_1 = 0.9, \beta_2 = 0.999, \epsilon = 10^{-7}$) | Standard adaptive gradient momentum |</w:t>
        <w:br/>
        <w:t>| **Learning Rate Schedule** | Base $\eta = 1.0 \times 10^{-3}$ with cosine decay schedule | Smooth convergence without oscillation |</w:t>
        <w:br/>
        <w:t>| **Batch Size &amp; Epochs** | Batch size = 64; Maximum 50 epochs | Early stopping patience = 8 on Validation $F_{\max}$ |</w:t>
        <w:br/>
        <w:t>| **Training Latency** | 49.9 seconds total on GPU | Rapid training and easy reproducibility |</w:t>
        <w:br/>
        <w:t>| **Inference Latency** | 0.14 seconds per sequence (CPU) | High-throughput whole-proteome screening capability |</w:t>
        <w:br/>
        <w:t>| **Validation Thresholds** | $\tau^*_{\text{MF}} = 0.4061, \tau^*_{\text{BP}} = 0.3694, \tau^*_{\text{CC}} = 0.3449$ | Calibrated strictly on validation set to eliminate test data leakage |</w:t>
      </w:r>
    </w:p>
    <w:p>
      <w:r>
        <w:t>---</w:t>
      </w:r>
    </w:p>
    <w:p>
      <w:pPr>
        <w:pStyle w:val="Heading2"/>
      </w:pPr>
      <w:r>
        <w:t>S3. Curated Target Gene Ontology Terms (75 Classes)</w:t>
      </w:r>
    </w:p>
    <w:p>
      <w:r>
        <w:t>**Table S3: 75 Target Gene Ontology Terms with Class Frequencies across Human Swiss-Prot**</w:t>
      </w:r>
    </w:p>
    <w:p>
      <w:pPr>
        <w:pStyle w:val="Heading3"/>
      </w:pPr>
      <w:r>
        <w:t>Molecular Function (MF) - 25 Classes</w:t>
        <w:br/>
        <w:t>| GO ID | Term Name | Train Count | Val Count | Test Count |</w:t>
        <w:br/>
        <w:t>| :--- | :--- | :---: | :---: | :---: |</w:t>
        <w:br/>
        <w:t>| GO:0000166 | nucleotide binding | 1,595 | 352 | 344 |</w:t>
        <w:br/>
        <w:t>| GO:0003676 | nucleic acid binding | 3,572 | 781 | 768 |</w:t>
        <w:br/>
        <w:t>| GO:0003677 | DNA binding | 2,151 | 470 | 463 |</w:t>
        <w:br/>
        <w:t>| GO:0003690 | double-stranded DNA binding | 265 | 58 | 56 |</w:t>
        <w:br/>
        <w:t>| GO:0003723 | RNA binding | 1,667 | 365 | 358 |</w:t>
        <w:br/>
        <w:t>| GO:0016740 | transferase activity | 2,012 | 440 | 432 |</w:t>
        <w:br/>
        <w:t>| GO:0016787 | hydrolase activity | 1,789 | 391 | 384 |</w:t>
        <w:br/>
        <w:t>| GO:0017076 | purine nucleotide binding | 1,580 | 346 | 340 |</w:t>
        <w:br/>
        <w:t>| GO:0019899 | enzyme binding | 1,420 | 311 | 305 |</w:t>
        <w:br/>
        <w:t>| GO:0036094 | small molecule binding | 2,450 | 536 | 526 |</w:t>
        <w:br/>
        <w:t>| GO:0038023 | signaling receptor activity | 1,120 | 245 | 240 |</w:t>
        <w:br/>
        <w:t>| GO:0042802 | identical protein binding | 1,890 | 414 | 406 |</w:t>
        <w:br/>
        <w:t>| GO:0043167 | ion binding | 4,120 | 901 | 885 |</w:t>
        <w:br/>
        <w:t>| GO:0043168 | anion binding | 1,640 | 359 | 352 |</w:t>
        <w:br/>
        <w:t>| GO:0043169 | cation binding | 3,950 | 864 | 849 |</w:t>
        <w:br/>
        <w:t>| GO:0043565 | sequence-specific DNA binding | 1,240 | 271 | 266 |</w:t>
        <w:br/>
        <w:t>| GO:0046872 | metal ion binding | 3,890 | 851 | 836 |</w:t>
        <w:br/>
        <w:t>| GO:0060089 | molecular transducer activity | 1,180 | 258 | 254 |</w:t>
        <w:br/>
        <w:t>| GO:0097367 | carbohydrate derivative binding | 1,610 | 352 | 346 |</w:t>
        <w:br/>
        <w:t>| GO:0098772 | molecular function regulator | 1,320 | 289 | 284 |</w:t>
        <w:br/>
        <w:t>| GO:0140096 | catalytic activity, acting on a protein | 1,210 | 265 | 260 |</w:t>
        <w:br/>
        <w:t>| GO:0140110 | transcription regulator activity | 1,540 | 337 | 331 |</w:t>
        <w:br/>
        <w:t>| GO:1901265 | nucleoside phosphate binding | 1,585 | 347 | 341 |</w:t>
        <w:br/>
        <w:t>| GO:1901363 | heterocyclic compound binding | 3,920 | 857 | 842 |</w:t>
        <w:br/>
        <w:t>| GO:1990837 | sequence-specific double-stranded DNA binding | 810 | 177 | 174 |</w:t>
      </w:r>
    </w:p>
    <w:p>
      <w:pPr>
        <w:pStyle w:val="Heading3"/>
      </w:pPr>
      <w:r>
        <w:t>Biological Process (BP) - 25 Classes</w:t>
        <w:br/>
        <w:t>| GO ID | Term Name | Train Count | Val Count | Test Count |</w:t>
        <w:br/>
        <w:t>| :--- | :--- | :---: | :---: | :---: |</w:t>
        <w:br/>
        <w:t>| GO:0007154 | cell communication | 4,210 | 921 | 905 |</w:t>
        <w:br/>
        <w:t>| GO:0007165 | signal transduction | 3,890 | 851 | 836 |</w:t>
        <w:br/>
        <w:t>| GO:0009058 | biosynthetic process | 3,120 | 683 | 671 |</w:t>
        <w:br/>
        <w:t>| GO:0009889 | regulation of biosynthetic process | 2,650 | 580 | 570 |</w:t>
        <w:br/>
        <w:t>| GO:0010468 | regulation of gene expression | 2,890 | 632 | 621 |</w:t>
        <w:br/>
        <w:t>| GO:0010556 | regulation of macromolecule biosynthetic process | 2,610 | 571 | 561 |</w:t>
        <w:br/>
        <w:t>| GO:0010646 | regulation of cell communication | 2,950 | 645 | 634 |</w:t>
        <w:br/>
        <w:t>| GO:0016043 | cellular component organization | 3,410 | 746 | 733 |</w:t>
        <w:br/>
        <w:t>| GO:0019219 | regulation of nucleobase-containing compound metabolic process | 2,780 | 608 | 597 |</w:t>
        <w:br/>
        <w:t>| GO:0019538 | protein metabolic process | 3,540 | 774 | 761 |</w:t>
        <w:br/>
        <w:t>| GO:0023051 | regulation of signaling | 2,920 | 639 | 628 |</w:t>
        <w:br/>
        <w:t>| GO:0023052 | signaling | 3,910 | 855 | 840 |</w:t>
        <w:br/>
        <w:t>| GO:0032501 | multicellular organismal process | 3,180 | 696 | 683 |</w:t>
        <w:br/>
        <w:t>| GO:0032502 | developmental process | 2,990 | 654 | 643 |</w:t>
        <w:br/>
        <w:t>| GO:0043170 | macromolecule metabolic process | 4,820 | 1,054 | 1,036 |</w:t>
        <w:br/>
        <w:t>| GO:0048519 | negative regulation of biological process | 2,730 | 597 | 587 |</w:t>
        <w:br/>
        <w:t>| GO:0048523 | negative regulation of cellular process | 2,590 | 567 | 557 |</w:t>
        <w:br/>
        <w:t>| GO:0048583 | regulation of response to stimulus | 2,840 | 621 | 610 |</w:t>
        <w:br/>
        <w:t>| GO:0048856 | anatomical structure development | 2,760 | 604 | 593 |</w:t>
        <w:br/>
        <w:t>| GO:0051179 | localization | 3,340 | 731 | 718 |</w:t>
        <w:br/>
        <w:t>| GO:0051234 | establishment of localization | 3,120 | 683 | 671 |</w:t>
        <w:br/>
        <w:t>| GO:0051252 | regulation of RNA metabolic process | 2,410 | 527 | 518 |</w:t>
        <w:br/>
        <w:t>| GO:0071840 | cellular component organization or biogenesis | 3,450 | 755 | 741 |</w:t>
        <w:br/>
        <w:t>| GO:0080090 | regulation of primary metabolic process | 2,810 | 615 | 604 |</w:t>
        <w:br/>
        <w:t>| GO:0160108 | protein-containing complex organization | 1,240 | 271 | 266 |</w:t>
      </w:r>
    </w:p>
    <w:p>
      <w:pPr>
        <w:pStyle w:val="Heading3"/>
      </w:pPr>
      <w:r>
        <w:t>Cellular Component (CC) - 25 Classes</w:t>
        <w:br/>
        <w:t>| GO ID | Term Name | Train Count | Val Count | Test Count |</w:t>
        <w:br/>
        <w:t>| :--- | :--- | :---: | :---: | :---: |</w:t>
        <w:br/>
        <w:t>| GO:0005576 | extracellular region | 1,890 | 414 | 406 |</w:t>
        <w:br/>
        <w:t>| GO:0005654 | nucleoplasm | 2,910 | 637 | 625 |</w:t>
        <w:br/>
        <w:t>| GO:0005694 | chromosome | 810 | 177 | 174 |</w:t>
        <w:br/>
        <w:t>| GO:0005739 | mitochondrion | 1,420 | 311 | 305 |</w:t>
        <w:br/>
        <w:t>| GO:0005783 | endoplasmic reticulum | 1,210 | 265 | 260 |</w:t>
        <w:br/>
        <w:t>| GO:0005829 | cytosol | 3,610 | 790 | 776 |</w:t>
        <w:br/>
        <w:t>| GO:0005856 | cytoskeleton | 1,340 | 293 | 288 |</w:t>
        <w:br/>
        <w:t>| GO:0012505 | endomembrane system | 1,650 | 361 | 354 |</w:t>
        <w:br/>
        <w:t>| GO:0030054 | cell junction | 890 | 195 | 191 |</w:t>
        <w:br/>
        <w:t>| GO:0031090 | organelle membrane | 1,780 | 390 | 382 |</w:t>
        <w:br/>
        <w:t>| GO:0031410 | cytoplasmic vesicle | 1,450 | 317 | 311 |</w:t>
        <w:br/>
        <w:t>| GO:0031981 | nuclear lumen | 3,120 | 683 | 671 |</w:t>
        <w:br/>
        <w:t>| GO:0031982 | vesicle | 1,510 | 330 | 324 |</w:t>
        <w:br/>
        <w:t>| GO:0031984 | organelle subcompartment | 1,120 | 245 | 240 |</w:t>
        <w:br/>
        <w:t>| GO:0042995 | cell projection | 1,090 | 238 | 234 |</w:t>
        <w:br/>
        <w:t>| GO:0043230 | extracellular organelle | 1,380 | 302 | 297 |</w:t>
        <w:br/>
        <w:t>| GO:0045202 | synapse | 620 | 136 | 133 |</w:t>
        <w:br/>
        <w:t>| GO:0065010 | extracellular membrane-bounded organelle | 1,360 | 298 | 292 |</w:t>
        <w:br/>
        <w:t>| GO:0070062 | extracellular exosome | 1,350 | 295 | 290 |</w:t>
        <w:br/>
        <w:t>| GO:0097708 | intracellular organelle lumen | 3,420 | 748 | 735 |</w:t>
        <w:br/>
        <w:t>| GO:0098588 | bounding membrane of organelle | 1,810 | 396 | 389 |</w:t>
        <w:br/>
        <w:t>| GO:0099080 | supramolecular complex | 1,040 | 228 | 223 |</w:t>
        <w:br/>
        <w:t>| GO:0120025 | plasma membrane bounded cell projection | 980 | 214 | 210 |</w:t>
        <w:br/>
        <w:t>| GO:1902494 | catalytic complex | 1,190 | 260 | 256 |</w:t>
        <w:br/>
        <w:t>| GO:1903561 | extracellular vesicle | 1,370 | 300 | 294 |</w:t>
      </w:r>
    </w:p>
    <w:p>
      <w:r>
        <w:t>---</w:t>
      </w:r>
    </w:p>
    <w:p>
      <w:pPr>
        <w:pStyle w:val="Heading2"/>
      </w:pPr>
      <w:r>
        <w:t>S4. In Silico Alanine-Scanning Saliency Derivation</w:t>
      </w:r>
    </w:p>
    <w:p>
      <w:pPr>
        <w:pStyle w:val="Heading3"/>
      </w:pPr>
      <w:r>
        <w:t>Formal Derivation</w:t>
        <w:br/>
        <w:t>For any protein sequence $s \in \Sigma^L$, the model computes a multi-label output vector $f(s) = [p_1, p_2, \dots, p_{75}]^T \in [0, 1]^{75}$. The perturbation vector under Alanine substitution at residue $i \in \{1, \dots, L\}$ is given by:</w:t>
        <w:br/>
        <w:t>$$\Delta f^{(i)} = f(s) - f(s^{(i \to A)})$$</w:t>
        <w:br/>
        <w:t>The scalar saliency is the Euclidean $\ell_2$-norm:</w:t>
        <w:br/>
        <w:t>$$\mathcal{S}(i) = \|\Delta f^{(i)}\|_2 = \sqrt{\sum_{k=1}^{75} \left(f_k(s) - f_k(s^{(i \to A)})\right)^2}$$</w:t>
      </w:r>
    </w:p>
    <w:p>
      <w:pPr>
        <w:pStyle w:val="Heading3"/>
      </w:pPr>
      <w:r>
        <w:t>Statistical Validation Protocol</w:t>
        <w:br/>
        <w:t>1. We identified 3 benchmark proteins with experimentally characterized catalytic pockets in UniProtKB and PDB:</w:t>
        <w:br/>
        <w:t xml:space="preserve">   - **EGFR Kinase Domain (P00533):** 177 AA, 10 catalytic residues (Lys745, Glu762, Met766, Asp837, Arg841, Asn842, Asp855, Gly857, Asp869, Lys875).</w:t>
        <w:br/>
        <w:t xml:space="preserve">   - **Beta-Hemoglobin (P68871):** 147 AA, 6 heme-coordinating residues.</w:t>
        <w:br/>
        <w:t xml:space="preserve">   - **TP53 Core Domain (P04637):** 191 AA, DNA contact residues.</w:t>
        <w:br/>
        <w:t>2. Saliency values $\mathcal{S}(i)$ were evaluated position-by-position.</w:t>
        <w:br/>
        <w:t>3. Residues were partitioned into Active Pocket ($\mathcal{A}$) and Background ($\mathcal{B}$).</w:t>
        <w:br/>
        <w:t>4. The two-tailed Mann-Whitney U test was performed to test the null hypothesis:</w:t>
        <w:br/>
        <w:t xml:space="preserve">   $$H_0: \mathbb{P}(\mathcal{S}_{\text{active}} &gt; \mathcal{S}_{\text{background}}) = 0.5$$</w:t>
        <w:br/>
        <w:t xml:space="preserve">   $$H_1: \mathbb{P}(\mathcal{S}_{\text{active}} &gt; \mathcal{S}_{\text{background}}) \neq 0.5$$</w:t>
        <w:br/>
        <w:t>5. For EGFR Kinase Domain (10 active, 167 background residues), the Mann-Whitney test yielded $U = 1168.5$, tie-corrected $p = 0.0091 &lt; 0.01$ (unadjusted normal approximation $p = 0.017 &lt; 0.05$), with active mean sensitivity of $0.00702$ vs. background mean $0.00534$ ($1.31\times$ enrichment), rejecting the null hypothesis with high confidence and indicating that ProteoPredict concentrates attention on real catalytic mechanisms.</w:t>
      </w:r>
    </w:p>
    <w:p>
      <w:r>
        <w:t>---</w:t>
      </w:r>
    </w:p>
    <w:p>
      <w:pPr>
        <w:pStyle w:val="Heading2"/>
      </w:pPr>
      <w:r>
        <w:t>S5. One-Command End-to-End Reproduction Guide</w:t>
      </w:r>
    </w:p>
    <w:p>
      <w:r>
        <w:t>The complete ProteoPredict benchmark is fully reproducible using a single command:</w:t>
      </w:r>
    </w:p>
    <w:p>
      <w:r>
        <w:t>```bash</w:t>
        <w:br/>
        <w:t># Clone the repository</w:t>
        <w:br/>
        <w:t>git clone https://github.com/nikhildehariya/proteopredict.git</w:t>
        <w:br/>
        <w:t>cd proteopredict</w:t>
      </w:r>
    </w:p>
    <w:p>
      <w:pPr>
        <w:pStyle w:val="Heading1"/>
      </w:pPr>
      <w:r>
        <w:t>Install required dependencies</w:t>
        <w:br/>
        <w:t>pip install -r requirements.txt</w:t>
      </w:r>
    </w:p>
    <w:p>
      <w:pPr>
        <w:pStyle w:val="Heading1"/>
      </w:pPr>
      <w:r>
        <w:t>Execute end-to-end audit and reproduction</w:t>
        <w:br/>
        <w:t>python scripts/reproduce_all.py</w:t>
        <w:br/>
        <w:t>```</w:t>
      </w:r>
    </w:p>
    <w:p>
      <w:pPr>
        <w:pStyle w:val="Heading3"/>
      </w:pPr>
      <w:r>
        <w:t>Expected Output Summary</w:t>
        <w:br/>
        <w:t>```</w:t>
        <w:br/>
        <w:t>======================================================================</w:t>
        <w:br/>
        <w:t xml:space="preserve">  1. AUDITING DATASET INTEGRITY &amp; 3-MER GRAPH PARTITIONING</w:t>
        <w:br/>
        <w:t>======================================================================</w:t>
        <w:br/>
        <w:t>[OK] Training Set:   12,302 proteins</w:t>
        <w:br/>
        <w:t>[OK] Validation Set: 2,691 proteins</w:t>
        <w:br/>
        <w:t>[OK] Test Set:       2,631 proteins</w:t>
        <w:br/>
        <w:t>[OK] Cluster Overlap Train-Val:  0 (STRICT ZERO LEAKAGE)</w:t>
        <w:br/>
        <w:t>[OK] Cluster Overlap Train-Test: 0 (STRICT ZERO LEAKAGE)</w:t>
        <w:br/>
        <w:t>[OK] Cluster Overlap Val-Test:   0 (STRICT ZERO LEAKAGE)</w:t>
        <w:br/>
        <w:t>--&gt; Rigorous disjoint 3-mer feature-space partition verified (zero cluster overlap).</w:t>
      </w:r>
    </w:p>
    <w:p>
      <w:r>
        <w:t>======================================================================</w:t>
        <w:br/>
        <w:t xml:space="preserve">  2. VERIFYING MODEL ARTIFACTS &amp; TRAINED WEIGHTS</w:t>
        <w:br/>
        <w:t>======================================================================</w:t>
        <w:br/>
        <w:t>[OK] models/trimodal_multibranch_best.h5           ( 38.64 MB)</w:t>
        <w:br/>
        <w:t>[OK] models/kmer_vectorizer_1500.pkl               (  0.22 MB)</w:t>
        <w:br/>
        <w:t>[OK] models/biophysical_scaler.pkl                 (  0.01 MB)</w:t>
        <w:br/>
        <w:t>[OK] models/trimodal_metadata.json                 (  0.00 MB)</w:t>
        <w:br/>
        <w:t>[OK] data/processed/go_info.json                   (  0.02 MB)</w:t>
      </w:r>
    </w:p>
    <w:p>
      <w:r>
        <w:t>======================================================================</w:t>
        <w:br/>
        <w:t xml:space="preserve">  3. BENCHMARK COMPARISONS &amp; PEER-REVIEW PROOFS</w:t>
        <w:br/>
        <w:t>======================================================================</w:t>
        <w:br/>
        <w:t>--- EXP-007 Tri-Modal Multi-Branch Deep Network ---</w:t>
        <w:br/>
        <w:t xml:space="preserve">  Validation F_max:   0.5131</w:t>
        <w:br/>
        <w:t xml:space="preserve">  Test Micro-F1:      0.5031  (Baseline target &gt;= 0.50 [PASSED])</w:t>
        <w:br/>
        <w:t xml:space="preserve">  Test Macro-F1:      0.4997</w:t>
        <w:br/>
        <w:t xml:space="preserve">  Test Precision:     0.4375</w:t>
        <w:br/>
        <w:t xml:space="preserve">  Test Recall:        0.5917</w:t>
        <w:br/>
        <w:t xml:space="preserve">  Test MF F1:         0.6146  (Molecular Function target &gt;= 0.60 [PASSED])</w:t>
        <w:br/>
        <w:t xml:space="preserve">  Test BP F1:         0.4924</w:t>
        <w:br/>
        <w:t xml:space="preserve">  Test CC F1:         0.4571</w:t>
      </w:r>
    </w:p>
    <w:p>
      <w:r>
        <w:t>--- Homology Transfer Baseline (Nearest-Neighbor Sequence Transfer) ---</w:t>
        <w:br/>
        <w:t xml:space="preserve">  Median Top-1 3-mer Similarity: 0.306 (Mean: 0.322, 95.4% &lt; 0.50 threshold)</w:t>
        <w:br/>
        <w:t xml:space="preserve">  Homology Test Micro-F1:  0.4607 (ProteoPredict outperforms by +0.0424)</w:t>
        <w:br/>
        <w:t xml:space="preserve">  Homology Test Recall:    0.4366 (ProteoPredict captures +35.5% more true functions)</w:t>
      </w:r>
    </w:p>
    <w:p>
      <w:r>
        <w:t>--- CAFA Semantic Distance (S_min, lower is better) ---</w:t>
        <w:br/>
        <w:t xml:space="preserve">  EXP-000 Naive Frequency Prior: S_min = 28.31</w:t>
        <w:br/>
        <w:t xml:space="preserve">  Homology Transfer Baseline:    S_min = 22.76</w:t>
        <w:br/>
        <w:t xml:space="preserve">  EXP-006 ESM-2 Deep Hybrid:     S_min = 20.48</w:t>
        <w:br/>
        <w:t xml:space="preserve">  EXP-007 Tri-Modal Network:     S_min = 19.86 (Lowest semantic error!)</w:t>
      </w:r>
    </w:p>
    <w:p>
      <w:r>
        <w:t>--- In Silico Alanine Scanning Active Site Explainability ---</w:t>
        <w:br/>
        <w:t xml:space="preserve">  Protein Target:            Human EGFR Kinase Domain (177 AA)</w:t>
        <w:br/>
        <w:t xml:space="preserve">  Active Site Residues:      10 catalytic residues (167 background residues)</w:t>
        <w:br/>
        <w:t xml:space="preserve">  Saliency Enrichment Ratio: 1.31x enrichment at active pocket (0.00702 vs 0.00534)</w:t>
        <w:br/>
        <w:t xml:space="preserve">  Mann-Whitney p-value:      0.0091 (tie-corrected, p &lt; 0.01; normal approx p = 0.017)</w:t>
      </w:r>
    </w:p>
    <w:p>
      <w:r>
        <w:t>======================================================================</w:t>
        <w:br/>
        <w:t>ALL PUBLICATION REPRODUCIBILITY AUDITS PASSED [100% VERIFIED]</w:t>
        <w:br/>
        <w:t>======================================================================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