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2"/>
        </w:rPr>
        <w:t>COLDSTART: Cost- and Latency-Optimized Serverless Orchestration via Multi-Modal Prediction and Confidence-Based Warming</w:t>
      </w:r>
    </w:p>
    <w:p>
      <w:pPr>
        <w:spacing w:before="80" w:after="40"/>
        <w:jc w:val="center"/>
      </w:pPr>
      <w:r>
        <w:rPr>
          <w:rFonts w:ascii="Times New Roman" w:hAnsi="Times New Roman"/>
          <w:b/>
          <w:i w:val="0"/>
          <w:sz w:val="22"/>
        </w:rPr>
        <w:t>Abhishek Doke¹, Nikhil Dhamdhere², Joanna Dharwadkar³, Geetanjali Bejjalwar⁴, Dr. Alpana Adsul⁵</w:t>
      </w:r>
    </w:p>
    <w:p>
      <w:pPr>
        <w:spacing w:before="40" w:after="20"/>
        <w:jc w:val="center"/>
      </w:pPr>
      <w:r>
        <w:rPr>
          <w:rFonts w:ascii="Times New Roman" w:hAnsi="Times New Roman"/>
          <w:b w:val="0"/>
          <w:i/>
          <w:sz w:val="20"/>
        </w:rPr>
        <w:t>Department of Computer Engineering</w:t>
      </w:r>
    </w:p>
    <w:p>
      <w:pPr>
        <w:spacing w:before="0" w:after="20"/>
        <w:jc w:val="center"/>
      </w:pPr>
      <w:r>
        <w:rPr>
          <w:rFonts w:ascii="Times New Roman" w:hAnsi="Times New Roman"/>
          <w:b w:val="0"/>
          <w:i/>
          <w:sz w:val="20"/>
        </w:rPr>
        <w:t>Dr. D.Y. Patil College of Engineering and Innovation, Varale, Talegaon, India</w:t>
      </w:r>
    </w:p>
    <w:p>
      <w:pPr>
        <w:spacing w:before="0" w:after="120"/>
        <w:jc w:val="center"/>
      </w:pPr>
      <w:r>
        <w:rPr>
          <w:rFonts w:ascii="Times New Roman" w:hAnsi="Times New Roman"/>
          <w:b w:val="0"/>
          <w:i/>
          <w:sz w:val="18"/>
        </w:rPr>
        <w:t>{abhishekdoke233@gmail.com, dhamdherenikhil75@gmail.com, dharwadkarjoanna@gmail.com, bejjalwargeetanjali@gmail.com, hodcomputer@dypatilef.com}</w:t>
      </w:r>
    </w:p>
    <w:p>
      <w:pPr>
        <w:spacing w:before="40" w:after="160"/>
        <w:jc w:val="center"/>
      </w:pPr>
      <w:r>
        <w:rPr>
          <w:rFonts w:ascii="Times New Roman" w:hAnsi="Times New Roman"/>
          <w:b w:val="0"/>
          <w:i/>
          <w:sz w:val="18"/>
        </w:rPr>
        <w:t>Journal of Advanced Computing, Intelligence and Interdisciplinary Engineering (JACIIE)</w:t>
        <w:br/>
        <w:t>Volume 101, No. 1, June 2026</w:t>
      </w:r>
    </w:p>
    <w:p>
      <w:pPr>
        <w:spacing w:before="40" w:after="40"/>
        <w:jc w:val="both"/>
      </w:pPr>
      <w:r>
        <w:rPr>
          <w:rFonts w:ascii="Times New Roman" w:hAnsi="Times New Roman"/>
          <w:b w:val="0"/>
          <w:i w:val="0"/>
          <w:sz w:val="14"/>
        </w:rPr>
        <w:t>――――――――――――――――――――――――――――――――――――――――――――――――――――――――――――――――――――――――――――――――</w:t>
      </w:r>
    </w:p>
    <w:p>
      <w:pPr>
        <w:spacing w:before="120" w:after="40"/>
        <w:jc w:val="left"/>
      </w:pPr>
      <w:r>
        <w:rPr>
          <w:rFonts w:ascii="Times New Roman" w:hAnsi="Times New Roman"/>
          <w:b/>
          <w:i/>
          <w:sz w:val="20"/>
        </w:rPr>
        <w:t>Abstract—</w:t>
      </w:r>
      <w:r>
        <w:rPr>
          <w:rFonts w:ascii="Times New Roman" w:hAnsi="Times New Roman"/>
          <w:b w:val="0"/>
          <w:i w:val="0"/>
          <w:sz w:val="20"/>
        </w:rPr>
        <w:t>Serverless computing (Function-as-a-Service, FaaS) is severely limited by the cold start problem—a latency penalty incurred during container initialization. Current mitigation approaches, relying primarily on static keep-alive policies or single-source time-series prediction, fail to balance performance consistency with resource cost, often leading to a 40–60% waste in resource provisioning. We introduce COLDSTART (Cost- and Latency-Optimized Serverless Orchestration via Multi-Modal Prediction and Confidence-Based Warming), an intelligent orchestration framework designed to minimize cold start occurrences and resource overhead simultaneously.</w:t>
        <w:br/>
        <w:br/>
        <w:t>Our core contribution is a Multi-Modal Prediction (MMP) architecture that fuses four AWS-native data modalities—Lambda invocation history, temporal context, user behavior, and system health—into a unified feature space. This space is analyzed by a dual-model Ensemble Prediction Engine (XGBoost at 70% weight and Random Forest at 30% weight) deployed on AWS infrastructure to generate highly accurate invocation forecasts. We propose a Confidence-Based Warming (CBW) mechanism that gates resource allocation based on a calculated prediction confidence score (C), thereby minimizing expensive false positives.</w:t>
        <w:br/>
        <w:br/>
        <w:t>The COLDSTART framework is validated on a production AWS deployment using synthetically generated workloads designed to replicate real-world FaaS invocation patterns. The system achieved 94.2% F1 prediction accuracy, a 58.7% reduction in cold start events, and a 34.8% reduction in operational costs compared to a single-source ML baseline.</w:t>
      </w:r>
    </w:p>
    <w:p>
      <w:pPr>
        <w:spacing w:before="80" w:after="120"/>
        <w:jc w:val="left"/>
      </w:pPr>
      <w:r>
        <w:rPr>
          <w:rFonts w:ascii="Times New Roman" w:hAnsi="Times New Roman"/>
          <w:b/>
          <w:i w:val="0"/>
          <w:sz w:val="20"/>
        </w:rPr>
        <w:t>Keywords—</w:t>
      </w:r>
      <w:r>
        <w:rPr>
          <w:rFonts w:ascii="Times New Roman" w:hAnsi="Times New Roman"/>
          <w:b w:val="0"/>
          <w:i/>
          <w:sz w:val="20"/>
        </w:rPr>
        <w:t>Serverless Computing, FaaS, Cold Start Mitigation, Multi-Modal Prediction, Ensemble Learning, Cost Optimization, Proactive Warming, AWS Lambda, Confidence-Based Warming.</w:t>
      </w:r>
    </w:p>
    <w:p>
      <w:pPr>
        <w:spacing w:before="40" w:after="40"/>
        <w:jc w:val="both"/>
      </w:pPr>
      <w:r>
        <w:rPr>
          <w:rFonts w:ascii="Times New Roman" w:hAnsi="Times New Roman"/>
          <w:b w:val="0"/>
          <w:i w:val="0"/>
          <w:sz w:val="14"/>
        </w:rPr>
        <w:t>――――――――――――――――――――――――――――――――――――――――――――――――――――――――――――――――――――――――――――――――</w:t>
      </w:r>
    </w:p>
    <w:p>
      <w:pPr>
        <w:spacing w:before="160" w:after="60"/>
        <w:jc w:val="left"/>
      </w:pPr>
      <w:r>
        <w:rPr>
          <w:rFonts w:ascii="Times New Roman" w:hAnsi="Times New Roman"/>
          <w:b/>
          <w:i w:val="0"/>
          <w:sz w:val="20"/>
        </w:rPr>
        <w:t>I. INTRODUCTION</w:t>
      </w:r>
    </w:p>
    <w:p>
      <w:pPr>
        <w:spacing w:before="0" w:after="80"/>
        <w:jc w:val="both"/>
      </w:pPr>
      <w:r>
        <w:rPr>
          <w:rFonts w:ascii="Times New Roman" w:hAnsi="Times New Roman"/>
          <w:b w:val="0"/>
          <w:i w:val="0"/>
          <w:sz w:val="20"/>
        </w:rPr>
        <w:t>The Function-as-a-Service (FaaS) model of serverless computing is a paradigm shift toward pay-per-use, fine-grained resource management. Major cloud providers—including AWS Lambda, Azure Functions, and Google Cloud Functions—leverage this model to offer unprecedented scalability. However, the FaaS model is inherently constrained by the cold start problem: an initialization delay ranging from hundreds of milliseconds to several seconds that occurs when a function instance must be created from scratch [1]. This delay undermines the reliability and Quality of Service (QoS) for latency-sensitive applications.</w:t>
      </w:r>
    </w:p>
    <w:p>
      <w:pPr>
        <w:spacing w:before="0" w:after="80"/>
        <w:jc w:val="both"/>
      </w:pPr>
      <w:r>
        <w:rPr>
          <w:rFonts w:ascii="Times New Roman" w:hAnsi="Times New Roman"/>
          <w:b w:val="0"/>
          <w:i w:val="0"/>
          <w:sz w:val="20"/>
        </w:rPr>
        <w:t>The underlying difficulty lies in balancing performance consistency with cost efficiency. Proactive container initialization, while guaranteeing fast response times, results in unnecessary idle resource consumption, negating the core economic benefit of serverless platforms [13]. Existing solutions often fail because they lack the comprehensive contextual data required to predict complex, non-periodic invocation patterns, leading to either poor latency performance (false negatives) or significant resource waste (false positives).</w:t>
      </w:r>
    </w:p>
    <w:p>
      <w:pPr>
        <w:spacing w:before="0" w:after="120"/>
        <w:jc w:val="both"/>
      </w:pPr>
      <w:r>
        <w:rPr>
          <w:rFonts w:ascii="Times New Roman" w:hAnsi="Times New Roman"/>
          <w:b w:val="0"/>
          <w:i w:val="0"/>
          <w:sz w:val="20"/>
        </w:rPr>
        <w:t>COLDSTART addresses this by designing an intelligent, closed-loop system that models and predicts application behavior using a rich, multi-modal context drawn from historical invocation patterns, temporal features, user behavior telemetry, and system health metrics.</w:t>
      </w:r>
    </w:p>
    <w:p>
      <w:pPr>
        <w:spacing w:before="100" w:after="40"/>
        <w:jc w:val="left"/>
      </w:pPr>
      <w:r>
        <w:rPr>
          <w:rFonts w:ascii="Times New Roman" w:hAnsi="Times New Roman"/>
          <w:b/>
          <w:i/>
          <w:sz w:val="20"/>
        </w:rPr>
        <w:t>A. Research Motivation and Problem Formulation</w:t>
      </w:r>
    </w:p>
    <w:p>
      <w:pPr>
        <w:spacing w:before="0" w:after="80"/>
        <w:jc w:val="both"/>
      </w:pPr>
      <w:r>
        <w:rPr>
          <w:rFonts w:ascii="Times New Roman" w:hAnsi="Times New Roman"/>
          <w:b w:val="0"/>
          <w:i w:val="0"/>
          <w:sz w:val="20"/>
        </w:rPr>
        <w:t>Traditional predictive systems predominantly rely on univariate time-series data (i.e., historical function call counts) [3]. This approach fundamentally limits the model's ability to reason about user intent or external events such as upstream API load and scheduled workflows. We argue that a successful prediction of FaaS invocation requires fusion of heterogeneous data modalities, including user flow, system health, and temporal context.</w:t>
      </w:r>
    </w:p>
    <w:p>
      <w:pPr>
        <w:spacing w:before="0" w:after="40"/>
        <w:jc w:val="both"/>
      </w:pPr>
      <w:r>
        <w:rPr>
          <w:rFonts w:ascii="Times New Roman" w:hAnsi="Times New Roman"/>
          <w:b w:val="0"/>
          <w:i w:val="0"/>
          <w:sz w:val="20"/>
        </w:rPr>
        <w:t>Furthermore, no existing approach adequately integrates prediction uncertainty into the financial cost of the corresponding resource action. An action taken with 95% confidence should be valued differently than one taken with 75% confidence. The core problem is formalized as: given a stream of multi-modal telemetry ᵝᵜ, determine the optimal set of pre-warming actions ᴀᵜ that minimizes the total cost Cₜₒₜₐₗ while maintaining a Service Level Objective (SLO) for latency Lₛₗₒ:</w:t>
      </w:r>
    </w:p>
    <w:p>
      <w:pPr>
        <w:spacing w:before="80" w:after="80"/>
        <w:jc w:val="center"/>
      </w:pPr>
      <w:r>
        <w:rPr>
          <w:rFonts w:ascii="Times New Roman" w:hAnsi="Times New Roman"/>
          <w:b w:val="0"/>
          <w:i/>
          <w:sz w:val="20"/>
        </w:rPr>
        <w:t>min_{A_t}  ( C_warming(A_t) + C_penalty(L_SLO) )</w:t>
      </w:r>
      <w:r>
        <w:rPr>
          <w:rFonts w:ascii="Times New Roman" w:hAnsi="Times New Roman"/>
          <w:b w:val="0"/>
          <w:i w:val="0"/>
          <w:sz w:val="20"/>
        </w:rPr>
        <w:t xml:space="preserve">    ()</w:t>
      </w:r>
    </w:p>
    <w:p>
      <w:pPr>
        <w:spacing w:before="100" w:after="40"/>
        <w:jc w:val="left"/>
      </w:pPr>
      <w:r>
        <w:rPr>
          <w:rFonts w:ascii="Times New Roman" w:hAnsi="Times New Roman"/>
          <w:b/>
          <w:i/>
          <w:sz w:val="20"/>
        </w:rPr>
        <w:t>B. Key Contributions</w:t>
      </w:r>
    </w:p>
    <w:p>
      <w:pPr>
        <w:spacing w:before="0" w:after="60"/>
        <w:jc w:val="both"/>
      </w:pPr>
      <w:r>
        <w:rPr>
          <w:rFonts w:ascii="Times New Roman" w:hAnsi="Times New Roman"/>
          <w:b w:val="0"/>
          <w:i w:val="0"/>
          <w:sz w:val="20"/>
        </w:rPr>
        <w:t>This paper makes the following contributions, each addressing a specific limitation of prior work:</w:t>
      </w:r>
    </w:p>
    <w:p>
      <w:pPr>
        <w:spacing w:before="0" w:after="40"/>
        <w:ind w:left="360"/>
        <w:jc w:val="left"/>
      </w:pPr>
      <w:r>
        <w:rPr>
          <w:rFonts w:ascii="Times New Roman" w:hAnsi="Times New Roman"/>
          <w:b w:val="0"/>
          <w:i w:val="0"/>
          <w:sz w:val="20"/>
        </w:rPr>
        <w:t>•  Multi-Modal Data Fusion (MMP) Framework: A novel pipeline fusing four AWS-native data modalities for enriched, context-aware prediction, directly addressing the limitation of single-source models identified in [3].</w:t>
      </w:r>
    </w:p>
    <w:p>
      <w:pPr>
        <w:spacing w:before="0" w:after="40"/>
        <w:ind w:left="360"/>
        <w:jc w:val="left"/>
      </w:pPr>
      <w:r>
        <w:rPr>
          <w:rFonts w:ascii="Times New Roman" w:hAnsi="Times New Roman"/>
          <w:b w:val="0"/>
          <w:i w:val="0"/>
          <w:sz w:val="20"/>
        </w:rPr>
        <w:t>•  Dual-Model Ensemble Prediction Engine (EPE): A cost-efficient architecture combining XGBoost (70% weight) and Random Forest (30% weight) deployed on AWS, providing robust prediction without deep learning overhead.</w:t>
      </w:r>
    </w:p>
    <w:p>
      <w:pPr>
        <w:spacing w:before="0" w:after="40"/>
        <w:ind w:left="360"/>
        <w:jc w:val="left"/>
      </w:pPr>
      <w:r>
        <w:rPr>
          <w:rFonts w:ascii="Times New Roman" w:hAnsi="Times New Roman"/>
          <w:b w:val="0"/>
          <w:i w:val="0"/>
          <w:sz w:val="20"/>
        </w:rPr>
        <w:t>•  Confidence-Based Warming (CBW) Mechanism: A resource orchestration policy that gates pre-warming based on a calculated confidence score (C), explicitly minimizing false positives—a gap unaddressed by priority-based approaches [2].</w:t>
      </w:r>
    </w:p>
    <w:p>
      <w:pPr>
        <w:spacing w:before="0" w:after="40"/>
        <w:ind w:left="360"/>
        <w:jc w:val="left"/>
      </w:pPr>
      <w:r>
        <w:rPr>
          <w:rFonts w:ascii="Times New Roman" w:hAnsi="Times New Roman"/>
          <w:b w:val="0"/>
          <w:i w:val="0"/>
          <w:sz w:val="20"/>
        </w:rPr>
        <w:t>•  Cost-Benefit Ratio (CBR) Adaptation: Dynamic risk threshold adjustment based on a live-calculated CBR, ensuring self-optimizing economic behavior.</w:t>
      </w:r>
    </w:p>
    <w:p>
      <w:pPr>
        <w:spacing w:before="0" w:after="40"/>
        <w:ind w:left="360"/>
        <w:jc w:val="left"/>
      </w:pPr>
      <w:r>
        <w:rPr>
          <w:rFonts w:ascii="Times New Roman" w:hAnsi="Times New Roman"/>
          <w:b w:val="0"/>
          <w:i w:val="0"/>
          <w:sz w:val="20"/>
        </w:rPr>
        <w:t>•  Production Validation on AWS: Unlike prior work using theoretical models, COLDSTART is validated on real AWS infrastructure with live DynamoDB, S3, Lambda, and CloudWatch integration.</w:t>
      </w:r>
    </w:p>
    <w:p>
      <w:pPr>
        <w:spacing w:before="100" w:after="40"/>
        <w:jc w:val="left"/>
      </w:pPr>
      <w:r>
        <w:rPr>
          <w:rFonts w:ascii="Times New Roman" w:hAnsi="Times New Roman"/>
          <w:b/>
          <w:i/>
          <w:sz w:val="20"/>
        </w:rPr>
        <w:t>C. Differentiation from Prior Work</w:t>
      </w:r>
    </w:p>
    <w:p>
      <w:pPr>
        <w:spacing w:before="0" w:after="120"/>
        <w:jc w:val="both"/>
      </w:pPr>
      <w:r>
        <w:rPr>
          <w:rFonts w:ascii="Times New Roman" w:hAnsi="Times New Roman"/>
          <w:b w:val="0"/>
          <w:i w:val="0"/>
          <w:sz w:val="20"/>
        </w:rPr>
        <w:t>COLDSTART differs from existing approaches in three key dimensions. First, reinforcement learning approaches such as [3] optimize container lifetime but do not predict invocation probability—they react to cold starts rather than preventing them. Second, priority-based scheduling methods like Incendio [2] rank functions by latency benefit but rely on single-source historical data without confidence gating. Third, workflow scheduling systems such as SSC [4] optimize resource allocation across function dependencies but do not address the fundamental prediction accuracy problem. COLDSTART integrates prediction, confidence scoring, and cost-aware gating into a unified framework that outperforms each of these approaches individually.</w:t>
      </w:r>
    </w:p>
    <w:p>
      <w:pPr>
        <w:spacing w:before="160" w:after="60"/>
        <w:jc w:val="left"/>
      </w:pPr>
      <w:r>
        <w:rPr>
          <w:rFonts w:ascii="Times New Roman" w:hAnsi="Times New Roman"/>
          <w:b/>
          <w:i w:val="0"/>
          <w:sz w:val="20"/>
        </w:rPr>
        <w:t>II. BACKGROUND AND RELATED WORK</w:t>
      </w:r>
    </w:p>
    <w:p>
      <w:pPr>
        <w:spacing w:before="100" w:after="40"/>
        <w:jc w:val="left"/>
      </w:pPr>
      <w:r>
        <w:rPr>
          <w:rFonts w:ascii="Times New Roman" w:hAnsi="Times New Roman"/>
          <w:b/>
          <w:i/>
          <w:sz w:val="20"/>
        </w:rPr>
        <w:t>A. Serverless Cold Start Mitigation Techniques</w:t>
      </w:r>
    </w:p>
    <w:p>
      <w:pPr>
        <w:spacing w:before="0" w:after="80"/>
        <w:jc w:val="both"/>
      </w:pPr>
      <w:r>
        <w:rPr>
          <w:rFonts w:ascii="Times New Roman" w:hAnsi="Times New Roman"/>
          <w:b w:val="0"/>
          <w:i w:val="0"/>
          <w:sz w:val="20"/>
        </w:rPr>
        <w:t>Early cold start mitigation efforts focused on two key areas: reducing setup time and prolonging container lifespan. Techniques include MicroVM snapshotting [7], optimizing deployment package sizes, and applying simple keep-alive heuristics [5]. However, these solutions address symptoms rather than the root cause of unpredictable demand.</w:t>
      </w:r>
    </w:p>
    <w:p>
      <w:pPr>
        <w:spacing w:before="0" w:after="40"/>
        <w:ind w:left="360"/>
        <w:jc w:val="left"/>
      </w:pPr>
      <w:r>
        <w:rPr>
          <w:rFonts w:ascii="Times New Roman" w:hAnsi="Times New Roman"/>
          <w:b w:val="0"/>
          <w:i w:val="0"/>
          <w:sz w:val="20"/>
        </w:rPr>
        <w:t>•  Reinforcement Learning for Lifetime: Vahidinia et al. [3] employed an RL approach to dynamically set container idle time. However, this approach is reactive and does not predict whether a cold start will occur before the next invocation.</w:t>
      </w:r>
    </w:p>
    <w:p>
      <w:pPr>
        <w:spacing w:before="0" w:after="40"/>
        <w:ind w:left="360"/>
        <w:jc w:val="left"/>
      </w:pPr>
      <w:r>
        <w:rPr>
          <w:rFonts w:ascii="Times New Roman" w:hAnsi="Times New Roman"/>
          <w:b w:val="0"/>
          <w:i w:val="0"/>
          <w:sz w:val="20"/>
        </w:rPr>
        <w:t>•  Priority-Aware Scheduling: Incendio [2] allocates resources to containers whose warming yields the greatest latency reduction. This heuristic is effective but relies solely on historical invocation rates without confidence scoring.</w:t>
      </w:r>
    </w:p>
    <w:p>
      <w:pPr>
        <w:spacing w:before="0" w:after="40"/>
        <w:ind w:left="360"/>
        <w:jc w:val="left"/>
      </w:pPr>
      <w:r>
        <w:rPr>
          <w:rFonts w:ascii="Times New Roman" w:hAnsi="Times New Roman"/>
          <w:b w:val="0"/>
          <w:i w:val="0"/>
          <w:sz w:val="20"/>
        </w:rPr>
        <w:t>•  Systemic Optimization: SSC [4] integrates pre-warming with automatic workflow resource scheduling. However, it does not model user behavior or external trigger data.</w:t>
      </w:r>
    </w:p>
    <w:p>
      <w:pPr>
        <w:spacing w:before="0" w:after="40"/>
        <w:ind w:left="360"/>
        <w:jc w:val="left"/>
      </w:pPr>
      <w:r>
        <w:rPr>
          <w:rFonts w:ascii="Times New Roman" w:hAnsi="Times New Roman"/>
          <w:b w:val="0"/>
          <w:i w:val="0"/>
          <w:sz w:val="20"/>
        </w:rPr>
        <w:t>•  Container Reuse Policies: FaaSCache [6] improves container reuse through adaptive policies but does not incorporate predictive warming.</w:t>
      </w:r>
    </w:p>
    <w:p>
      <w:pPr>
        <w:spacing w:before="100" w:after="40"/>
        <w:jc w:val="left"/>
      </w:pPr>
      <w:r>
        <w:rPr>
          <w:rFonts w:ascii="Times New Roman" w:hAnsi="Times New Roman"/>
          <w:b/>
          <w:i/>
          <w:sz w:val="20"/>
        </w:rPr>
        <w:t>B. The Necessity of Multi-Modal Fusion</w:t>
      </w:r>
    </w:p>
    <w:p>
      <w:pPr>
        <w:spacing w:before="0" w:after="120"/>
        <w:jc w:val="both"/>
      </w:pPr>
      <w:r>
        <w:rPr>
          <w:rFonts w:ascii="Times New Roman" w:hAnsi="Times New Roman"/>
          <w:b w:val="0"/>
          <w:i w:val="0"/>
          <w:sz w:val="20"/>
        </w:rPr>
        <w:t>Recent literature in cloud computing highlights the limitations of single-source prediction models in dynamic, event-driven environments. Chen et al. [14] demonstrated that ensemble models combining heterogeneous data sources achieve significantly higher workload prediction accuracy than single-source baselines. Cao et al. [15] showed that multi-source data fusion enables superior task scheduling by capturing correlations across data modalities that single-source approaches miss entirely. COLDSTART's empirical results (Section VIII-B) confirm that multi-modal features improve F1 accuracy by 22.7 percentage points over the single-source baseline.</w:t>
      </w:r>
    </w:p>
    <w:p>
      <w:pPr>
        <w:spacing w:before="160" w:after="60"/>
        <w:jc w:val="left"/>
      </w:pPr>
      <w:r>
        <w:rPr>
          <w:rFonts w:ascii="Times New Roman" w:hAnsi="Times New Roman"/>
          <w:b/>
          <w:i w:val="0"/>
          <w:sz w:val="20"/>
        </w:rPr>
        <w:t>III. COLDSTART SYSTEM ARCHITECTURE</w:t>
      </w:r>
    </w:p>
    <w:p>
      <w:pPr>
        <w:spacing w:before="0" w:after="80"/>
        <w:jc w:val="both"/>
      </w:pPr>
      <w:r>
        <w:rPr>
          <w:rFonts w:ascii="Times New Roman" w:hAnsi="Times New Roman"/>
          <w:b w:val="0"/>
          <w:i w:val="0"/>
          <w:sz w:val="20"/>
        </w:rPr>
        <w:t>The COLDSTART framework is implemented as a closed-loop control system deployed on AWS, composed of three layers: a Data Collection and ETL Layer, an ML Prediction Pipeline, and an Intelligent Orchestration Layer.</w:t>
      </w:r>
    </w:p>
    <w:p>
      <w:pPr>
        <w:spacing w:before="80" w:after="80"/>
        <w:ind w:left="432"/>
        <w:jc w:val="left"/>
      </w:pPr>
      <w:r>
        <w:rPr>
          <w:rFonts w:ascii="Courier New" w:hAnsi="Courier New"/>
          <w:b w:val="0"/>
          <w:i w:val="0"/>
          <w:sz w:val="16"/>
        </w:rPr>
        <w:t>Traffic Generator → S3 (JSON Logs) → ETL Lambda → DynamoDB (ETLFeatureData)</w:t>
        <w:br/>
        <w:t xml:space="preserve">                                    ↓</w:t>
        <w:br/>
        <w:t xml:space="preserve">          DataAggregator Lambda (EventBridge, every 15 min)</w:t>
        <w:br/>
        <w:t xml:space="preserve">          ↓ reads DynamoDB → XGBoost (70%) + RF (30%) → P_final + C</w:t>
        <w:br/>
        <w:t xml:space="preserve">          ↓ CBW Gate: P_final ≥ 0.7 AND C ≥ 0.6</w:t>
        <w:br/>
        <w:t xml:space="preserve">          ↓ async invokes IntelligentLambdaWarmer</w:t>
        <w:br/>
        <w:t xml:space="preserve">                    ↓ warms auth-function, profile-function, search-function</w:t>
        <w:br/>
        <w:t xml:space="preserve">                    ↓ publishes metrics → CloudWatch (ColdStart/IntelligentWarming)</w:t>
      </w:r>
    </w:p>
    <w:p>
      <w:pPr>
        <w:spacing w:before="40" w:after="120"/>
        <w:jc w:val="center"/>
      </w:pPr>
      <w:r>
        <w:rPr>
          <w:rFonts w:ascii="Times New Roman" w:hAnsi="Times New Roman"/>
          <w:b w:val="0"/>
          <w:i/>
          <w:sz w:val="20"/>
        </w:rPr>
        <w:t>Fig. 1. COLDSTART Multi-Layer System Architecture on AWS. Traffic data flows from the generator through S3, ETL, and DynamoDB into the ML pipeline. The DataAggregator Lambda reads DynamoDB features every 15 minutes, runs the ensemble prediction, applies the CBW gate, and asynchronously invokes IntelligentLambdaWarmer when P_final ≥ 0.7 AND C ≥ 0.6.</w:t>
      </w:r>
    </w:p>
    <w:p>
      <w:pPr>
        <w:spacing w:before="100" w:after="40"/>
        <w:jc w:val="left"/>
      </w:pPr>
      <w:r>
        <w:rPr>
          <w:rFonts w:ascii="Times New Roman" w:hAnsi="Times New Roman"/>
          <w:b/>
          <w:i/>
          <w:sz w:val="20"/>
        </w:rPr>
        <w:t>A. Data Collection Layer</w:t>
      </w:r>
    </w:p>
    <w:p>
      <w:pPr>
        <w:spacing w:before="0" w:after="60"/>
        <w:jc w:val="both"/>
      </w:pPr>
      <w:r>
        <w:rPr>
          <w:rFonts w:ascii="Times New Roman" w:hAnsi="Times New Roman"/>
          <w:b w:val="0"/>
          <w:i w:val="0"/>
          <w:sz w:val="20"/>
        </w:rPr>
        <w:t>The sensing layer collects, transforms, and stores feature data in 15-minute windows aligned with the EventBridge trigger schedule. The feature vector F_t = [HoD, DoW, traffic_intensity, ep_auth, ep_profile, ep_search, user_new, device_mobile, is_business_hours] contains 9 features per endpoint:</w:t>
      </w:r>
    </w:p>
    <w:p>
      <w:pPr>
        <w:spacing w:before="0" w:after="40"/>
        <w:ind w:left="360"/>
        <w:jc w:val="left"/>
      </w:pPr>
      <w:r>
        <w:rPr>
          <w:rFonts w:ascii="Times New Roman" w:hAnsi="Times New Roman"/>
          <w:b w:val="0"/>
          <w:i w:val="0"/>
          <w:sz w:val="20"/>
        </w:rPr>
        <w:t>•  Lambda Invocation History (F_HIST): Synthetic traffic at ~3 requests/second targeting /auth, /profile, /search. Each record contains timestamp, endpoint, hour, day, traffic intensity, user type, and device type, stored in S3 under date-partitioned keys.</w:t>
      </w:r>
    </w:p>
    <w:p>
      <w:pPr>
        <w:spacing w:before="0" w:after="40"/>
        <w:ind w:left="360"/>
        <w:jc w:val="left"/>
      </w:pPr>
      <w:r>
        <w:rPr>
          <w:rFonts w:ascii="Times New Roman" w:hAnsi="Times New Roman"/>
          <w:b w:val="0"/>
          <w:i w:val="0"/>
          <w:sz w:val="20"/>
        </w:rPr>
        <w:t>•  Temporal Features (F_TEMP): Hour of Day (0–23), Day of Week (0–6), and is_business_hours binary flag (1 if 09:00–17:00 weekdays).</w:t>
      </w:r>
    </w:p>
    <w:p>
      <w:pPr>
        <w:spacing w:before="0" w:after="40"/>
        <w:ind w:left="360"/>
        <w:jc w:val="left"/>
      </w:pPr>
      <w:r>
        <w:rPr>
          <w:rFonts w:ascii="Times New Roman" w:hAnsi="Times New Roman"/>
          <w:b w:val="0"/>
          <w:i w:val="0"/>
          <w:sz w:val="20"/>
        </w:rPr>
        <w:t>•  User Behavior (F_USER): user_type_new ratio and device_mobile ratio computed over the 15-minute aggregation window.</w:t>
      </w:r>
    </w:p>
    <w:p>
      <w:pPr>
        <w:spacing w:before="0" w:after="40"/>
        <w:ind w:left="360"/>
        <w:jc w:val="left"/>
      </w:pPr>
      <w:r>
        <w:rPr>
          <w:rFonts w:ascii="Times New Roman" w:hAnsi="Times New Roman"/>
          <w:b w:val="0"/>
          <w:i w:val="0"/>
          <w:sz w:val="20"/>
        </w:rPr>
        <w:t>•  System Metrics (F_SYS): traffic_intensity = max(0.01, min(1.0, (n_requests − 5) × 0.002)), a normalized proxy for server load.</w:t>
      </w:r>
    </w:p>
    <w:p>
      <w:pPr>
        <w:spacing w:before="100" w:after="40"/>
        <w:jc w:val="left"/>
      </w:pPr>
      <w:r>
        <w:rPr>
          <w:rFonts w:ascii="Times New Roman" w:hAnsi="Times New Roman"/>
          <w:b/>
          <w:i/>
          <w:sz w:val="20"/>
        </w:rPr>
        <w:t>B. ETL Pipeline</w:t>
      </w:r>
    </w:p>
    <w:p>
      <w:pPr>
        <w:spacing w:before="0" w:after="120"/>
        <w:jc w:val="both"/>
      </w:pPr>
      <w:r>
        <w:rPr>
          <w:rFonts w:ascii="Times New Roman" w:hAnsi="Times New Roman"/>
          <w:b w:val="0"/>
          <w:i w:val="0"/>
          <w:sz w:val="20"/>
        </w:rPr>
        <w:t>An ETL Lambda function triggered by S3 object creation events reads raw JSON logs, extracts the 9-element feature vector, and writes structured records to the ETLFeatureData DynamoDB table with a Unix timestamp (timestamp_s) for efficient time-range queries. The ETL process completes within 200 ms per record, ensuring feature freshness within the 15-minute aggregation window.</w:t>
      </w:r>
    </w:p>
    <w:p>
      <w:pPr>
        <w:spacing w:before="160" w:after="60"/>
        <w:jc w:val="left"/>
      </w:pPr>
      <w:r>
        <w:rPr>
          <w:rFonts w:ascii="Times New Roman" w:hAnsi="Times New Roman"/>
          <w:b/>
          <w:i w:val="0"/>
          <w:sz w:val="20"/>
        </w:rPr>
        <w:t>IV. THE MACHINE LEARNING PIPELINE</w:t>
      </w:r>
    </w:p>
    <w:p>
      <w:pPr>
        <w:spacing w:before="100" w:after="40"/>
        <w:jc w:val="left"/>
      </w:pPr>
      <w:r>
        <w:rPr>
          <w:rFonts w:ascii="Times New Roman" w:hAnsi="Times New Roman"/>
          <w:b/>
          <w:i/>
          <w:sz w:val="20"/>
        </w:rPr>
        <w:t>A. Feature Engineering and Aggregation</w:t>
      </w:r>
    </w:p>
    <w:p>
      <w:pPr>
        <w:spacing w:before="0" w:after="80"/>
        <w:jc w:val="both"/>
      </w:pPr>
      <w:r>
        <w:rPr>
          <w:rFonts w:ascii="Times New Roman" w:hAnsi="Times New Roman"/>
          <w:b w:val="0"/>
          <w:i w:val="0"/>
          <w:sz w:val="20"/>
        </w:rPr>
        <w:t>The DataAggregator Lambda, triggered every 15 minutes by Amazon EventBridge, performs: (1) DynamoDB scan for records with timestamp_s in the last 15 minutes; (2) grouping by endpoint (auth, profile, search), skipping endpoints with fewer than 5 records; (3) feature vector construction using the most recent record's temporal fields and computed ratios from the full window.</w:t>
      </w:r>
    </w:p>
    <w:p>
      <w:pPr>
        <w:spacing w:before="100" w:after="40"/>
        <w:jc w:val="left"/>
      </w:pPr>
      <w:r>
        <w:rPr>
          <w:rFonts w:ascii="Times New Roman" w:hAnsi="Times New Roman"/>
          <w:b/>
          <w:i/>
          <w:sz w:val="20"/>
        </w:rPr>
        <w:t>B. Ensemble Prediction Engine (EPE)</w:t>
      </w:r>
    </w:p>
    <w:p>
      <w:pPr>
        <w:spacing w:before="0" w:after="60"/>
        <w:jc w:val="both"/>
      </w:pPr>
      <w:r>
        <w:rPr>
          <w:rFonts w:ascii="Times New Roman" w:hAnsi="Times New Roman"/>
          <w:b w:val="0"/>
          <w:i w:val="0"/>
          <w:sz w:val="20"/>
        </w:rPr>
        <w:t>The EPE employs a dual-model architecture optimized for AWS Lambda constraints (memory, predictor cold start, execution time).</w:t>
      </w:r>
    </w:p>
    <w:p>
      <w:pPr>
        <w:spacing w:before="60" w:after="40"/>
        <w:jc w:val="left"/>
      </w:pPr>
      <w:r>
        <w:rPr>
          <w:rFonts w:ascii="Times New Roman" w:hAnsi="Times New Roman"/>
          <w:b w:val="0"/>
          <w:i/>
          <w:sz w:val="20"/>
        </w:rPr>
        <w:t>1) XGBoost Primary Classifier (M_XGB)</w:t>
      </w:r>
    </w:p>
    <w:p>
      <w:pPr>
        <w:spacing w:before="0" w:after="60"/>
        <w:ind w:left="288"/>
        <w:jc w:val="both"/>
      </w:pPr>
      <w:r>
        <w:rPr>
          <w:rFonts w:ascii="Times New Roman" w:hAnsi="Times New Roman"/>
          <w:b w:val="0"/>
          <w:i w:val="0"/>
          <w:sz w:val="20"/>
        </w:rPr>
        <w:t>Configuration: binary:logistic objective, n_estimators=100, max_depth=6, learning_rate=0.1, subsample=0.8, colsample_bytree=0.8, eval_metric=AUC.</w:t>
      </w:r>
    </w:p>
    <w:p>
      <w:pPr>
        <w:spacing w:before="60" w:after="40"/>
        <w:jc w:val="left"/>
      </w:pPr>
      <w:r>
        <w:rPr>
          <w:rFonts w:ascii="Times New Roman" w:hAnsi="Times New Roman"/>
          <w:b w:val="0"/>
          <w:i/>
          <w:sz w:val="20"/>
        </w:rPr>
        <w:t>2) Random Forest Secondary Model (M_RF)</w:t>
      </w:r>
    </w:p>
    <w:p>
      <w:pPr>
        <w:spacing w:before="0" w:after="60"/>
        <w:ind w:left="288"/>
        <w:jc w:val="both"/>
      </w:pPr>
      <w:r>
        <w:rPr>
          <w:rFonts w:ascii="Times New Roman" w:hAnsi="Times New Roman"/>
          <w:b w:val="0"/>
          <w:i w:val="0"/>
          <w:sz w:val="20"/>
        </w:rPr>
        <w:t>Implemented as an XGBoost classifier with Random Forest-style hyperparameters: n_estimators=200, max_depth=8, learning_rate=0.05, subsample=0.7, colsample_bytree=0.7, min_child_weight=3.</w:t>
      </w:r>
    </w:p>
    <w:p>
      <w:pPr>
        <w:spacing w:before="60" w:after="40"/>
        <w:jc w:val="left"/>
      </w:pPr>
      <w:r>
        <w:rPr>
          <w:rFonts w:ascii="Times New Roman" w:hAnsi="Times New Roman"/>
          <w:b w:val="0"/>
          <w:i/>
          <w:sz w:val="20"/>
        </w:rPr>
        <w:t>3) Ensemble Fusion</w:t>
      </w:r>
    </w:p>
    <w:p>
      <w:pPr>
        <w:spacing w:before="0" w:after="40"/>
        <w:ind w:left="288"/>
        <w:jc w:val="both"/>
      </w:pPr>
      <w:r>
        <w:rPr>
          <w:rFonts w:ascii="Times New Roman" w:hAnsi="Times New Roman"/>
          <w:b w:val="0"/>
          <w:i w:val="0"/>
          <w:sz w:val="20"/>
        </w:rPr>
        <w:t>The final ensemble prediction uses a fixed weighted combination determined through 5-fold cross-validation:</w:t>
      </w:r>
    </w:p>
    <w:p>
      <w:pPr>
        <w:spacing w:before="80" w:after="80"/>
        <w:jc w:val="center"/>
      </w:pPr>
      <w:r>
        <w:rPr>
          <w:rFonts w:ascii="Times New Roman" w:hAnsi="Times New Roman"/>
          <w:b w:val="0"/>
          <w:i/>
          <w:sz w:val="20"/>
        </w:rPr>
        <w:t>P_final = 0.7 × P_XGB + 0.3 × P_RF</w:t>
      </w:r>
      <w:r>
        <w:rPr>
          <w:rFonts w:ascii="Times New Roman" w:hAnsi="Times New Roman"/>
          <w:b w:val="0"/>
          <w:i w:val="0"/>
          <w:sz w:val="20"/>
        </w:rPr>
        <w:t xml:space="preserve">    (1)</w:t>
      </w:r>
    </w:p>
    <w:p>
      <w:pPr>
        <w:spacing w:before="60" w:after="40"/>
        <w:jc w:val="left"/>
      </w:pPr>
      <w:r>
        <w:rPr>
          <w:rFonts w:ascii="Times New Roman" w:hAnsi="Times New Roman"/>
          <w:b w:val="0"/>
          <w:i/>
          <w:sz w:val="20"/>
        </w:rPr>
        <w:t>4) Confidence Scoring</w:t>
      </w:r>
    </w:p>
    <w:p>
      <w:pPr>
        <w:spacing w:before="0" w:after="40"/>
        <w:ind w:left="288"/>
        <w:jc w:val="both"/>
      </w:pPr>
      <w:r>
        <w:rPr>
          <w:rFonts w:ascii="Times New Roman" w:hAnsi="Times New Roman"/>
          <w:b w:val="0"/>
          <w:i w:val="0"/>
          <w:sz w:val="20"/>
        </w:rPr>
        <w:t>The Confidence Score C measures agreement between the two base models:</w:t>
      </w:r>
    </w:p>
    <w:p>
      <w:pPr>
        <w:spacing w:before="80" w:after="80"/>
        <w:jc w:val="center"/>
      </w:pPr>
      <w:r>
        <w:rPr>
          <w:rFonts w:ascii="Times New Roman" w:hAnsi="Times New Roman"/>
          <w:b w:val="0"/>
          <w:i/>
          <w:sz w:val="20"/>
        </w:rPr>
        <w:t>C = 1 − |P_XGB − P_RF| / max(P_XGB, P_RF)</w:t>
      </w:r>
      <w:r>
        <w:rPr>
          <w:rFonts w:ascii="Times New Roman" w:hAnsi="Times New Roman"/>
          <w:b w:val="0"/>
          <w:i w:val="0"/>
          <w:sz w:val="20"/>
        </w:rPr>
        <w:t xml:space="preserve">    (2)</w:t>
      </w:r>
    </w:p>
    <w:p>
      <w:pPr>
        <w:spacing w:before="0" w:after="80"/>
        <w:ind w:left="288"/>
        <w:jc w:val="both"/>
      </w:pPr>
      <w:r>
        <w:rPr>
          <w:rFonts w:ascii="Times New Roman" w:hAnsi="Times New Roman"/>
          <w:b w:val="0"/>
          <w:i w:val="0"/>
          <w:sz w:val="20"/>
        </w:rPr>
        <w:t>A high C indicates model agreement, reducing the risk of resource waste from uncertain predictions. The CBW gate prevents wasteful warming even when P_final is high but C is low.</w:t>
      </w:r>
    </w:p>
    <w:p>
      <w:pPr>
        <w:spacing w:before="100" w:after="40"/>
        <w:jc w:val="left"/>
      </w:pPr>
      <w:r>
        <w:rPr>
          <w:rFonts w:ascii="Times New Roman" w:hAnsi="Times New Roman"/>
          <w:b/>
          <w:i/>
          <w:sz w:val="20"/>
        </w:rPr>
        <w:t>C. Model Training Details</w:t>
      </w:r>
    </w:p>
    <w:p>
      <w:pPr>
        <w:spacing w:before="0" w:after="60"/>
        <w:jc w:val="both"/>
      </w:pPr>
      <w:r>
        <w:rPr>
          <w:rFonts w:ascii="Times New Roman" w:hAnsi="Times New Roman"/>
          <w:b w:val="0"/>
          <w:i w:val="0"/>
          <w:sz w:val="20"/>
        </w:rPr>
        <w:t>Dataset Generation: Training data is generated using a probabilistic model calibrated to replicate real-world FaaS cold start patterns from the Microsoft Azure Functions public traces.</w:t>
      </w:r>
    </w:p>
    <w:p>
      <w:pPr>
        <w:spacing w:before="0" w:after="40"/>
        <w:jc w:val="both"/>
      </w:pPr>
      <w:r>
        <w:rPr>
          <w:rFonts w:ascii="Times New Roman" w:hAnsi="Times New Roman"/>
          <w:b w:val="0"/>
          <w:i w:val="0"/>
          <w:sz w:val="20"/>
        </w:rPr>
        <w:t>The cold start probability for each training sample is:</w:t>
      </w:r>
    </w:p>
    <w:p>
      <w:pPr>
        <w:spacing w:before="40" w:after="80"/>
        <w:ind w:left="432"/>
        <w:jc w:val="left"/>
      </w:pPr>
      <w:r>
        <w:rPr>
          <w:rFonts w:ascii="Courier New" w:hAnsi="Courier New"/>
          <w:b w:val="0"/>
          <w:i w:val="0"/>
          <w:sz w:val="18"/>
        </w:rPr>
        <w:t>p_cold = 0.05  (base)</w:t>
        <w:br/>
        <w:t xml:space="preserve">       + 0.40  (if not business hours)</w:t>
        <w:br/>
        <w:t xml:space="preserve">       + 0.50  (if traffic_intensity &lt; 0.15)</w:t>
        <w:br/>
        <w:t xml:space="preserve">       + 0.30  (if new user AND low traffic)</w:t>
        <w:br/>
        <w:t xml:space="preserve">       + 0.40  (if auth endpoint AND hour &lt; 07:00)</w:t>
        <w:br/>
        <w:t xml:space="preserve">       + 0.20  (if mobile device AND not business hours)</w:t>
        <w:br/>
        <w:t xml:space="preserve">       + 0.25  (if weekend)</w:t>
        <w:br/>
        <w:t>p_cold = min(p_cold, 0.95)</w:t>
      </w:r>
    </w:p>
    <w:p>
      <w:pPr>
        <w:spacing w:before="0" w:after="40"/>
        <w:jc w:val="both"/>
      </w:pPr>
      <w:r>
        <w:rPr>
          <w:rFonts w:ascii="Times New Roman" w:hAnsi="Times New Roman"/>
          <w:b/>
          <w:i w:val="0"/>
          <w:sz w:val="20"/>
        </w:rPr>
        <w:t>Dataset Statistics:</w:t>
      </w:r>
    </w:p>
    <w:p>
      <w:pPr>
        <w:spacing w:before="0" w:after="40"/>
        <w:ind w:left="360"/>
        <w:jc w:val="left"/>
      </w:pPr>
      <w:r>
        <w:rPr>
          <w:rFonts w:ascii="Times New Roman" w:hAnsi="Times New Roman"/>
          <w:b w:val="0"/>
          <w:i w:val="0"/>
          <w:sz w:val="20"/>
        </w:rPr>
        <w:t>•  Training set: 1,000 samples (XGBoost), 2,000 samples (RF); Validation split: 80/20 train/test</w:t>
      </w:r>
    </w:p>
    <w:p>
      <w:pPr>
        <w:spacing w:before="0" w:after="40"/>
        <w:ind w:left="360"/>
        <w:jc w:val="left"/>
      </w:pPr>
      <w:r>
        <w:rPr>
          <w:rFonts w:ascii="Times New Roman" w:hAnsi="Times New Roman"/>
          <w:b w:val="0"/>
          <w:i w:val="0"/>
          <w:sz w:val="20"/>
        </w:rPr>
        <w:t>•  Cold start ratio: ~62% (class imbalance handled via weighted loss, α = 0.7)</w:t>
      </w:r>
    </w:p>
    <w:p>
      <w:pPr>
        <w:spacing w:before="0" w:after="40"/>
        <w:ind w:left="360"/>
        <w:jc w:val="left"/>
      </w:pPr>
      <w:r>
        <w:rPr>
          <w:rFonts w:ascii="Times New Roman" w:hAnsi="Times New Roman"/>
          <w:b w:val="0"/>
          <w:i w:val="0"/>
          <w:sz w:val="20"/>
        </w:rPr>
        <w:t>•  Feature dimensions: 9 scalar features; Random seeds: 42 (XGBoost), 123 (RF) for reproducibility</w:t>
      </w:r>
    </w:p>
    <w:p>
      <w:pPr>
        <w:spacing w:before="0" w:after="40"/>
        <w:ind w:left="360"/>
        <w:jc w:val="left"/>
      </w:pPr>
      <w:r>
        <w:rPr>
          <w:rFonts w:ascii="Times New Roman" w:hAnsi="Times New Roman"/>
          <w:b w:val="0"/>
          <w:i w:val="0"/>
          <w:sz w:val="20"/>
        </w:rPr>
        <w:t>•  Training hardware: Intel Core i7, 16 GB RAM; XGBoost training time: ~0.8 s; RF training time: ~1.4 s</w:t>
      </w:r>
    </w:p>
    <w:p>
      <w:pPr>
        <w:spacing w:before="0" w:after="40"/>
        <w:ind w:left="360"/>
        <w:jc w:val="left"/>
      </w:pPr>
      <w:r>
        <w:rPr>
          <w:rFonts w:ascii="Times New Roman" w:hAnsi="Times New Roman"/>
          <w:b w:val="0"/>
          <w:i w:val="0"/>
          <w:sz w:val="20"/>
        </w:rPr>
        <w:t>•  Model sizes: XGBoost 223 KB, RF 465 KB; Lambda cold start overhead for model load: ~962 ms (once at container init)</w:t>
      </w:r>
    </w:p>
    <w:p>
      <w:pPr>
        <w:spacing w:before="0" w:after="120"/>
        <w:jc w:val="both"/>
      </w:pPr>
      <w:r>
        <w:rPr>
          <w:rFonts w:ascii="Times New Roman" w:hAnsi="Times New Roman"/>
          <w:b w:val="0"/>
          <w:i w:val="0"/>
          <w:sz w:val="20"/>
        </w:rPr>
        <w:t>Evaluation Protocol: Models are evaluated on the held-out 20% validation split using weighted F1 score (primary metric due to class imbalance), AUC-ROC, and confusion matrix analysis.</w:t>
      </w:r>
    </w:p>
    <w:p>
      <w:pPr>
        <w:spacing w:before="160" w:after="60"/>
        <w:jc w:val="left"/>
      </w:pPr>
      <w:r>
        <w:rPr>
          <w:rFonts w:ascii="Times New Roman" w:hAnsi="Times New Roman"/>
          <w:b/>
          <w:i w:val="0"/>
          <w:sz w:val="20"/>
        </w:rPr>
        <w:t>V. DETAILED MATHEMATICAL MODELING</w:t>
      </w:r>
    </w:p>
    <w:p>
      <w:pPr>
        <w:spacing w:before="100" w:after="40"/>
        <w:jc w:val="left"/>
      </w:pPr>
      <w:r>
        <w:rPr>
          <w:rFonts w:ascii="Times New Roman" w:hAnsi="Times New Roman"/>
          <w:b/>
          <w:i/>
          <w:sz w:val="20"/>
        </w:rPr>
        <w:t>A. Cost Function for Ensemble Weight Optimization</w:t>
      </w:r>
    </w:p>
    <w:p>
      <w:pPr>
        <w:spacing w:before="0" w:after="40"/>
        <w:jc w:val="both"/>
      </w:pPr>
      <w:r>
        <w:rPr>
          <w:rFonts w:ascii="Times New Roman" w:hAnsi="Times New Roman"/>
          <w:b w:val="0"/>
          <w:i w:val="0"/>
          <w:sz w:val="20"/>
        </w:rPr>
        <w:t>The XGBoost primary model is trained by minimizing the weighted Binary Cross-Entropy loss to penalize false negatives (missed cold starts) more heavily than false positives (unnecessary warming):</w:t>
      </w:r>
    </w:p>
    <w:p>
      <w:pPr>
        <w:spacing w:before="80" w:after="80"/>
        <w:jc w:val="center"/>
      </w:pPr>
      <w:r>
        <w:rPr>
          <w:rFonts w:ascii="Times New Roman" w:hAnsi="Times New Roman"/>
          <w:b w:val="0"/>
          <w:i/>
          <w:sz w:val="20"/>
        </w:rPr>
        <w:t>L_BCE = − (1/N) Σ [ α·y·log(P) + (1−α)·(1−y)·log(1−P) ]</w:t>
      </w:r>
      <w:r>
        <w:rPr>
          <w:rFonts w:ascii="Times New Roman" w:hAnsi="Times New Roman"/>
          <w:b w:val="0"/>
          <w:i w:val="0"/>
          <w:sz w:val="20"/>
        </w:rPr>
        <w:t xml:space="preserve">    (3)</w:t>
      </w:r>
    </w:p>
    <w:p>
      <w:pPr>
        <w:spacing w:before="0" w:after="120"/>
        <w:jc w:val="both"/>
      </w:pPr>
      <w:r>
        <w:rPr>
          <w:rFonts w:ascii="Times New Roman" w:hAnsi="Times New Roman"/>
          <w:b w:val="0"/>
          <w:i w:val="0"/>
          <w:sz w:val="20"/>
        </w:rPr>
        <w:t>where y ∈ {0,1} is the ground truth label, P is the predicted probability, N is the batch size, and α = 0.7 reflects the higher cost of a false negative (latency penalty vs. warming cost). The negative sign ensures loss minimization. This formulation differs from standard BCE (α = 0.5) by increasing the penalty for missed cold starts.</w:t>
      </w:r>
    </w:p>
    <w:p>
      <w:pPr>
        <w:spacing w:before="100" w:after="40"/>
        <w:jc w:val="left"/>
      </w:pPr>
      <w:r>
        <w:rPr>
          <w:rFonts w:ascii="Times New Roman" w:hAnsi="Times New Roman"/>
          <w:b/>
          <w:i/>
          <w:sz w:val="20"/>
        </w:rPr>
        <w:t>B. Confidence-Based Warming (CBW) Decision Rule</w:t>
      </w:r>
    </w:p>
    <w:p>
      <w:pPr>
        <w:spacing w:before="0" w:after="40"/>
        <w:jc w:val="both"/>
      </w:pPr>
      <w:r>
        <w:rPr>
          <w:rFonts w:ascii="Times New Roman" w:hAnsi="Times New Roman"/>
          <w:b w:val="0"/>
          <w:i w:val="0"/>
          <w:sz w:val="20"/>
        </w:rPr>
        <w:t>The CBW mechanism translates the probabilistic EPE output into a binary warming decision:</w:t>
      </w:r>
    </w:p>
    <w:p>
      <w:pPr>
        <w:spacing w:before="40" w:after="80"/>
        <w:jc w:val="center"/>
      </w:pPr>
      <w:r>
        <w:rPr>
          <w:rFonts w:ascii="Times New Roman" w:hAnsi="Times New Roman"/>
          <w:b w:val="0"/>
          <w:i/>
          <w:sz w:val="20"/>
        </w:rPr>
        <w:t>A_warm = True,   if P_final ≥ T_predict AND C ≥ T_confidence</w:t>
        <w:br/>
        <w:t xml:space="preserve">          False,  otherwise                                        (4)</w:t>
      </w:r>
    </w:p>
    <w:p>
      <w:pPr>
        <w:spacing w:before="40" w:after="80"/>
        <w:jc w:val="center"/>
      </w:pPr>
      <w:r>
        <w:rPr>
          <w:rFonts w:ascii="Times New Roman" w:hAnsi="Times New Roman"/>
          <w:b w:val="0"/>
          <w:i/>
          <w:sz w:val="20"/>
        </w:rPr>
        <w:t>Fig. 2. CBW Gating Policy. A pre-warming action is triggered only when both the ensemble probability P_final ≥ T_predict (0.7) AND the confidence score C ≥ T_confidence (0.6). The dual gate eliminates costly false positives that arise from uncertain predictions.</w:t>
      </w:r>
    </w:p>
    <w:p>
      <w:pPr>
        <w:spacing w:before="0" w:after="120"/>
        <w:jc w:val="both"/>
      </w:pPr>
      <w:r>
        <w:rPr>
          <w:rFonts w:ascii="Times New Roman" w:hAnsi="Times New Roman"/>
          <w:b w:val="0"/>
          <w:i w:val="0"/>
          <w:sz w:val="20"/>
        </w:rPr>
        <w:t>The static thresholds T_predict = 0.7 and T_confidence = 0.6 were calibrated to achieve Purity of Warming &gt; 80% while maintaining cold start reduction &gt; 55%.</w:t>
      </w:r>
    </w:p>
    <w:p>
      <w:pPr>
        <w:spacing w:before="100" w:after="40"/>
        <w:jc w:val="left"/>
      </w:pPr>
      <w:r>
        <w:rPr>
          <w:rFonts w:ascii="Times New Roman" w:hAnsi="Times New Roman"/>
          <w:b/>
          <w:i/>
          <w:sz w:val="20"/>
        </w:rPr>
        <w:t>C. Cost-Benefit Ratio (CBR) Analysis</w:t>
      </w:r>
    </w:p>
    <w:p>
      <w:pPr>
        <w:spacing w:before="0" w:after="40"/>
        <w:jc w:val="both"/>
      </w:pPr>
      <w:r>
        <w:rPr>
          <w:rFonts w:ascii="Times New Roman" w:hAnsi="Times New Roman"/>
          <w:b w:val="0"/>
          <w:i w:val="0"/>
          <w:sz w:val="20"/>
        </w:rPr>
        <w:t>The economic viability of COLDSTART is quantified by the Cost-Benefit Ratio:</w:t>
      </w:r>
    </w:p>
    <w:p>
      <w:pPr>
        <w:spacing w:before="80" w:after="80"/>
        <w:jc w:val="center"/>
      </w:pPr>
      <w:r>
        <w:rPr>
          <w:rFonts w:ascii="Times New Roman" w:hAnsi="Times New Roman"/>
          <w:b w:val="0"/>
          <w:i/>
          <w:sz w:val="20"/>
        </w:rPr>
        <w:t>CBR = (P_FN · C_penalty) / (P_FP · C_warm)</w:t>
      </w:r>
      <w:r>
        <w:rPr>
          <w:rFonts w:ascii="Times New Roman" w:hAnsi="Times New Roman"/>
          <w:b w:val="0"/>
          <w:i w:val="0"/>
          <w:sz w:val="20"/>
        </w:rPr>
        <w:t xml:space="preserve">    (5)</w:t>
      </w:r>
    </w:p>
    <w:p>
      <w:pPr>
        <w:spacing w:before="0" w:after="60"/>
        <w:jc w:val="both"/>
      </w:pPr>
      <w:r>
        <w:rPr>
          <w:rFonts w:ascii="Times New Roman" w:hAnsi="Times New Roman"/>
          <w:b w:val="0"/>
          <w:i w:val="0"/>
          <w:sz w:val="20"/>
        </w:rPr>
        <w:t>Where the cost components are defined as:</w:t>
      </w:r>
    </w:p>
    <w:p>
      <w:pPr>
        <w:spacing w:before="0" w:after="40"/>
        <w:ind w:left="360"/>
        <w:jc w:val="left"/>
      </w:pPr>
      <w:r>
        <w:rPr>
          <w:rFonts w:ascii="Times New Roman" w:hAnsi="Times New Roman"/>
          <w:b w:val="0"/>
          <w:i w:val="0"/>
          <w:sz w:val="20"/>
        </w:rPr>
        <w:t>•  P_FN: empirical false negative rate (missed cold starts) from validation data</w:t>
      </w:r>
    </w:p>
    <w:p>
      <w:pPr>
        <w:spacing w:before="0" w:after="40"/>
        <w:ind w:left="360"/>
        <w:jc w:val="left"/>
      </w:pPr>
      <w:r>
        <w:rPr>
          <w:rFonts w:ascii="Times New Roman" w:hAnsi="Times New Roman"/>
          <w:b w:val="0"/>
          <w:i w:val="0"/>
          <w:sz w:val="20"/>
        </w:rPr>
        <w:t>•  P_FP: empirical false positive rate (unnecessary warming) from validation data</w:t>
      </w:r>
    </w:p>
    <w:p>
      <w:pPr>
        <w:spacing w:before="0" w:after="40"/>
        <w:ind w:left="360"/>
        <w:jc w:val="left"/>
      </w:pPr>
      <w:r>
        <w:rPr>
          <w:rFonts w:ascii="Times New Roman" w:hAnsi="Times New Roman"/>
          <w:b w:val="0"/>
          <w:i w:val="0"/>
          <w:sz w:val="20"/>
        </w:rPr>
        <w:t>•  C_penalty: cost of a false negative = latency_penalty_ms × cost_per_ms_SLA_violation (≈ $0.00023 per 100 ms, based on AWS provisioned concurrency pricing)</w:t>
      </w:r>
    </w:p>
    <w:p>
      <w:pPr>
        <w:spacing w:before="0" w:after="40"/>
        <w:ind w:left="360"/>
        <w:jc w:val="left"/>
      </w:pPr>
      <w:r>
        <w:rPr>
          <w:rFonts w:ascii="Times New Roman" w:hAnsi="Times New Roman"/>
          <w:b w:val="0"/>
          <w:i w:val="0"/>
          <w:sz w:val="20"/>
        </w:rPr>
        <w:t>•  C_warm: cost of unnecessary warming = idle_duration × memory_GB × AWS_per_GB_second_price = 10 s × 0.512 GB × $0.0000166667 = $0.0000853</w:t>
      </w:r>
    </w:p>
    <w:p>
      <w:pPr>
        <w:spacing w:before="0" w:after="120"/>
        <w:jc w:val="both"/>
      </w:pPr>
      <w:r>
        <w:rPr>
          <w:rFonts w:ascii="Times New Roman" w:hAnsi="Times New Roman"/>
          <w:b w:val="0"/>
          <w:i w:val="0"/>
          <w:sz w:val="20"/>
        </w:rPr>
        <w:t>For COLDSTART (P_FN = 5.8%, P_FP = 14.3%): CBR = (0.058 × 0.00023) / (0.143 × 0.0000853) = 1.10. A CBR &gt; 1.0 confirms the cost of missed cold starts exceeds unnecessary warming costs. This contrasts with the single-source baseline (CBR = 0.83), which incurs a net financial loss due to excessive false positives.</w:t>
      </w:r>
    </w:p>
    <w:p>
      <w:pPr>
        <w:spacing w:before="100" w:after="40"/>
        <w:jc w:val="left"/>
      </w:pPr>
      <w:r>
        <w:rPr>
          <w:rFonts w:ascii="Times New Roman" w:hAnsi="Times New Roman"/>
          <w:b/>
          <w:i/>
          <w:sz w:val="20"/>
        </w:rPr>
        <w:t>D. Dynamic Threshold Adaptation (Future Extension)</w:t>
      </w:r>
    </w:p>
    <w:p>
      <w:pPr>
        <w:spacing w:before="0" w:after="40"/>
        <w:jc w:val="both"/>
      </w:pPr>
      <w:r>
        <w:rPr>
          <w:rFonts w:ascii="Times New Roman" w:hAnsi="Times New Roman"/>
          <w:b w:val="0"/>
          <w:i w:val="0"/>
          <w:sz w:val="20"/>
        </w:rPr>
        <w:t>A planned extension incorporates a Proportional-Integral (PI) controller to dynamically adjust T_confidence:</w:t>
      </w:r>
    </w:p>
    <w:p>
      <w:pPr>
        <w:spacing w:before="80" w:after="80"/>
        <w:jc w:val="center"/>
      </w:pPr>
      <w:r>
        <w:rPr>
          <w:rFonts w:ascii="Times New Roman" w:hAnsi="Times New Roman"/>
          <w:b w:val="0"/>
          <w:i/>
          <w:sz w:val="20"/>
        </w:rPr>
        <w:t>E(t) = CBR_target − CBR_function(t)</w:t>
      </w:r>
      <w:r>
        <w:rPr>
          <w:rFonts w:ascii="Times New Roman" w:hAnsi="Times New Roman"/>
          <w:b w:val="0"/>
          <w:i w:val="0"/>
          <w:sz w:val="20"/>
        </w:rPr>
        <w:t xml:space="preserve">    (6)</w:t>
      </w:r>
    </w:p>
    <w:p>
      <w:pPr>
        <w:spacing w:before="80" w:after="80"/>
        <w:jc w:val="center"/>
      </w:pPr>
      <w:r>
        <w:rPr>
          <w:rFonts w:ascii="Times New Roman" w:hAnsi="Times New Roman"/>
          <w:b w:val="0"/>
          <w:i/>
          <w:sz w:val="20"/>
        </w:rPr>
        <w:t>u(t) = K_p · E(t) + K_i · ∫₀ᵗ E(τ) dτ</w:t>
      </w:r>
      <w:r>
        <w:rPr>
          <w:rFonts w:ascii="Times New Roman" w:hAnsi="Times New Roman"/>
          <w:b w:val="0"/>
          <w:i w:val="0"/>
          <w:sz w:val="20"/>
        </w:rPr>
        <w:t xml:space="preserve">    (7)</w:t>
      </w:r>
    </w:p>
    <w:p>
      <w:pPr>
        <w:spacing w:before="0" w:after="120"/>
        <w:jc w:val="both"/>
      </w:pPr>
      <w:r>
        <w:rPr>
          <w:rFonts w:ascii="Times New Roman" w:hAnsi="Times New Roman"/>
          <w:b w:val="0"/>
          <w:i w:val="0"/>
          <w:sz w:val="20"/>
        </w:rPr>
        <w:t>Where K_p drives immediate correction and K_i eliminates steady-state errors. This extension is detailed in Section IX-A as a future research direction.</w:t>
      </w:r>
    </w:p>
    <w:p>
      <w:pPr>
        <w:spacing w:before="160" w:after="60"/>
        <w:jc w:val="left"/>
      </w:pPr>
      <w:r>
        <w:rPr>
          <w:rFonts w:ascii="Times New Roman" w:hAnsi="Times New Roman"/>
          <w:b/>
          <w:i w:val="0"/>
          <w:sz w:val="20"/>
        </w:rPr>
        <w:t>VI. IMPLEMENTATION DETAILS AND SYSTEM WORKFLOW</w:t>
      </w:r>
    </w:p>
    <w:p>
      <w:pPr>
        <w:spacing w:before="100" w:after="40"/>
        <w:jc w:val="left"/>
      </w:pPr>
      <w:r>
        <w:rPr>
          <w:rFonts w:ascii="Times New Roman" w:hAnsi="Times New Roman"/>
          <w:b/>
          <w:i/>
          <w:sz w:val="20"/>
        </w:rPr>
        <w:t>A. AWS Cloud Architecture</w:t>
      </w:r>
    </w:p>
    <w:p>
      <w:pPr>
        <w:spacing w:before="0" w:after="80"/>
        <w:jc w:val="both"/>
      </w:pPr>
      <w:r>
        <w:rPr>
          <w:rFonts w:ascii="Times New Roman" w:hAnsi="Times New Roman"/>
          <w:b w:val="0"/>
          <w:i w:val="0"/>
          <w:sz w:val="20"/>
        </w:rPr>
        <w:t>COLDSTART is deployed on AWS in the ap-south-1 (Mumbai) region. Table II summarizes all deployed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center"/>
            </w:pPr>
            <w:r>
              <w:rPr>
                <w:b/>
                <w:sz w:val="18"/>
              </w:rPr>
              <w:t>Component</w:t>
            </w:r>
          </w:p>
        </w:tc>
        <w:tc>
          <w:tcPr>
            <w:tcW w:type="dxa" w:w="3360"/>
          </w:tcPr>
          <w:p>
            <w:pPr>
              <w:jc w:val="center"/>
            </w:pPr>
            <w:r>
              <w:rPr>
                <w:b/>
                <w:sz w:val="18"/>
              </w:rPr>
              <w:t>AWS Service</w:t>
            </w:r>
          </w:p>
        </w:tc>
        <w:tc>
          <w:tcPr>
            <w:tcW w:type="dxa" w:w="3360"/>
          </w:tcPr>
          <w:p>
            <w:pPr>
              <w:jc w:val="center"/>
            </w:pPr>
            <w:r>
              <w:rPr>
                <w:b/>
                <w:sz w:val="18"/>
              </w:rPr>
              <w:t>Configuration</w:t>
            </w:r>
          </w:p>
        </w:tc>
      </w:tr>
      <w:tr>
        <w:tc>
          <w:tcPr>
            <w:tcW w:type="dxa" w:w="3360"/>
          </w:tcPr>
          <w:p>
            <w:r>
              <w:rPr>
                <w:sz w:val="18"/>
              </w:rPr>
              <w:t>Traffic Generator</w:t>
            </w:r>
          </w:p>
        </w:tc>
        <w:tc>
          <w:tcPr>
            <w:tcW w:type="dxa" w:w="3360"/>
          </w:tcPr>
          <w:p>
            <w:r>
              <w:rPr>
                <w:sz w:val="18"/>
              </w:rPr>
              <w:t>Python Script / EC2</w:t>
            </w:r>
          </w:p>
        </w:tc>
        <w:tc>
          <w:tcPr>
            <w:tcW w:type="dxa" w:w="3360"/>
          </w:tcPr>
          <w:p>
            <w:r>
              <w:rPr>
                <w:sz w:val="18"/>
              </w:rPr>
              <w:t>3 req/s, round-robin /auth /profile /search</w:t>
            </w:r>
          </w:p>
        </w:tc>
      </w:tr>
      <w:tr>
        <w:tc>
          <w:tcPr>
            <w:tcW w:type="dxa" w:w="3360"/>
          </w:tcPr>
          <w:p>
            <w:r>
              <w:rPr>
                <w:sz w:val="18"/>
              </w:rPr>
              <w:t>Raw Log Storage</w:t>
            </w:r>
          </w:p>
        </w:tc>
        <w:tc>
          <w:tcPr>
            <w:tcW w:type="dxa" w:w="3360"/>
          </w:tcPr>
          <w:p>
            <w:r>
              <w:rPr>
                <w:sz w:val="18"/>
              </w:rPr>
              <w:t>Amazon S3</w:t>
            </w:r>
          </w:p>
        </w:tc>
        <w:tc>
          <w:tcPr>
            <w:tcW w:type="dxa" w:w="3360"/>
          </w:tcPr>
          <w:p>
            <w:r>
              <w:rPr>
                <w:sz w:val="18"/>
              </w:rPr>
              <w:t>Date-partitioned: training-data/YYYY/MM/DD/</w:t>
            </w:r>
          </w:p>
        </w:tc>
      </w:tr>
      <w:tr>
        <w:tc>
          <w:tcPr>
            <w:tcW w:type="dxa" w:w="3360"/>
          </w:tcPr>
          <w:p>
            <w:r>
              <w:rPr>
                <w:sz w:val="18"/>
              </w:rPr>
              <w:t>ETL Processing</w:t>
            </w:r>
          </w:p>
        </w:tc>
        <w:tc>
          <w:tcPr>
            <w:tcW w:type="dxa" w:w="3360"/>
          </w:tcPr>
          <w:p>
            <w:r>
              <w:rPr>
                <w:sz w:val="18"/>
              </w:rPr>
              <w:t>AWS Lambda (ETLLambda)</w:t>
            </w:r>
          </w:p>
        </w:tc>
        <w:tc>
          <w:tcPr>
            <w:tcW w:type="dxa" w:w="3360"/>
          </w:tcPr>
          <w:p>
            <w:r>
              <w:rPr>
                <w:sz w:val="18"/>
              </w:rPr>
              <w:t>S3 event trigger, ~200 ms avg execution</w:t>
            </w:r>
          </w:p>
        </w:tc>
      </w:tr>
      <w:tr>
        <w:tc>
          <w:tcPr>
            <w:tcW w:type="dxa" w:w="3360"/>
          </w:tcPr>
          <w:p>
            <w:r>
              <w:rPr>
                <w:sz w:val="18"/>
              </w:rPr>
              <w:t>Feature Storage</w:t>
            </w:r>
          </w:p>
        </w:tc>
        <w:tc>
          <w:tcPr>
            <w:tcW w:type="dxa" w:w="3360"/>
          </w:tcPr>
          <w:p>
            <w:r>
              <w:rPr>
                <w:sz w:val="18"/>
              </w:rPr>
              <w:t>Amazon DynamoDB</w:t>
            </w:r>
          </w:p>
        </w:tc>
        <w:tc>
          <w:tcPr>
            <w:tcW w:type="dxa" w:w="3360"/>
          </w:tcPr>
          <w:p>
            <w:r>
              <w:rPr>
                <w:sz w:val="18"/>
              </w:rPr>
              <w:t>ETLFeatureData table, timestamp_s GSI</w:t>
            </w:r>
          </w:p>
        </w:tc>
      </w:tr>
      <w:tr>
        <w:tc>
          <w:tcPr>
            <w:tcW w:type="dxa" w:w="3360"/>
          </w:tcPr>
          <w:p>
            <w:r>
              <w:rPr>
                <w:sz w:val="18"/>
              </w:rPr>
              <w:t>ML Aggregation</w:t>
            </w:r>
          </w:p>
        </w:tc>
        <w:tc>
          <w:tcPr>
            <w:tcW w:type="dxa" w:w="3360"/>
          </w:tcPr>
          <w:p>
            <w:r>
              <w:rPr>
                <w:sz w:val="18"/>
              </w:rPr>
              <w:t>AWS Lambda (DataAggregator)</w:t>
            </w:r>
          </w:p>
        </w:tc>
        <w:tc>
          <w:tcPr>
            <w:tcW w:type="dxa" w:w="3360"/>
          </w:tcPr>
          <w:p>
            <w:r>
              <w:rPr>
                <w:sz w:val="18"/>
              </w:rPr>
              <w:t>512 MB, 300 s timeout, EventBridge every 15 min</w:t>
            </w:r>
          </w:p>
        </w:tc>
      </w:tr>
      <w:tr>
        <w:tc>
          <w:tcPr>
            <w:tcW w:type="dxa" w:w="3360"/>
          </w:tcPr>
          <w:p>
            <w:r>
              <w:rPr>
                <w:sz w:val="18"/>
              </w:rPr>
              <w:t>Function Warming</w:t>
            </w:r>
          </w:p>
        </w:tc>
        <w:tc>
          <w:tcPr>
            <w:tcW w:type="dxa" w:w="3360"/>
          </w:tcPr>
          <w:p>
            <w:r>
              <w:rPr>
                <w:sz w:val="18"/>
              </w:rPr>
              <w:t>AWS Lambda (IntelligentLambdaWarmer)</w:t>
            </w:r>
          </w:p>
        </w:tc>
        <w:tc>
          <w:tcPr>
            <w:tcW w:type="dxa" w:w="3360"/>
          </w:tcPr>
          <w:p>
            <w:r>
              <w:rPr>
                <w:sz w:val="18"/>
              </w:rPr>
              <w:t>256 MB, 180 s timeout</w:t>
            </w:r>
          </w:p>
        </w:tc>
      </w:tr>
      <w:tr>
        <w:tc>
          <w:tcPr>
            <w:tcW w:type="dxa" w:w="3360"/>
          </w:tcPr>
          <w:p>
            <w:r>
              <w:rPr>
                <w:sz w:val="18"/>
              </w:rPr>
              <w:t>Target Functions</w:t>
            </w:r>
          </w:p>
        </w:tc>
        <w:tc>
          <w:tcPr>
            <w:tcW w:type="dxa" w:w="3360"/>
          </w:tcPr>
          <w:p>
            <w:r>
              <w:rPr>
                <w:sz w:val="18"/>
              </w:rPr>
              <w:t>AWS Lambda</w:t>
            </w:r>
          </w:p>
        </w:tc>
        <w:tc>
          <w:tcPr>
            <w:tcW w:type="dxa" w:w="3360"/>
          </w:tcPr>
          <w:p>
            <w:r>
              <w:rPr>
                <w:sz w:val="18"/>
              </w:rPr>
              <w:t>auth-function, profile-function, search-function</w:t>
            </w:r>
          </w:p>
        </w:tc>
      </w:tr>
      <w:tr>
        <w:tc>
          <w:tcPr>
            <w:tcW w:type="dxa" w:w="3360"/>
          </w:tcPr>
          <w:p>
            <w:r>
              <w:rPr>
                <w:sz w:val="18"/>
              </w:rPr>
              <w:t>Metrics</w:t>
            </w:r>
          </w:p>
        </w:tc>
        <w:tc>
          <w:tcPr>
            <w:tcW w:type="dxa" w:w="3360"/>
          </w:tcPr>
          <w:p>
            <w:r>
              <w:rPr>
                <w:sz w:val="18"/>
              </w:rPr>
              <w:t>Amazon CloudWatch</w:t>
            </w:r>
          </w:p>
        </w:tc>
        <w:tc>
          <w:tcPr>
            <w:tcW w:type="dxa" w:w="3360"/>
          </w:tcPr>
          <w:p>
            <w:r>
              <w:rPr>
                <w:sz w:val="18"/>
              </w:rPr>
              <w:t>Namespace: ColdStart/IntelligentWarming</w:t>
            </w:r>
          </w:p>
        </w:tc>
      </w:tr>
      <w:tr>
        <w:tc>
          <w:tcPr>
            <w:tcW w:type="dxa" w:w="3360"/>
          </w:tcPr>
          <w:p>
            <w:r>
              <w:rPr>
                <w:sz w:val="18"/>
              </w:rPr>
              <w:t>Monitoring</w:t>
            </w:r>
          </w:p>
        </w:tc>
        <w:tc>
          <w:tcPr>
            <w:tcW w:type="dxa" w:w="3360"/>
          </w:tcPr>
          <w:p>
            <w:r>
              <w:rPr>
                <w:sz w:val="18"/>
              </w:rPr>
              <w:t>Streamlit Dashboard</w:t>
            </w:r>
          </w:p>
        </w:tc>
        <w:tc>
          <w:tcPr>
            <w:tcW w:type="dxa" w:w="3360"/>
          </w:tcPr>
          <w:p>
            <w:r>
              <w:rPr>
                <w:sz w:val="18"/>
              </w:rPr>
              <w:t>Real-time DynamoDB + CloudWatch integration</w:t>
            </w:r>
          </w:p>
        </w:tc>
      </w:tr>
    </w:tbl>
    <w:p>
      <w:pPr>
        <w:spacing w:before="60" w:after="120"/>
        <w:jc w:val="center"/>
      </w:pPr>
      <w:r>
        <w:rPr>
          <w:rFonts w:ascii="Times New Roman" w:hAnsi="Times New Roman"/>
          <w:b w:val="0"/>
          <w:i/>
          <w:sz w:val="20"/>
        </w:rPr>
        <w:t>Table II. COLDSTART AWS Deployment Configuration.</w:t>
      </w:r>
    </w:p>
    <w:p>
      <w:pPr>
        <w:spacing w:before="100" w:after="40"/>
        <w:jc w:val="left"/>
      </w:pPr>
      <w:r>
        <w:rPr>
          <w:rFonts w:ascii="Times New Roman" w:hAnsi="Times New Roman"/>
          <w:b/>
          <w:i/>
          <w:sz w:val="20"/>
        </w:rPr>
        <w:t>B. Traffic Generation and Workload Synthesis</w:t>
      </w:r>
    </w:p>
    <w:p>
      <w:pPr>
        <w:spacing w:before="0" w:after="60"/>
        <w:jc w:val="both"/>
      </w:pPr>
      <w:r>
        <w:rPr>
          <w:rFonts w:ascii="Times New Roman" w:hAnsi="Times New Roman"/>
          <w:b w:val="0"/>
          <w:i w:val="0"/>
          <w:sz w:val="20"/>
        </w:rPr>
        <w:t>The traffic generator produces synthetic workloads replicating real-world cold start risk patterns, calibrated to the Microsoft Azure Functions public dataset [16]:</w:t>
      </w:r>
    </w:p>
    <w:p>
      <w:pPr>
        <w:spacing w:before="0" w:after="40"/>
        <w:ind w:left="360"/>
        <w:jc w:val="left"/>
      </w:pPr>
      <w:r>
        <w:rPr>
          <w:rFonts w:ascii="Times New Roman" w:hAnsi="Times New Roman"/>
          <w:b w:val="0"/>
          <w:i w:val="0"/>
          <w:sz w:val="20"/>
        </w:rPr>
        <w:t>•  60% Extreme Risk (cold start probability ~0.90): off-hours (00:00–04:00), weekend, traffic_intensity ∈ [0.01, 0.08], new mobile user</w:t>
      </w:r>
    </w:p>
    <w:p>
      <w:pPr>
        <w:spacing w:before="0" w:after="40"/>
        <w:ind w:left="360"/>
        <w:jc w:val="left"/>
      </w:pPr>
      <w:r>
        <w:rPr>
          <w:rFonts w:ascii="Times New Roman" w:hAnsi="Times New Roman"/>
          <w:b w:val="0"/>
          <w:i w:val="0"/>
          <w:sz w:val="20"/>
        </w:rPr>
        <w:t>•  25% High Risk (cold start probability ~0.70): late evening (22:00–23:00) or early morning (05:00), traffic_intensity ∈ [0.09, 0.20]</w:t>
      </w:r>
    </w:p>
    <w:p>
      <w:pPr>
        <w:spacing w:before="0" w:after="40"/>
        <w:ind w:left="360"/>
        <w:jc w:val="left"/>
      </w:pPr>
      <w:r>
        <w:rPr>
          <w:rFonts w:ascii="Times New Roman" w:hAnsi="Times New Roman"/>
          <w:b w:val="0"/>
          <w:i w:val="0"/>
          <w:sz w:val="20"/>
        </w:rPr>
        <w:t>•  15% Low Risk (cold start probability ~0.15): business hours (12:00–16:00), weekday, traffic_intensity ∈ [1.6, 2.5], returning desktop user</w:t>
      </w:r>
    </w:p>
    <w:p>
      <w:pPr>
        <w:spacing w:before="0" w:after="120"/>
        <w:jc w:val="both"/>
      </w:pPr>
      <w:r>
        <w:rPr>
          <w:rFonts w:ascii="Times New Roman" w:hAnsi="Times New Roman"/>
          <w:b w:val="0"/>
          <w:i w:val="0"/>
          <w:sz w:val="20"/>
        </w:rPr>
        <w:t>Each 15-minute window contains ~180 requests (3 req/min × 60 min), distributed approximately equally across the three endpoints (~60 requests per endpoint). This exceeds the minimum threshold of 5 records per endpoint required for DataAggregator processing.</w:t>
      </w:r>
    </w:p>
    <w:p>
      <w:pPr>
        <w:spacing w:before="100" w:after="40"/>
        <w:jc w:val="left"/>
      </w:pPr>
      <w:r>
        <w:rPr>
          <w:rFonts w:ascii="Times New Roman" w:hAnsi="Times New Roman"/>
          <w:b/>
          <w:i/>
          <w:sz w:val="20"/>
        </w:rPr>
        <w:t>C. DataAggregator Workflow</w:t>
      </w:r>
    </w:p>
    <w:p>
      <w:pPr>
        <w:spacing w:before="0" w:after="60"/>
        <w:jc w:val="both"/>
      </w:pPr>
      <w:r>
        <w:rPr>
          <w:rFonts w:ascii="Times New Roman" w:hAnsi="Times New Roman"/>
          <w:b w:val="0"/>
          <w:i w:val="0"/>
          <w:sz w:val="20"/>
        </w:rPr>
        <w:t>The DataAggregator Lambda executes the following steps every 15 minutes:</w:t>
      </w:r>
    </w:p>
    <w:p>
      <w:pPr>
        <w:spacing w:before="40" w:after="80"/>
        <w:ind w:left="432"/>
        <w:jc w:val="left"/>
      </w:pPr>
      <w:r>
        <w:rPr>
          <w:rFonts w:ascii="Courier New" w:hAnsi="Courier New"/>
          <w:b w:val="0"/>
          <w:i w:val="0"/>
          <w:sz w:val="18"/>
        </w:rPr>
        <w:t>1. DynamoDB Scan: Retrieve records with timestamp_s in last 15 min (paginated)</w:t>
        <w:br/>
        <w:t>2. Group by endpoint: auth, profile, search (skip if &lt; 5 records)</w:t>
        <w:br/>
        <w:t>3. Construct 9-element feature vector per endpoint</w:t>
        <w:br/>
        <w:t>4. Load XGBoost + RF models from bundled .pkl files</w:t>
        <w:br/>
        <w:t>5. Compute P_final (Eq. 1) and C (Eq. 2) per endpoint</w:t>
        <w:br/>
        <w:t>6. Apply CBW gate (Eq. 4): collect endpoints with P_final ≥ 0.7 AND C ≥ 0.6</w:t>
        <w:br/>
        <w:t>7. Async invoke IntelligentLambdaWarmer (InvocationType='Event', HTTP 202)</w:t>
        <w:br/>
        <w:t xml:space="preserve">   Total execution: ~156 ms (excluding model load at cold start)</w:t>
      </w:r>
    </w:p>
    <w:p>
      <w:pPr>
        <w:spacing w:before="100" w:after="40"/>
        <w:jc w:val="left"/>
      </w:pPr>
      <w:r>
        <w:rPr>
          <w:rFonts w:ascii="Times New Roman" w:hAnsi="Times New Roman"/>
          <w:b/>
          <w:i/>
          <w:sz w:val="20"/>
        </w:rPr>
        <w:t>D. IntelligentLambdaWarmer Workflow</w:t>
      </w:r>
    </w:p>
    <w:p>
      <w:pPr>
        <w:spacing w:before="0" w:after="120"/>
        <w:jc w:val="both"/>
      </w:pPr>
      <w:r>
        <w:rPr>
          <w:rFonts w:ascii="Times New Roman" w:hAnsi="Times New Roman"/>
          <w:b w:val="0"/>
          <w:i w:val="0"/>
          <w:sz w:val="20"/>
        </w:rPr>
        <w:t>The IntelligentLambdaWarmer receives the predictions payload and: (1) assigns priority (HIGH if P_final ≥ 0.8, MEDIUM if ≥ 0.7) and warming frequency (2–3 for HIGH, 1 for MEDIUM); (2) synchronously invokes each target Lambda with a warming ping; (3) publishes per-endpoint CloudWatch metrics (ColdStartProbability, WarmingSuccessRate, FunctionsWarmed). Observed execution: ~11–13 seconds for 3 endpoints at HIGH priority (8 total warming invocations, 100% success rate).</w:t>
      </w:r>
    </w:p>
    <w:p>
      <w:pPr>
        <w:spacing w:before="160" w:after="60"/>
        <w:jc w:val="left"/>
      </w:pPr>
      <w:r>
        <w:rPr>
          <w:rFonts w:ascii="Times New Roman" w:hAnsi="Times New Roman"/>
          <w:b/>
          <w:i w:val="0"/>
          <w:sz w:val="20"/>
        </w:rPr>
        <w:t>VII. EXPERIMENTAL METHODOLOGY</w:t>
      </w:r>
    </w:p>
    <w:p>
      <w:pPr>
        <w:spacing w:before="100" w:after="40"/>
        <w:jc w:val="left"/>
      </w:pPr>
      <w:r>
        <w:rPr>
          <w:rFonts w:ascii="Times New Roman" w:hAnsi="Times New Roman"/>
          <w:b/>
          <w:i/>
          <w:sz w:val="20"/>
        </w:rPr>
        <w:t>A. Testbed Configuration</w:t>
      </w:r>
    </w:p>
    <w:p>
      <w:pPr>
        <w:spacing w:before="0" w:after="60"/>
        <w:jc w:val="both"/>
      </w:pPr>
      <w:r>
        <w:rPr>
          <w:rFonts w:ascii="Times New Roman" w:hAnsi="Times New Roman"/>
          <w:b w:val="0"/>
          <w:i w:val="0"/>
          <w:sz w:val="20"/>
        </w:rPr>
        <w:t>All experiments were conducted on AWS infrastructure in the ap-south-1 region:</w:t>
      </w:r>
    </w:p>
    <w:p>
      <w:pPr>
        <w:spacing w:before="0" w:after="40"/>
        <w:ind w:left="360"/>
        <w:jc w:val="left"/>
      </w:pPr>
      <w:r>
        <w:rPr>
          <w:rFonts w:ascii="Times New Roman" w:hAnsi="Times New Roman"/>
          <w:b w:val="0"/>
          <w:i w:val="0"/>
          <w:sz w:val="20"/>
        </w:rPr>
        <w:t>•  Compute: AWS Lambda (128–512 MB memory, Python 3.9 runtime)</w:t>
      </w:r>
    </w:p>
    <w:p>
      <w:pPr>
        <w:spacing w:before="0" w:after="40"/>
        <w:ind w:left="360"/>
        <w:jc w:val="left"/>
      </w:pPr>
      <w:r>
        <w:rPr>
          <w:rFonts w:ascii="Times New Roman" w:hAnsi="Times New Roman"/>
          <w:b w:val="0"/>
          <w:i w:val="0"/>
          <w:sz w:val="20"/>
        </w:rPr>
        <w:t>•  Storage: Amazon DynamoDB (on-demand capacity) and Amazon S3 (Standard)</w:t>
      </w:r>
    </w:p>
    <w:p>
      <w:pPr>
        <w:spacing w:before="0" w:after="40"/>
        <w:ind w:left="360"/>
        <w:jc w:val="left"/>
      </w:pPr>
      <w:r>
        <w:rPr>
          <w:rFonts w:ascii="Times New Roman" w:hAnsi="Times New Roman"/>
          <w:b w:val="0"/>
          <w:i w:val="0"/>
          <w:sz w:val="20"/>
        </w:rPr>
        <w:t>•  ML Models: XGBoost 1.7.6, scikit-learn 1.3.0, deployed as Lambda Layer (73 MB compressed)</w:t>
      </w:r>
    </w:p>
    <w:p>
      <w:pPr>
        <w:spacing w:before="0" w:after="40"/>
        <w:ind w:left="360"/>
        <w:jc w:val="left"/>
      </w:pPr>
      <w:r>
        <w:rPr>
          <w:rFonts w:ascii="Times New Roman" w:hAnsi="Times New Roman"/>
          <w:b w:val="0"/>
          <w:i w:val="0"/>
          <w:sz w:val="20"/>
        </w:rPr>
        <w:t>•  Monitoring: Amazon CloudWatch, 15-minute metric resolution</w:t>
      </w:r>
    </w:p>
    <w:p>
      <w:pPr>
        <w:spacing w:before="0" w:after="40"/>
        <w:ind w:left="360"/>
        <w:jc w:val="left"/>
      </w:pPr>
      <w:r>
        <w:rPr>
          <w:rFonts w:ascii="Times New Roman" w:hAnsi="Times New Roman"/>
          <w:b w:val="0"/>
          <w:i w:val="0"/>
          <w:sz w:val="20"/>
        </w:rPr>
        <w:t>•  Experiment Duration: 2-hour sessions producing ~700 DynamoDB records; 3 Lambda functions under test</w:t>
      </w:r>
    </w:p>
    <w:p>
      <w:pPr>
        <w:spacing w:before="100" w:after="40"/>
        <w:jc w:val="left"/>
      </w:pPr>
      <w:r>
        <w:rPr>
          <w:rFonts w:ascii="Times New Roman" w:hAnsi="Times New Roman"/>
          <w:b/>
          <w:i/>
          <w:sz w:val="20"/>
        </w:rPr>
        <w:t>B. Workload Characterization</w:t>
      </w:r>
    </w:p>
    <w:p>
      <w:pPr>
        <w:spacing w:before="0" w:after="120"/>
        <w:jc w:val="both"/>
      </w:pPr>
      <w:r>
        <w:rPr>
          <w:rFonts w:ascii="Times New Roman" w:hAnsi="Times New Roman"/>
          <w:b w:val="0"/>
          <w:i w:val="0"/>
          <w:sz w:val="20"/>
        </w:rPr>
        <w:t>The synthetic workload was designed to match the statistical properties of the Microsoft Azure Functions public dataset [16] along three dimensions: (1) temporal distribution with 70% of requests in high-risk windows; (2) user behavior with 75% returning users, 25% new users, 65% mobile devices; and (3) traffic intensity of mean 0.43 during business hours and 0.08 during off-hours.</w:t>
      </w:r>
    </w:p>
    <w:p>
      <w:pPr>
        <w:spacing w:before="100" w:after="40"/>
        <w:jc w:val="left"/>
      </w:pPr>
      <w:r>
        <w:rPr>
          <w:rFonts w:ascii="Times New Roman" w:hAnsi="Times New Roman"/>
          <w:b/>
          <w:i/>
          <w:sz w:val="20"/>
        </w:rPr>
        <w:t>C. Baseline Comparisons</w:t>
      </w:r>
    </w:p>
    <w:p>
      <w:pPr>
        <w:spacing w:before="0" w:after="40"/>
        <w:ind w:left="360"/>
        <w:jc w:val="left"/>
      </w:pPr>
      <w:r>
        <w:rPr>
          <w:rFonts w:ascii="Times New Roman" w:hAnsi="Times New Roman"/>
          <w:b w:val="0"/>
          <w:i w:val="0"/>
          <w:sz w:val="20"/>
        </w:rPr>
        <w:t>•  Native Platform: No warming; all cold starts occur naturally, measured from DynamoDB cold start labels.</w:t>
      </w:r>
    </w:p>
    <w:p>
      <w:pPr>
        <w:spacing w:before="0" w:after="40"/>
        <w:ind w:left="360"/>
        <w:jc w:val="left"/>
      </w:pPr>
      <w:r>
        <w:rPr>
          <w:rFonts w:ascii="Times New Roman" w:hAnsi="Times New Roman"/>
          <w:b w:val="0"/>
          <w:i w:val="0"/>
          <w:sz w:val="20"/>
        </w:rPr>
        <w:t>•  Single-Source ML (S-S ML): XGBoost trained only on temporal features (HoD, DoW, is_business_hours) without user behavior or traffic intensity.</w:t>
      </w:r>
    </w:p>
    <w:p>
      <w:pPr>
        <w:spacing w:before="0" w:after="40"/>
        <w:ind w:left="360"/>
        <w:jc w:val="left"/>
      </w:pPr>
      <w:r>
        <w:rPr>
          <w:rFonts w:ascii="Times New Roman" w:hAnsi="Times New Roman"/>
          <w:b w:val="0"/>
          <w:i w:val="0"/>
          <w:sz w:val="20"/>
        </w:rPr>
        <w:t>•  Priority-Based Heuristic (P-B Heuristic): Warm all functions if request count exceeds 20 in the last 15 minutes, without ML prediction or confidence gating.</w:t>
      </w:r>
    </w:p>
    <w:p>
      <w:pPr>
        <w:spacing w:before="100" w:after="40"/>
        <w:jc w:val="left"/>
      </w:pPr>
      <w:r>
        <w:rPr>
          <w:rFonts w:ascii="Times New Roman" w:hAnsi="Times New Roman"/>
          <w:b/>
          <w:i/>
          <w:sz w:val="20"/>
        </w:rPr>
        <w:t>D. Evaluation Metrics</w:t>
      </w:r>
    </w:p>
    <w:p>
      <w:pPr>
        <w:spacing w:before="0" w:after="40"/>
        <w:ind w:left="360"/>
        <w:jc w:val="left"/>
      </w:pPr>
      <w:r>
        <w:rPr>
          <w:rFonts w:ascii="Times New Roman" w:hAnsi="Times New Roman"/>
          <w:b w:val="0"/>
          <w:i w:val="0"/>
          <w:sz w:val="20"/>
        </w:rPr>
        <w:t>•  Cold Start Reduction (R_CS): Percentage reduction in cold start events vs. native baseline</w:t>
      </w:r>
    </w:p>
    <w:p>
      <w:pPr>
        <w:spacing w:before="0" w:after="40"/>
        <w:ind w:left="360"/>
        <w:jc w:val="left"/>
      </w:pPr>
      <w:r>
        <w:rPr>
          <w:rFonts w:ascii="Times New Roman" w:hAnsi="Times New Roman"/>
          <w:b w:val="0"/>
          <w:i w:val="0"/>
          <w:sz w:val="20"/>
        </w:rPr>
        <w:t>•  F1 Score: Weighted F1 on held-out 20% validation split</w:t>
      </w:r>
    </w:p>
    <w:p>
      <w:pPr>
        <w:spacing w:before="0" w:after="40"/>
        <w:ind w:left="360"/>
        <w:jc w:val="left"/>
      </w:pPr>
      <w:r>
        <w:rPr>
          <w:rFonts w:ascii="Times New Roman" w:hAnsi="Times New Roman"/>
          <w:b w:val="0"/>
          <w:i w:val="0"/>
          <w:sz w:val="20"/>
        </w:rPr>
        <w:t>•  Purity of Warming (P_W): Fraction of warming invocations that were necessary (TP / total warming invocations)</w:t>
      </w:r>
    </w:p>
    <w:p>
      <w:pPr>
        <w:spacing w:before="0" w:after="40"/>
        <w:ind w:left="360"/>
        <w:jc w:val="left"/>
      </w:pPr>
      <w:r>
        <w:rPr>
          <w:rFonts w:ascii="Times New Roman" w:hAnsi="Times New Roman"/>
          <w:b w:val="0"/>
          <w:i w:val="0"/>
          <w:sz w:val="20"/>
        </w:rPr>
        <w:t>•  P95 / P99 Latency: 95th and 99th percentile response times from DynamoDB duration records</w:t>
      </w:r>
    </w:p>
    <w:p>
      <w:pPr>
        <w:spacing w:before="0" w:after="40"/>
        <w:ind w:left="360"/>
        <w:jc w:val="left"/>
      </w:pPr>
      <w:r>
        <w:rPr>
          <w:rFonts w:ascii="Times New Roman" w:hAnsi="Times New Roman"/>
          <w:b w:val="0"/>
          <w:i w:val="0"/>
          <w:sz w:val="20"/>
        </w:rPr>
        <w:t>•  Cost Efficiency (%R_Cost): Reduction in total operational cost vs. native baseline</w:t>
      </w:r>
    </w:p>
    <w:p/>
    <w:p>
      <w:pPr>
        <w:spacing w:before="160" w:after="60"/>
        <w:jc w:val="left"/>
      </w:pPr>
      <w:r>
        <w:rPr>
          <w:rFonts w:ascii="Times New Roman" w:hAnsi="Times New Roman"/>
          <w:b/>
          <w:i w:val="0"/>
          <w:sz w:val="20"/>
        </w:rPr>
        <w:t>VIII. RESULTS AND DETAILED ANALYSIS</w:t>
      </w:r>
    </w:p>
    <w:p>
      <w:pPr>
        <w:spacing w:before="100" w:after="40"/>
        <w:jc w:val="left"/>
      </w:pPr>
      <w:r>
        <w:rPr>
          <w:rFonts w:ascii="Times New Roman" w:hAnsi="Times New Roman"/>
          <w:b/>
          <w:i/>
          <w:sz w:val="20"/>
        </w:rPr>
        <w:t>A. Prediction Accuracy and Cold Start Mitigation</w:t>
      </w:r>
    </w:p>
    <w:p>
      <w:pPr>
        <w:spacing w:before="0" w:after="80"/>
        <w:jc w:val="both"/>
      </w:pPr>
      <w:r>
        <w:rPr>
          <w:rFonts w:ascii="Times New Roman" w:hAnsi="Times New Roman"/>
          <w:b w:val="0"/>
          <w:i w:val="0"/>
          <w:sz w:val="20"/>
        </w:rPr>
        <w:t>Table I presents the comparative performance metrics across all evaluated systems.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b/>
                <w:sz w:val="18"/>
              </w:rPr>
              <w:t>Metric</w:t>
            </w:r>
          </w:p>
        </w:tc>
        <w:tc>
          <w:tcPr>
            <w:tcW w:type="dxa" w:w="2016"/>
          </w:tcPr>
          <w:p>
            <w:pPr>
              <w:jc w:val="center"/>
            </w:pPr>
            <w:r>
              <w:rPr>
                <w:b/>
                <w:sz w:val="18"/>
              </w:rPr>
              <w:t>Native</w:t>
            </w:r>
          </w:p>
        </w:tc>
        <w:tc>
          <w:tcPr>
            <w:tcW w:type="dxa" w:w="2016"/>
          </w:tcPr>
          <w:p>
            <w:pPr>
              <w:jc w:val="center"/>
            </w:pPr>
            <w:r>
              <w:rPr>
                <w:b/>
                <w:sz w:val="18"/>
              </w:rPr>
              <w:t>S-S ML</w:t>
            </w:r>
          </w:p>
        </w:tc>
        <w:tc>
          <w:tcPr>
            <w:tcW w:type="dxa" w:w="2016"/>
          </w:tcPr>
          <w:p>
            <w:pPr>
              <w:jc w:val="center"/>
            </w:pPr>
            <w:r>
              <w:rPr>
                <w:b/>
                <w:sz w:val="18"/>
              </w:rPr>
              <w:t>P-B Heuristic</w:t>
            </w:r>
          </w:p>
        </w:tc>
        <w:tc>
          <w:tcPr>
            <w:tcW w:type="dxa" w:w="2016"/>
          </w:tcPr>
          <w:p>
            <w:pPr>
              <w:jc w:val="center"/>
            </w:pPr>
            <w:r>
              <w:rPr>
                <w:b/>
                <w:sz w:val="18"/>
              </w:rPr>
              <w:t>COLDSTART</w:t>
            </w:r>
          </w:p>
        </w:tc>
      </w:tr>
      <w:tr>
        <w:tc>
          <w:tcPr>
            <w:tcW w:type="dxa" w:w="2016"/>
          </w:tcPr>
          <w:p>
            <w:r>
              <w:rPr>
                <w:sz w:val="18"/>
              </w:rPr>
              <w:t>R_CS (Cold Start Reduction)</w:t>
            </w:r>
          </w:p>
        </w:tc>
        <w:tc>
          <w:tcPr>
            <w:tcW w:type="dxa" w:w="2016"/>
          </w:tcPr>
          <w:p>
            <w:r>
              <w:rPr>
                <w:sz w:val="18"/>
              </w:rPr>
              <w:t>0%</w:t>
            </w:r>
          </w:p>
        </w:tc>
        <w:tc>
          <w:tcPr>
            <w:tcW w:type="dxa" w:w="2016"/>
          </w:tcPr>
          <w:p>
            <w:r>
              <w:rPr>
                <w:sz w:val="18"/>
              </w:rPr>
              <w:t>35.4%</w:t>
            </w:r>
          </w:p>
        </w:tc>
        <w:tc>
          <w:tcPr>
            <w:tcW w:type="dxa" w:w="2016"/>
          </w:tcPr>
          <w:p>
            <w:r>
              <w:rPr>
                <w:sz w:val="18"/>
              </w:rPr>
              <w:t>48.2%</w:t>
            </w:r>
          </w:p>
        </w:tc>
        <w:tc>
          <w:tcPr>
            <w:tcW w:type="dxa" w:w="2016"/>
          </w:tcPr>
          <w:p>
            <w:r>
              <w:rPr>
                <w:b/>
                <w:sz w:val="18"/>
              </w:rPr>
              <w:t>58.7%</w:t>
            </w:r>
          </w:p>
        </w:tc>
      </w:tr>
      <w:tr>
        <w:tc>
          <w:tcPr>
            <w:tcW w:type="dxa" w:w="2016"/>
          </w:tcPr>
          <w:p>
            <w:r>
              <w:rPr>
                <w:sz w:val="18"/>
              </w:rPr>
              <w:t>F1 Accuracy</w:t>
            </w:r>
          </w:p>
        </w:tc>
        <w:tc>
          <w:tcPr>
            <w:tcW w:type="dxa" w:w="2016"/>
          </w:tcPr>
          <w:p>
            <w:r>
              <w:rPr>
                <w:sz w:val="18"/>
              </w:rPr>
              <w:t>N/A</w:t>
            </w:r>
          </w:p>
        </w:tc>
        <w:tc>
          <w:tcPr>
            <w:tcW w:type="dxa" w:w="2016"/>
          </w:tcPr>
          <w:p>
            <w:r>
              <w:rPr>
                <w:sz w:val="18"/>
              </w:rPr>
              <w:t>71.5%</w:t>
            </w:r>
          </w:p>
        </w:tc>
        <w:tc>
          <w:tcPr>
            <w:tcW w:type="dxa" w:w="2016"/>
          </w:tcPr>
          <w:p>
            <w:r>
              <w:rPr>
                <w:sz w:val="18"/>
              </w:rPr>
              <w:t>76.3%</w:t>
            </w:r>
          </w:p>
        </w:tc>
        <w:tc>
          <w:tcPr>
            <w:tcW w:type="dxa" w:w="2016"/>
          </w:tcPr>
          <w:p>
            <w:r>
              <w:rPr>
                <w:b/>
                <w:sz w:val="18"/>
              </w:rPr>
              <w:t>94.2%</w:t>
            </w:r>
          </w:p>
        </w:tc>
      </w:tr>
      <w:tr>
        <w:tc>
          <w:tcPr>
            <w:tcW w:type="dxa" w:w="2016"/>
          </w:tcPr>
          <w:p>
            <w:r>
              <w:rPr>
                <w:sz w:val="18"/>
              </w:rPr>
              <w:t>P95 Latency (ms)</w:t>
            </w:r>
          </w:p>
        </w:tc>
        <w:tc>
          <w:tcPr>
            <w:tcW w:type="dxa" w:w="2016"/>
          </w:tcPr>
          <w:p>
            <w:r>
              <w:rPr>
                <w:sz w:val="18"/>
              </w:rPr>
              <w:t>450</w:t>
            </w:r>
          </w:p>
        </w:tc>
        <w:tc>
          <w:tcPr>
            <w:tcW w:type="dxa" w:w="2016"/>
          </w:tcPr>
          <w:p>
            <w:r>
              <w:rPr>
                <w:sz w:val="18"/>
              </w:rPr>
              <w:t>312</w:t>
            </w:r>
          </w:p>
        </w:tc>
        <w:tc>
          <w:tcPr>
            <w:tcW w:type="dxa" w:w="2016"/>
          </w:tcPr>
          <w:p>
            <w:r>
              <w:rPr>
                <w:sz w:val="18"/>
              </w:rPr>
              <w:t>268</w:t>
            </w:r>
          </w:p>
        </w:tc>
        <w:tc>
          <w:tcPr>
            <w:tcW w:type="dxa" w:w="2016"/>
          </w:tcPr>
          <w:p>
            <w:r>
              <w:rPr>
                <w:b/>
                <w:sz w:val="18"/>
              </w:rPr>
              <w:t>187</w:t>
            </w:r>
          </w:p>
        </w:tc>
      </w:tr>
      <w:tr>
        <w:tc>
          <w:tcPr>
            <w:tcW w:type="dxa" w:w="2016"/>
          </w:tcPr>
          <w:p>
            <w:r>
              <w:rPr>
                <w:sz w:val="18"/>
              </w:rPr>
              <w:t>P99 Latency (ms)</w:t>
            </w:r>
          </w:p>
        </w:tc>
        <w:tc>
          <w:tcPr>
            <w:tcW w:type="dxa" w:w="2016"/>
          </w:tcPr>
          <w:p>
            <w:r>
              <w:rPr>
                <w:sz w:val="18"/>
              </w:rPr>
              <w:t>1,100</w:t>
            </w:r>
          </w:p>
        </w:tc>
        <w:tc>
          <w:tcPr>
            <w:tcW w:type="dxa" w:w="2016"/>
          </w:tcPr>
          <w:p>
            <w:r>
              <w:rPr>
                <w:sz w:val="18"/>
              </w:rPr>
              <w:t>720</w:t>
            </w:r>
          </w:p>
        </w:tc>
        <w:tc>
          <w:tcPr>
            <w:tcW w:type="dxa" w:w="2016"/>
          </w:tcPr>
          <w:p>
            <w:r>
              <w:rPr>
                <w:sz w:val="18"/>
              </w:rPr>
              <w:t>490</w:t>
            </w:r>
          </w:p>
        </w:tc>
        <w:tc>
          <w:tcPr>
            <w:tcW w:type="dxa" w:w="2016"/>
          </w:tcPr>
          <w:p>
            <w:r>
              <w:rPr>
                <w:b/>
                <w:sz w:val="18"/>
              </w:rPr>
              <w:t>310</w:t>
            </w:r>
          </w:p>
        </w:tc>
      </w:tr>
      <w:tr>
        <w:tc>
          <w:tcPr>
            <w:tcW w:type="dxa" w:w="2016"/>
          </w:tcPr>
          <w:p>
            <w:r>
              <w:rPr>
                <w:sz w:val="18"/>
              </w:rPr>
              <w:t>Purity of Warming (P_W)</w:t>
            </w:r>
          </w:p>
        </w:tc>
        <w:tc>
          <w:tcPr>
            <w:tcW w:type="dxa" w:w="2016"/>
          </w:tcPr>
          <w:p>
            <w:r>
              <w:rPr>
                <w:sz w:val="18"/>
              </w:rPr>
              <w:t>N/A</w:t>
            </w:r>
          </w:p>
        </w:tc>
        <w:tc>
          <w:tcPr>
            <w:tcW w:type="dxa" w:w="2016"/>
          </w:tcPr>
          <w:p>
            <w:r>
              <w:rPr>
                <w:sz w:val="18"/>
              </w:rPr>
              <w:t>58.3%</w:t>
            </w:r>
          </w:p>
        </w:tc>
        <w:tc>
          <w:tcPr>
            <w:tcW w:type="dxa" w:w="2016"/>
          </w:tcPr>
          <w:p>
            <w:r>
              <w:rPr>
                <w:sz w:val="18"/>
              </w:rPr>
              <w:t>64.1%</w:t>
            </w:r>
          </w:p>
        </w:tc>
        <w:tc>
          <w:tcPr>
            <w:tcW w:type="dxa" w:w="2016"/>
          </w:tcPr>
          <w:p>
            <w:r>
              <w:rPr>
                <w:b/>
                <w:sz w:val="18"/>
              </w:rPr>
              <w:t>85.7%</w:t>
            </w:r>
          </w:p>
        </w:tc>
      </w:tr>
      <w:tr>
        <w:tc>
          <w:tcPr>
            <w:tcW w:type="dxa" w:w="2016"/>
          </w:tcPr>
          <w:p>
            <w:r>
              <w:rPr>
                <w:sz w:val="18"/>
              </w:rPr>
              <w:t>%R_Cost (Cost Efficiency)</w:t>
            </w:r>
          </w:p>
        </w:tc>
        <w:tc>
          <w:tcPr>
            <w:tcW w:type="dxa" w:w="2016"/>
          </w:tcPr>
          <w:p>
            <w:r>
              <w:rPr>
                <w:sz w:val="18"/>
              </w:rPr>
              <w:t>0%</w:t>
            </w:r>
          </w:p>
        </w:tc>
        <w:tc>
          <w:tcPr>
            <w:tcW w:type="dxa" w:w="2016"/>
          </w:tcPr>
          <w:p>
            <w:r>
              <w:rPr>
                <w:sz w:val="18"/>
              </w:rPr>
              <w:t>−9.2% (loss)</w:t>
            </w:r>
          </w:p>
        </w:tc>
        <w:tc>
          <w:tcPr>
            <w:tcW w:type="dxa" w:w="2016"/>
          </w:tcPr>
          <w:p>
            <w:r>
              <w:rPr>
                <w:sz w:val="18"/>
              </w:rPr>
              <w:t>19.4%</w:t>
            </w:r>
          </w:p>
        </w:tc>
        <w:tc>
          <w:tcPr>
            <w:tcW w:type="dxa" w:w="2016"/>
          </w:tcPr>
          <w:p>
            <w:r>
              <w:rPr>
                <w:b/>
                <w:sz w:val="18"/>
              </w:rPr>
              <w:t>34.8%</w:t>
            </w:r>
          </w:p>
        </w:tc>
      </w:tr>
      <w:tr>
        <w:tc>
          <w:tcPr>
            <w:tcW w:type="dxa" w:w="2016"/>
          </w:tcPr>
          <w:p>
            <w:r>
              <w:rPr>
                <w:sz w:val="18"/>
              </w:rPr>
              <w:t>Warming Success Rate</w:t>
            </w:r>
          </w:p>
        </w:tc>
        <w:tc>
          <w:tcPr>
            <w:tcW w:type="dxa" w:w="2016"/>
          </w:tcPr>
          <w:p>
            <w:r>
              <w:rPr>
                <w:sz w:val="18"/>
              </w:rPr>
              <w:t>N/A</w:t>
            </w:r>
          </w:p>
        </w:tc>
        <w:tc>
          <w:tcPr>
            <w:tcW w:type="dxa" w:w="2016"/>
          </w:tcPr>
          <w:p>
            <w:r>
              <w:rPr>
                <w:sz w:val="18"/>
              </w:rPr>
              <w:t>N/A</w:t>
            </w:r>
          </w:p>
        </w:tc>
        <w:tc>
          <w:tcPr>
            <w:tcW w:type="dxa" w:w="2016"/>
          </w:tcPr>
          <w:p>
            <w:r>
              <w:rPr>
                <w:sz w:val="18"/>
              </w:rPr>
              <w:t>N/A</w:t>
            </w:r>
          </w:p>
        </w:tc>
        <w:tc>
          <w:tcPr>
            <w:tcW w:type="dxa" w:w="2016"/>
          </w:tcPr>
          <w:p>
            <w:r>
              <w:rPr>
                <w:b/>
                <w:sz w:val="18"/>
              </w:rPr>
              <w:t>100%</w:t>
            </w:r>
          </w:p>
        </w:tc>
      </w:tr>
    </w:tbl>
    <w:p>
      <w:pPr>
        <w:spacing w:before="60" w:after="120"/>
        <w:jc w:val="center"/>
      </w:pPr>
      <w:r>
        <w:rPr>
          <w:rFonts w:ascii="Times New Roman" w:hAnsi="Times New Roman"/>
          <w:b w:val="0"/>
          <w:i/>
          <w:sz w:val="20"/>
        </w:rPr>
        <w:t>Table I. Comparative Performance and Cost Metrics (AWS Production Deployment).</w:t>
      </w:r>
    </w:p>
    <w:p>
      <w:pPr>
        <w:spacing w:before="0" w:after="120"/>
        <w:jc w:val="both"/>
      </w:pPr>
      <w:r>
        <w:rPr>
          <w:rFonts w:ascii="Times New Roman" w:hAnsi="Times New Roman"/>
          <w:b w:val="0"/>
          <w:i w:val="0"/>
          <w:sz w:val="20"/>
        </w:rPr>
        <w:t>The 94.2% F1 accuracy of COLDSTART represents a 22.7 percentage point improvement over S-S ML, validating the hypothesis that multi-modal feature fusion provides significant predictive advantage. This directly translates into a 58.7% cold start reduction. The P95 latency of 187 ms falls within the typical 200 ms SLO target, while the S-S ML baseline incurs a 9.2% financial loss due to its high false positive rate (41.7%).</w:t>
      </w:r>
    </w:p>
    <w:p>
      <w:pPr>
        <w:spacing w:before="100" w:after="40"/>
        <w:jc w:val="left"/>
      </w:pPr>
      <w:r>
        <w:rPr>
          <w:rFonts w:ascii="Times New Roman" w:hAnsi="Times New Roman"/>
          <w:b/>
          <w:i/>
          <w:sz w:val="20"/>
        </w:rPr>
        <w:t>B. Ablation Study: Multi-Modal Fusion Impact</w:t>
      </w:r>
    </w:p>
    <w:p>
      <w:pPr>
        <w:spacing w:before="0" w:after="80"/>
        <w:jc w:val="both"/>
      </w:pPr>
      <w:r>
        <w:rPr>
          <w:rFonts w:ascii="Times New Roman" w:hAnsi="Times New Roman"/>
          <w:b w:val="0"/>
          <w:i w:val="0"/>
          <w:sz w:val="20"/>
        </w:rPr>
        <w:t>Table III quantifies the incremental contribution of each feature modality: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8"/>
              </w:rPr>
              <w:t>Feature Set</w:t>
            </w:r>
          </w:p>
        </w:tc>
        <w:tc>
          <w:tcPr>
            <w:tcW w:type="dxa" w:w="3360"/>
          </w:tcPr>
          <w:p>
            <w:r>
              <w:rPr>
                <w:b/>
                <w:sz w:val="18"/>
              </w:rPr>
              <w:t>F1 Score</w:t>
            </w:r>
          </w:p>
        </w:tc>
        <w:tc>
          <w:tcPr>
            <w:tcW w:type="dxa" w:w="3360"/>
          </w:tcPr>
          <w:p>
            <w:r>
              <w:rPr>
                <w:b/>
                <w:sz w:val="18"/>
              </w:rPr>
              <w:t>Cold Start Reduction</w:t>
            </w:r>
          </w:p>
        </w:tc>
      </w:tr>
      <w:tr>
        <w:tc>
          <w:tcPr>
            <w:tcW w:type="dxa" w:w="3360"/>
          </w:tcPr>
          <w:p>
            <w:r>
              <w:rPr>
                <w:sz w:val="18"/>
              </w:rPr>
              <w:t>F_TEMP only (HoD, DoW, is_biz)</w:t>
            </w:r>
          </w:p>
        </w:tc>
        <w:tc>
          <w:tcPr>
            <w:tcW w:type="dxa" w:w="3360"/>
          </w:tcPr>
          <w:p>
            <w:r>
              <w:rPr>
                <w:sz w:val="18"/>
              </w:rPr>
              <w:t>71.5%</w:t>
            </w:r>
          </w:p>
        </w:tc>
        <w:tc>
          <w:tcPr>
            <w:tcW w:type="dxa" w:w="3360"/>
          </w:tcPr>
          <w:p>
            <w:r>
              <w:rPr>
                <w:sz w:val="18"/>
              </w:rPr>
              <w:t>35.4%</w:t>
            </w:r>
          </w:p>
        </w:tc>
      </w:tr>
      <w:tr>
        <w:tc>
          <w:tcPr>
            <w:tcW w:type="dxa" w:w="3360"/>
          </w:tcPr>
          <w:p>
            <w:r>
              <w:rPr>
                <w:sz w:val="18"/>
              </w:rPr>
              <w:t>+ F_USER (new/mobile ratio)</w:t>
            </w:r>
          </w:p>
        </w:tc>
        <w:tc>
          <w:tcPr>
            <w:tcW w:type="dxa" w:w="3360"/>
          </w:tcPr>
          <w:p>
            <w:r>
              <w:rPr>
                <w:sz w:val="18"/>
              </w:rPr>
              <w:t>79.8%</w:t>
            </w:r>
          </w:p>
        </w:tc>
        <w:tc>
          <w:tcPr>
            <w:tcW w:type="dxa" w:w="3360"/>
          </w:tcPr>
          <w:p>
            <w:r>
              <w:rPr>
                <w:sz w:val="18"/>
              </w:rPr>
              <w:t>44.1%</w:t>
            </w:r>
          </w:p>
        </w:tc>
      </w:tr>
      <w:tr>
        <w:tc>
          <w:tcPr>
            <w:tcW w:type="dxa" w:w="3360"/>
          </w:tcPr>
          <w:p>
            <w:r>
              <w:rPr>
                <w:sz w:val="18"/>
              </w:rPr>
              <w:t>+ F_SYS (traffic intensity)</w:t>
            </w:r>
          </w:p>
        </w:tc>
        <w:tc>
          <w:tcPr>
            <w:tcW w:type="dxa" w:w="3360"/>
          </w:tcPr>
          <w:p>
            <w:r>
              <w:rPr>
                <w:sz w:val="18"/>
              </w:rPr>
              <w:t>86.3%</w:t>
            </w:r>
          </w:p>
        </w:tc>
        <w:tc>
          <w:tcPr>
            <w:tcW w:type="dxa" w:w="3360"/>
          </w:tcPr>
          <w:p>
            <w:r>
              <w:rPr>
                <w:sz w:val="18"/>
              </w:rPr>
              <w:t>51.8%</w:t>
            </w:r>
          </w:p>
        </w:tc>
      </w:tr>
      <w:tr>
        <w:tc>
          <w:tcPr>
            <w:tcW w:type="dxa" w:w="3360"/>
          </w:tcPr>
          <w:p>
            <w:r>
              <w:rPr>
                <w:b/>
                <w:sz w:val="18"/>
              </w:rPr>
              <w:t>Full ensemble (all features)</w:t>
            </w:r>
          </w:p>
        </w:tc>
        <w:tc>
          <w:tcPr>
            <w:tcW w:type="dxa" w:w="3360"/>
          </w:tcPr>
          <w:p>
            <w:r>
              <w:rPr>
                <w:b/>
                <w:sz w:val="18"/>
              </w:rPr>
              <w:t>94.2%</w:t>
            </w:r>
          </w:p>
        </w:tc>
        <w:tc>
          <w:tcPr>
            <w:tcW w:type="dxa" w:w="3360"/>
          </w:tcPr>
          <w:p>
            <w:r>
              <w:rPr>
                <w:b/>
                <w:sz w:val="18"/>
              </w:rPr>
              <w:t>58.7%</w:t>
            </w:r>
          </w:p>
        </w:tc>
      </w:tr>
    </w:tbl>
    <w:p>
      <w:pPr>
        <w:spacing w:before="60" w:after="120"/>
        <w:jc w:val="center"/>
      </w:pPr>
      <w:r>
        <w:rPr>
          <w:rFonts w:ascii="Times New Roman" w:hAnsi="Times New Roman"/>
          <w:b w:val="0"/>
          <w:i/>
          <w:sz w:val="20"/>
        </w:rPr>
        <w:t>Table III. Ablation Study: Incremental Feature Modality Contribution.</w:t>
      </w:r>
    </w:p>
    <w:p>
      <w:pPr>
        <w:spacing w:before="100" w:after="40"/>
        <w:jc w:val="left"/>
      </w:pPr>
      <w:r>
        <w:rPr>
          <w:rFonts w:ascii="Times New Roman" w:hAnsi="Times New Roman"/>
          <w:b/>
          <w:i/>
          <w:sz w:val="20"/>
        </w:rPr>
        <w:t>C. Feature Importance Analysis</w:t>
      </w:r>
    </w:p>
    <w:p>
      <w:pPr>
        <w:spacing w:before="0" w:after="80"/>
        <w:jc w:val="both"/>
      </w:pPr>
      <w:r>
        <w:rPr>
          <w:rFonts w:ascii="Times New Roman" w:hAnsi="Times New Roman"/>
          <w:b w:val="0"/>
          <w:i w:val="0"/>
          <w:sz w:val="20"/>
        </w:rPr>
        <w:t>Fig. 3 presents the top-9 feature importance scores (Gain metric) from the XGBoost component of the EPE: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8"/>
              </w:rPr>
              <w:t>Feature</w:t>
            </w:r>
          </w:p>
        </w:tc>
        <w:tc>
          <w:tcPr>
            <w:tcW w:type="dxa" w:w="5040"/>
          </w:tcPr>
          <w:p>
            <w:r>
              <w:rPr>
                <w:b/>
                <w:sz w:val="18"/>
              </w:rPr>
              <w:t>Importance Score (Gain)</w:t>
            </w:r>
          </w:p>
        </w:tc>
      </w:tr>
      <w:tr>
        <w:tc>
          <w:tcPr>
            <w:tcW w:type="dxa" w:w="5040"/>
          </w:tcPr>
          <w:p>
            <w:r>
              <w:rPr>
                <w:sz w:val="18"/>
              </w:rPr>
              <w:t>traffic_intensity (F_SYS)</w:t>
            </w:r>
          </w:p>
        </w:tc>
        <w:tc>
          <w:tcPr>
            <w:tcW w:type="dxa" w:w="5040"/>
          </w:tcPr>
          <w:p>
            <w:r>
              <w:rPr>
                <w:sz w:val="18"/>
              </w:rPr>
              <w:t>2244</w:t>
            </w:r>
          </w:p>
        </w:tc>
      </w:tr>
      <w:tr>
        <w:tc>
          <w:tcPr>
            <w:tcW w:type="dxa" w:w="5040"/>
          </w:tcPr>
          <w:p>
            <w:r>
              <w:rPr>
                <w:sz w:val="18"/>
              </w:rPr>
              <w:t>user_type_new (F_USER)</w:t>
            </w:r>
          </w:p>
        </w:tc>
        <w:tc>
          <w:tcPr>
            <w:tcW w:type="dxa" w:w="5040"/>
          </w:tcPr>
          <w:p>
            <w:r>
              <w:rPr>
                <w:sz w:val="18"/>
              </w:rPr>
              <w:t>1188</w:t>
            </w:r>
          </w:p>
        </w:tc>
      </w:tr>
      <w:tr>
        <w:tc>
          <w:tcPr>
            <w:tcW w:type="dxa" w:w="5040"/>
          </w:tcPr>
          <w:p>
            <w:r>
              <w:rPr>
                <w:sz w:val="18"/>
              </w:rPr>
              <w:t>hour_of_day (F_TEMP)</w:t>
            </w:r>
          </w:p>
        </w:tc>
        <w:tc>
          <w:tcPr>
            <w:tcW w:type="dxa" w:w="5040"/>
          </w:tcPr>
          <w:p>
            <w:r>
              <w:rPr>
                <w:sz w:val="18"/>
              </w:rPr>
              <w:t>1111</w:t>
            </w:r>
          </w:p>
        </w:tc>
      </w:tr>
      <w:tr>
        <w:tc>
          <w:tcPr>
            <w:tcW w:type="dxa" w:w="5040"/>
          </w:tcPr>
          <w:p>
            <w:r>
              <w:rPr>
                <w:sz w:val="18"/>
              </w:rPr>
              <w:t>is_business_hours (F_TEMP)</w:t>
            </w:r>
          </w:p>
        </w:tc>
        <w:tc>
          <w:tcPr>
            <w:tcW w:type="dxa" w:w="5040"/>
          </w:tcPr>
          <w:p>
            <w:r>
              <w:rPr>
                <w:sz w:val="18"/>
              </w:rPr>
              <w:t>942</w:t>
            </w:r>
          </w:p>
        </w:tc>
      </w:tr>
      <w:tr>
        <w:tc>
          <w:tcPr>
            <w:tcW w:type="dxa" w:w="5040"/>
          </w:tcPr>
          <w:p>
            <w:r>
              <w:rPr>
                <w:sz w:val="18"/>
              </w:rPr>
              <w:t>device_mobile (F_USER)</w:t>
            </w:r>
          </w:p>
        </w:tc>
        <w:tc>
          <w:tcPr>
            <w:tcW w:type="dxa" w:w="5040"/>
          </w:tcPr>
          <w:p>
            <w:r>
              <w:rPr>
                <w:sz w:val="18"/>
              </w:rPr>
              <w:t>894</w:t>
            </w:r>
          </w:p>
        </w:tc>
      </w:tr>
      <w:tr>
        <w:tc>
          <w:tcPr>
            <w:tcW w:type="dxa" w:w="5040"/>
          </w:tcPr>
          <w:p>
            <w:r>
              <w:rPr>
                <w:sz w:val="18"/>
              </w:rPr>
              <w:t>day_of_week (F_TEMP)</w:t>
            </w:r>
          </w:p>
        </w:tc>
        <w:tc>
          <w:tcPr>
            <w:tcW w:type="dxa" w:w="5040"/>
          </w:tcPr>
          <w:p>
            <w:r>
              <w:rPr>
                <w:sz w:val="18"/>
              </w:rPr>
              <w:t>441</w:t>
            </w:r>
          </w:p>
        </w:tc>
      </w:tr>
      <w:tr>
        <w:tc>
          <w:tcPr>
            <w:tcW w:type="dxa" w:w="5040"/>
          </w:tcPr>
          <w:p>
            <w:r>
              <w:rPr>
                <w:sz w:val="18"/>
              </w:rPr>
              <w:t>endpoint_auth</w:t>
            </w:r>
          </w:p>
        </w:tc>
        <w:tc>
          <w:tcPr>
            <w:tcW w:type="dxa" w:w="5040"/>
          </w:tcPr>
          <w:p>
            <w:r>
              <w:rPr>
                <w:sz w:val="18"/>
              </w:rPr>
              <w:t>294</w:t>
            </w:r>
          </w:p>
        </w:tc>
      </w:tr>
      <w:tr>
        <w:tc>
          <w:tcPr>
            <w:tcW w:type="dxa" w:w="5040"/>
          </w:tcPr>
          <w:p>
            <w:r>
              <w:rPr>
                <w:sz w:val="18"/>
              </w:rPr>
              <w:t>endpoint_profile</w:t>
            </w:r>
          </w:p>
        </w:tc>
        <w:tc>
          <w:tcPr>
            <w:tcW w:type="dxa" w:w="5040"/>
          </w:tcPr>
          <w:p>
            <w:r>
              <w:rPr>
                <w:sz w:val="18"/>
              </w:rPr>
              <w:t>214</w:t>
            </w:r>
          </w:p>
        </w:tc>
      </w:tr>
      <w:tr>
        <w:tc>
          <w:tcPr>
            <w:tcW w:type="dxa" w:w="5040"/>
          </w:tcPr>
          <w:p>
            <w:r>
              <w:rPr>
                <w:sz w:val="18"/>
              </w:rPr>
              <w:t>endpoint_search</w:t>
            </w:r>
          </w:p>
        </w:tc>
        <w:tc>
          <w:tcPr>
            <w:tcW w:type="dxa" w:w="5040"/>
          </w:tcPr>
          <w:p>
            <w:r>
              <w:rPr>
                <w:sz w:val="18"/>
              </w:rPr>
              <w:t>143</w:t>
            </w:r>
          </w:p>
        </w:tc>
      </w:tr>
    </w:tbl>
    <w:p>
      <w:pPr>
        <w:spacing w:before="60" w:after="120"/>
        <w:jc w:val="center"/>
      </w:pPr>
      <w:r>
        <w:rPr>
          <w:rFonts w:ascii="Times New Roman" w:hAnsi="Times New Roman"/>
          <w:b w:val="0"/>
          <w:i/>
          <w:sz w:val="20"/>
        </w:rPr>
        <w:t>Fig. 3. Top-9 Feature Importance from the XGBoost Component (Gain metric). Traffic intensity and user behavior features rank highest, confirming the necessity of multi-modal fusion over temporal features alone.</w:t>
      </w:r>
    </w:p>
    <w:p>
      <w:pPr>
        <w:spacing w:before="100" w:after="40"/>
        <w:jc w:val="left"/>
      </w:pPr>
      <w:r>
        <w:rPr>
          <w:rFonts w:ascii="Times New Roman" w:hAnsi="Times New Roman"/>
          <w:b/>
          <w:i/>
          <w:sz w:val="20"/>
        </w:rPr>
        <w:t>D. Cold Start Rate Time-Series Analysis</w:t>
      </w:r>
    </w:p>
    <w:p>
      <w:pPr>
        <w:spacing w:before="0" w:after="80"/>
        <w:jc w:val="both"/>
      </w:pPr>
      <w:r>
        <w:rPr>
          <w:rFonts w:ascii="Times New Roman" w:hAnsi="Times New Roman"/>
          <w:b w:val="0"/>
          <w:i w:val="0"/>
          <w:sz w:val="20"/>
        </w:rPr>
        <w:t>Table IV illustrates the system's response to a cold start spike after a 1-hour idle period: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Window</w:t>
            </w:r>
          </w:p>
        </w:tc>
        <w:tc>
          <w:tcPr>
            <w:tcW w:type="dxa" w:w="2016"/>
          </w:tcPr>
          <w:p>
            <w:r>
              <w:rPr>
                <w:b/>
                <w:sz w:val="18"/>
              </w:rPr>
              <w:t>Requests</w:t>
            </w:r>
          </w:p>
        </w:tc>
        <w:tc>
          <w:tcPr>
            <w:tcW w:type="dxa" w:w="2016"/>
          </w:tcPr>
          <w:p>
            <w:r>
              <w:rPr>
                <w:b/>
                <w:sz w:val="18"/>
              </w:rPr>
              <w:t>Cold Starts</w:t>
            </w:r>
          </w:p>
        </w:tc>
        <w:tc>
          <w:tcPr>
            <w:tcW w:type="dxa" w:w="2016"/>
          </w:tcPr>
          <w:p>
            <w:r>
              <w:rPr>
                <w:b/>
                <w:sz w:val="18"/>
              </w:rPr>
              <w:t>Cold Rate</w:t>
            </w:r>
          </w:p>
        </w:tc>
        <w:tc>
          <w:tcPr>
            <w:tcW w:type="dxa" w:w="2016"/>
          </w:tcPr>
          <w:p>
            <w:r>
              <w:rPr>
                <w:b/>
                <w:sz w:val="18"/>
              </w:rPr>
              <w:t>CBW Action</w:t>
            </w:r>
          </w:p>
        </w:tc>
      </w:tr>
      <w:tr>
        <w:tc>
          <w:tcPr>
            <w:tcW w:type="dxa" w:w="2016"/>
          </w:tcPr>
          <w:p>
            <w:r>
              <w:rPr>
                <w:sz w:val="18"/>
              </w:rPr>
              <w:t>18:00–18:15</w:t>
            </w:r>
          </w:p>
        </w:tc>
        <w:tc>
          <w:tcPr>
            <w:tcW w:type="dxa" w:w="2016"/>
          </w:tcPr>
          <w:p>
            <w:r>
              <w:rPr>
                <w:sz w:val="18"/>
              </w:rPr>
              <w:t>183</w:t>
            </w:r>
          </w:p>
        </w:tc>
        <w:tc>
          <w:tcPr>
            <w:tcW w:type="dxa" w:w="2016"/>
          </w:tcPr>
          <w:p>
            <w:r>
              <w:rPr>
                <w:sz w:val="18"/>
              </w:rPr>
              <w:t>22</w:t>
            </w:r>
          </w:p>
        </w:tc>
        <w:tc>
          <w:tcPr>
            <w:tcW w:type="dxa" w:w="2016"/>
          </w:tcPr>
          <w:p>
            <w:r>
              <w:rPr>
                <w:sz w:val="18"/>
              </w:rPr>
              <w:t>12.0%</w:t>
            </w:r>
          </w:p>
        </w:tc>
        <w:tc>
          <w:tcPr>
            <w:tcW w:type="dxa" w:w="2016"/>
          </w:tcPr>
          <w:p>
            <w:r>
              <w:rPr>
                <w:sz w:val="18"/>
              </w:rPr>
              <w:t>SKIP</w:t>
            </w:r>
          </w:p>
        </w:tc>
      </w:tr>
      <w:tr>
        <w:tc>
          <w:tcPr>
            <w:tcW w:type="dxa" w:w="2016"/>
          </w:tcPr>
          <w:p>
            <w:r>
              <w:rPr>
                <w:sz w:val="18"/>
              </w:rPr>
              <w:t>18:15–18:30</w:t>
            </w:r>
          </w:p>
        </w:tc>
        <w:tc>
          <w:tcPr>
            <w:tcW w:type="dxa" w:w="2016"/>
          </w:tcPr>
          <w:p>
            <w:r>
              <w:rPr>
                <w:sz w:val="18"/>
              </w:rPr>
              <w:t>178</w:t>
            </w:r>
          </w:p>
        </w:tc>
        <w:tc>
          <w:tcPr>
            <w:tcW w:type="dxa" w:w="2016"/>
          </w:tcPr>
          <w:p>
            <w:r>
              <w:rPr>
                <w:sz w:val="18"/>
              </w:rPr>
              <w:t>19</w:t>
            </w:r>
          </w:p>
        </w:tc>
        <w:tc>
          <w:tcPr>
            <w:tcW w:type="dxa" w:w="2016"/>
          </w:tcPr>
          <w:p>
            <w:r>
              <w:rPr>
                <w:sz w:val="18"/>
              </w:rPr>
              <w:t>10.7%</w:t>
            </w:r>
          </w:p>
        </w:tc>
        <w:tc>
          <w:tcPr>
            <w:tcW w:type="dxa" w:w="2016"/>
          </w:tcPr>
          <w:p>
            <w:r>
              <w:rPr>
                <w:sz w:val="18"/>
              </w:rPr>
              <w:t>SKIP</w:t>
            </w:r>
          </w:p>
        </w:tc>
      </w:tr>
      <w:tr>
        <w:tc>
          <w:tcPr>
            <w:tcW w:type="dxa" w:w="2016"/>
          </w:tcPr>
          <w:p>
            <w:r>
              <w:rPr>
                <w:sz w:val="18"/>
              </w:rPr>
              <w:t>18:30–18:45</w:t>
            </w:r>
          </w:p>
        </w:tc>
        <w:tc>
          <w:tcPr>
            <w:tcW w:type="dxa" w:w="2016"/>
          </w:tcPr>
          <w:p>
            <w:r>
              <w:rPr>
                <w:sz w:val="18"/>
              </w:rPr>
              <w:t>181</w:t>
            </w:r>
          </w:p>
        </w:tc>
        <w:tc>
          <w:tcPr>
            <w:tcW w:type="dxa" w:w="2016"/>
          </w:tcPr>
          <w:p>
            <w:r>
              <w:rPr>
                <w:sz w:val="18"/>
              </w:rPr>
              <w:t>20</w:t>
            </w:r>
          </w:p>
        </w:tc>
        <w:tc>
          <w:tcPr>
            <w:tcW w:type="dxa" w:w="2016"/>
          </w:tcPr>
          <w:p>
            <w:r>
              <w:rPr>
                <w:sz w:val="18"/>
              </w:rPr>
              <w:t>11.0%</w:t>
            </w:r>
          </w:p>
        </w:tc>
        <w:tc>
          <w:tcPr>
            <w:tcW w:type="dxa" w:w="2016"/>
          </w:tcPr>
          <w:p>
            <w:r>
              <w:rPr>
                <w:sz w:val="18"/>
              </w:rPr>
              <w:t>SKIP</w:t>
            </w:r>
          </w:p>
        </w:tc>
      </w:tr>
      <w:tr>
        <w:tc>
          <w:tcPr>
            <w:tcW w:type="dxa" w:w="2016"/>
          </w:tcPr>
          <w:p>
            <w:r>
              <w:rPr>
                <w:sz w:val="18"/>
              </w:rPr>
              <w:t>18:45–19:00</w:t>
            </w:r>
          </w:p>
        </w:tc>
        <w:tc>
          <w:tcPr>
            <w:tcW w:type="dxa" w:w="2016"/>
          </w:tcPr>
          <w:p>
            <w:r>
              <w:rPr>
                <w:sz w:val="18"/>
              </w:rPr>
              <w:t>176</w:t>
            </w:r>
          </w:p>
        </w:tc>
        <w:tc>
          <w:tcPr>
            <w:tcW w:type="dxa" w:w="2016"/>
          </w:tcPr>
          <w:p>
            <w:r>
              <w:rPr>
                <w:sz w:val="18"/>
              </w:rPr>
              <w:t>21</w:t>
            </w:r>
          </w:p>
        </w:tc>
        <w:tc>
          <w:tcPr>
            <w:tcW w:type="dxa" w:w="2016"/>
          </w:tcPr>
          <w:p>
            <w:r>
              <w:rPr>
                <w:sz w:val="18"/>
              </w:rPr>
              <w:t>11.9%</w:t>
            </w:r>
          </w:p>
        </w:tc>
        <w:tc>
          <w:tcPr>
            <w:tcW w:type="dxa" w:w="2016"/>
          </w:tcPr>
          <w:p>
            <w:r>
              <w:rPr>
                <w:sz w:val="18"/>
              </w:rPr>
              <w:t>SKIP</w:t>
            </w:r>
          </w:p>
        </w:tc>
      </w:tr>
      <w:tr>
        <w:tc>
          <w:tcPr>
            <w:tcW w:type="dxa" w:w="2016"/>
          </w:tcPr>
          <w:p>
            <w:r>
              <w:rPr>
                <w:b/>
                <w:sz w:val="18"/>
              </w:rPr>
              <w:t>20:00–20:15</w:t>
            </w:r>
          </w:p>
        </w:tc>
        <w:tc>
          <w:tcPr>
            <w:tcW w:type="dxa" w:w="2016"/>
          </w:tcPr>
          <w:p>
            <w:r>
              <w:rPr>
                <w:b/>
                <w:sz w:val="18"/>
              </w:rPr>
              <w:t>185</w:t>
            </w:r>
          </w:p>
        </w:tc>
        <w:tc>
          <w:tcPr>
            <w:tcW w:type="dxa" w:w="2016"/>
          </w:tcPr>
          <w:p>
            <w:r>
              <w:rPr>
                <w:b/>
                <w:sz w:val="18"/>
              </w:rPr>
              <w:t>162</w:t>
            </w:r>
          </w:p>
        </w:tc>
        <w:tc>
          <w:tcPr>
            <w:tcW w:type="dxa" w:w="2016"/>
          </w:tcPr>
          <w:p>
            <w:r>
              <w:rPr>
                <w:b/>
                <w:sz w:val="18"/>
              </w:rPr>
              <w:t>87.6%</w:t>
            </w:r>
          </w:p>
        </w:tc>
        <w:tc>
          <w:tcPr>
            <w:tcW w:type="dxa" w:w="2016"/>
          </w:tcPr>
          <w:p>
            <w:r>
              <w:rPr>
                <w:b/>
                <w:sz w:val="18"/>
              </w:rPr>
              <w:t>WARM ⚡</w:t>
            </w:r>
          </w:p>
        </w:tc>
      </w:tr>
      <w:tr>
        <w:tc>
          <w:tcPr>
            <w:tcW w:type="dxa" w:w="2016"/>
          </w:tcPr>
          <w:p>
            <w:r>
              <w:rPr>
                <w:sz w:val="18"/>
              </w:rPr>
              <w:t>20:15–20:30</w:t>
            </w:r>
          </w:p>
        </w:tc>
        <w:tc>
          <w:tcPr>
            <w:tcW w:type="dxa" w:w="2016"/>
          </w:tcPr>
          <w:p>
            <w:r>
              <w:rPr>
                <w:sz w:val="18"/>
              </w:rPr>
              <w:t>180</w:t>
            </w:r>
          </w:p>
        </w:tc>
        <w:tc>
          <w:tcPr>
            <w:tcW w:type="dxa" w:w="2016"/>
          </w:tcPr>
          <w:p>
            <w:r>
              <w:rPr>
                <w:sz w:val="18"/>
              </w:rPr>
              <w:t>28</w:t>
            </w:r>
          </w:p>
        </w:tc>
        <w:tc>
          <w:tcPr>
            <w:tcW w:type="dxa" w:w="2016"/>
          </w:tcPr>
          <w:p>
            <w:r>
              <w:rPr>
                <w:sz w:val="18"/>
              </w:rPr>
              <w:t>15.6%</w:t>
            </w:r>
          </w:p>
        </w:tc>
        <w:tc>
          <w:tcPr>
            <w:tcW w:type="dxa" w:w="2016"/>
          </w:tcPr>
          <w:p>
            <w:r>
              <w:rPr>
                <w:sz w:val="18"/>
              </w:rPr>
              <w:t>SKIP (warmed)</w:t>
            </w:r>
          </w:p>
        </w:tc>
      </w:tr>
    </w:tbl>
    <w:p>
      <w:pPr>
        <w:spacing w:before="60" w:after="120"/>
        <w:jc w:val="center"/>
      </w:pPr>
      <w:r>
        <w:rPr>
          <w:rFonts w:ascii="Times New Roman" w:hAnsi="Times New Roman"/>
          <w:b w:val="0"/>
          <w:i/>
          <w:sz w:val="20"/>
        </w:rPr>
        <w:t>Table IV. Cold Start Rate Over a Representative 2-Hour Window. After a 1-hour idle period, cold start rate spikes to 87.6%. COLDSTART pre-warms functions, reducing subsequent cold starts to 15.6%.</w:t>
      </w:r>
    </w:p>
    <w:p>
      <w:pPr>
        <w:spacing w:before="100" w:after="40"/>
        <w:jc w:val="left"/>
      </w:pPr>
      <w:r>
        <w:rPr>
          <w:rFonts w:ascii="Times New Roman" w:hAnsi="Times New Roman"/>
          <w:b/>
          <w:i/>
          <w:sz w:val="20"/>
        </w:rPr>
        <w:t>E. Cost-Benefit Analysis</w:t>
      </w:r>
    </w:p>
    <w:p>
      <w:pPr>
        <w:spacing w:before="0" w:after="80"/>
        <w:jc w:val="both"/>
      </w:pPr>
      <w:r>
        <w:rPr>
          <w:rFonts w:ascii="Times New Roman" w:hAnsi="Times New Roman"/>
          <w:b w:val="0"/>
          <w:i w:val="0"/>
          <w:sz w:val="20"/>
        </w:rPr>
        <w:t>Table V presents the detailed cost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Metric</w:t>
            </w:r>
          </w:p>
        </w:tc>
        <w:tc>
          <w:tcPr>
            <w:tcW w:type="dxa" w:w="2520"/>
          </w:tcPr>
          <w:p>
            <w:r>
              <w:rPr>
                <w:b/>
                <w:sz w:val="18"/>
              </w:rPr>
              <w:t>S-S ML</w:t>
            </w:r>
          </w:p>
        </w:tc>
        <w:tc>
          <w:tcPr>
            <w:tcW w:type="dxa" w:w="2520"/>
          </w:tcPr>
          <w:p>
            <w:r>
              <w:rPr>
                <w:b/>
                <w:sz w:val="18"/>
              </w:rPr>
              <w:t>P-B Heuristic</w:t>
            </w:r>
          </w:p>
        </w:tc>
        <w:tc>
          <w:tcPr>
            <w:tcW w:type="dxa" w:w="2520"/>
          </w:tcPr>
          <w:p>
            <w:r>
              <w:rPr>
                <w:b/>
                <w:sz w:val="18"/>
              </w:rPr>
              <w:t>COLDSTART</w:t>
            </w:r>
          </w:p>
        </w:tc>
      </w:tr>
      <w:tr>
        <w:tc>
          <w:tcPr>
            <w:tcW w:type="dxa" w:w="2520"/>
          </w:tcPr>
          <w:p>
            <w:r>
              <w:rPr>
                <w:sz w:val="18"/>
              </w:rPr>
              <w:t>Purity of Warming (P_W)</w:t>
            </w:r>
          </w:p>
        </w:tc>
        <w:tc>
          <w:tcPr>
            <w:tcW w:type="dxa" w:w="2520"/>
          </w:tcPr>
          <w:p>
            <w:r>
              <w:rPr>
                <w:sz w:val="18"/>
              </w:rPr>
              <w:t>58.3%</w:t>
            </w:r>
          </w:p>
        </w:tc>
        <w:tc>
          <w:tcPr>
            <w:tcW w:type="dxa" w:w="2520"/>
          </w:tcPr>
          <w:p>
            <w:r>
              <w:rPr>
                <w:sz w:val="18"/>
              </w:rPr>
              <w:t>64.1%</w:t>
            </w:r>
          </w:p>
        </w:tc>
        <w:tc>
          <w:tcPr>
            <w:tcW w:type="dxa" w:w="2520"/>
          </w:tcPr>
          <w:p>
            <w:r>
              <w:rPr>
                <w:b/>
                <w:sz w:val="18"/>
              </w:rPr>
              <w:t>85.7%</w:t>
            </w:r>
          </w:p>
        </w:tc>
      </w:tr>
      <w:tr>
        <w:tc>
          <w:tcPr>
            <w:tcW w:type="dxa" w:w="2520"/>
          </w:tcPr>
          <w:p>
            <w:r>
              <w:rPr>
                <w:sz w:val="18"/>
              </w:rPr>
              <w:t>False Positive Rate</w:t>
            </w:r>
          </w:p>
        </w:tc>
        <w:tc>
          <w:tcPr>
            <w:tcW w:type="dxa" w:w="2520"/>
          </w:tcPr>
          <w:p>
            <w:r>
              <w:rPr>
                <w:sz w:val="18"/>
              </w:rPr>
              <w:t>41.7%</w:t>
            </w:r>
          </w:p>
        </w:tc>
        <w:tc>
          <w:tcPr>
            <w:tcW w:type="dxa" w:w="2520"/>
          </w:tcPr>
          <w:p>
            <w:r>
              <w:rPr>
                <w:sz w:val="18"/>
              </w:rPr>
              <w:t>35.9%</w:t>
            </w:r>
          </w:p>
        </w:tc>
        <w:tc>
          <w:tcPr>
            <w:tcW w:type="dxa" w:w="2520"/>
          </w:tcPr>
          <w:p>
            <w:r>
              <w:rPr>
                <w:b/>
                <w:sz w:val="18"/>
              </w:rPr>
              <w:t>14.3%</w:t>
            </w:r>
          </w:p>
        </w:tc>
      </w:tr>
      <w:tr>
        <w:tc>
          <w:tcPr>
            <w:tcW w:type="dxa" w:w="2520"/>
          </w:tcPr>
          <w:p>
            <w:r>
              <w:rPr>
                <w:sz w:val="18"/>
              </w:rPr>
              <w:t>False Negative Rate</w:t>
            </w:r>
          </w:p>
        </w:tc>
        <w:tc>
          <w:tcPr>
            <w:tcW w:type="dxa" w:w="2520"/>
          </w:tcPr>
          <w:p>
            <w:r>
              <w:rPr>
                <w:sz w:val="18"/>
              </w:rPr>
              <w:t>28.5%</w:t>
            </w:r>
          </w:p>
        </w:tc>
        <w:tc>
          <w:tcPr>
            <w:tcW w:type="dxa" w:w="2520"/>
          </w:tcPr>
          <w:p>
            <w:r>
              <w:rPr>
                <w:sz w:val="18"/>
              </w:rPr>
              <w:t>23.4%</w:t>
            </w:r>
          </w:p>
        </w:tc>
        <w:tc>
          <w:tcPr>
            <w:tcW w:type="dxa" w:w="2520"/>
          </w:tcPr>
          <w:p>
            <w:r>
              <w:rPr>
                <w:b/>
                <w:sz w:val="18"/>
              </w:rPr>
              <w:t>5.8%</w:t>
            </w:r>
          </w:p>
        </w:tc>
      </w:tr>
      <w:tr>
        <w:tc>
          <w:tcPr>
            <w:tcW w:type="dxa" w:w="2520"/>
          </w:tcPr>
          <w:p>
            <w:r>
              <w:rPr>
                <w:sz w:val="18"/>
              </w:rPr>
              <w:t>CBR</w:t>
            </w:r>
          </w:p>
        </w:tc>
        <w:tc>
          <w:tcPr>
            <w:tcW w:type="dxa" w:w="2520"/>
          </w:tcPr>
          <w:p>
            <w:r>
              <w:rPr>
                <w:sz w:val="18"/>
              </w:rPr>
              <w:t>0.83</w:t>
            </w:r>
          </w:p>
        </w:tc>
        <w:tc>
          <w:tcPr>
            <w:tcW w:type="dxa" w:w="2520"/>
          </w:tcPr>
          <w:p>
            <w:r>
              <w:rPr>
                <w:sz w:val="18"/>
              </w:rPr>
              <w:t>1.02</w:t>
            </w:r>
          </w:p>
        </w:tc>
        <w:tc>
          <w:tcPr>
            <w:tcW w:type="dxa" w:w="2520"/>
          </w:tcPr>
          <w:p>
            <w:r>
              <w:rPr>
                <w:b/>
                <w:sz w:val="18"/>
              </w:rPr>
              <w:t>1.10</w:t>
            </w:r>
          </w:p>
        </w:tc>
      </w:tr>
      <w:tr>
        <w:tc>
          <w:tcPr>
            <w:tcW w:type="dxa" w:w="2520"/>
          </w:tcPr>
          <w:p>
            <w:r>
              <w:rPr>
                <w:sz w:val="18"/>
              </w:rPr>
              <w:t>Monthly Warming Cost</w:t>
            </w:r>
          </w:p>
        </w:tc>
        <w:tc>
          <w:tcPr>
            <w:tcW w:type="dxa" w:w="2520"/>
          </w:tcPr>
          <w:p>
            <w:r>
              <w:rPr>
                <w:sz w:val="18"/>
              </w:rPr>
              <w:t>$18.40</w:t>
            </w:r>
          </w:p>
        </w:tc>
        <w:tc>
          <w:tcPr>
            <w:tcW w:type="dxa" w:w="2520"/>
          </w:tcPr>
          <w:p>
            <w:r>
              <w:rPr>
                <w:sz w:val="18"/>
              </w:rPr>
              <w:t>$14.20</w:t>
            </w:r>
          </w:p>
        </w:tc>
        <w:tc>
          <w:tcPr>
            <w:tcW w:type="dxa" w:w="2520"/>
          </w:tcPr>
          <w:p>
            <w:r>
              <w:rPr>
                <w:b/>
                <w:sz w:val="18"/>
              </w:rPr>
              <w:t>$8.50</w:t>
            </w:r>
          </w:p>
        </w:tc>
      </w:tr>
      <w:tr>
        <w:tc>
          <w:tcPr>
            <w:tcW w:type="dxa" w:w="2520"/>
          </w:tcPr>
          <w:p>
            <w:r>
              <w:rPr>
                <w:sz w:val="18"/>
              </w:rPr>
              <w:t>Monthly Latency Savings</w:t>
            </w:r>
          </w:p>
        </w:tc>
        <w:tc>
          <w:tcPr>
            <w:tcW w:type="dxa" w:w="2520"/>
          </w:tcPr>
          <w:p>
            <w:r>
              <w:rPr>
                <w:sz w:val="18"/>
              </w:rPr>
              <w:t>$16.70</w:t>
            </w:r>
          </w:p>
        </w:tc>
        <w:tc>
          <w:tcPr>
            <w:tcW w:type="dxa" w:w="2520"/>
          </w:tcPr>
          <w:p>
            <w:r>
              <w:rPr>
                <w:sz w:val="18"/>
              </w:rPr>
              <w:t>$17.10</w:t>
            </w:r>
          </w:p>
        </w:tc>
        <w:tc>
          <w:tcPr>
            <w:tcW w:type="dxa" w:w="2520"/>
          </w:tcPr>
          <w:p>
            <w:r>
              <w:rPr>
                <w:b/>
                <w:sz w:val="18"/>
              </w:rPr>
              <w:t>$18.00</w:t>
            </w:r>
          </w:p>
        </w:tc>
      </w:tr>
      <w:tr>
        <w:tc>
          <w:tcPr>
            <w:tcW w:type="dxa" w:w="2520"/>
          </w:tcPr>
          <w:p>
            <w:r>
              <w:rPr>
                <w:sz w:val="18"/>
              </w:rPr>
              <w:t>Net Monthly Benefit</w:t>
            </w:r>
          </w:p>
        </w:tc>
        <w:tc>
          <w:tcPr>
            <w:tcW w:type="dxa" w:w="2520"/>
          </w:tcPr>
          <w:p>
            <w:r>
              <w:rPr>
                <w:sz w:val="18"/>
              </w:rPr>
              <w:t>−$1.70</w:t>
            </w:r>
          </w:p>
        </w:tc>
        <w:tc>
          <w:tcPr>
            <w:tcW w:type="dxa" w:w="2520"/>
          </w:tcPr>
          <w:p>
            <w:r>
              <w:rPr>
                <w:sz w:val="18"/>
              </w:rPr>
              <w:t>+$2.90</w:t>
            </w:r>
          </w:p>
        </w:tc>
        <w:tc>
          <w:tcPr>
            <w:tcW w:type="dxa" w:w="2520"/>
          </w:tcPr>
          <w:p>
            <w:r>
              <w:rPr>
                <w:b/>
                <w:sz w:val="18"/>
              </w:rPr>
              <w:t>+$9.50</w:t>
            </w:r>
          </w:p>
        </w:tc>
      </w:tr>
    </w:tbl>
    <w:p>
      <w:pPr>
        <w:spacing w:before="60" w:after="120"/>
        <w:jc w:val="center"/>
      </w:pPr>
      <w:r>
        <w:rPr>
          <w:rFonts w:ascii="Times New Roman" w:hAnsi="Times New Roman"/>
          <w:b w:val="0"/>
          <w:i/>
          <w:sz w:val="20"/>
        </w:rPr>
        <w:t>Table V. Detailed Cost-Benefit Analysis. COLDSTART's confidence gate (C ≥ 0.6) is the primary driver of 85.7% warming purity and positive net monthly benefit.</w:t>
      </w:r>
    </w:p>
    <w:p>
      <w:pPr>
        <w:spacing w:before="160" w:after="60"/>
        <w:jc w:val="left"/>
      </w:pPr>
      <w:r>
        <w:rPr>
          <w:rFonts w:ascii="Times New Roman" w:hAnsi="Times New Roman"/>
          <w:b/>
          <w:i w:val="0"/>
          <w:sz w:val="20"/>
        </w:rPr>
        <w:t>IX. CONCLUSION AND FUTURE WORK</w:t>
      </w:r>
    </w:p>
    <w:p>
      <w:pPr>
        <w:spacing w:before="0" w:after="120"/>
        <w:jc w:val="both"/>
      </w:pPr>
      <w:r>
        <w:rPr>
          <w:rFonts w:ascii="Times New Roman" w:hAnsi="Times New Roman"/>
          <w:b w:val="0"/>
          <w:i w:val="0"/>
          <w:sz w:val="20"/>
        </w:rPr>
        <w:t>We presented COLDSTART, a practical, cloud-native orchestration framework for FaaS cold start mitigation validated on production AWS infrastructure. By achieving 94.2% prediction accuracy through dual-model ensemble learning with a Confidence-Based Warming gate, COLDSTART demonstrates a 58.7% reduction in cold starts and a 34.8% reduction in operational costs compared to single-source ML baselines. The key insight is that cold start prediction is fundamentally a multi-modal problem: temporal features alone achieve 71.5% F1, but incorporating user behavior and traffic intensity raises this to 94.2%. Furthermore, prediction accuracy alone is insufficient; the CBW gate ensures that uncertain predictions do not result in wasteful resource allocation.</w:t>
      </w:r>
    </w:p>
    <w:p>
      <w:pPr>
        <w:spacing w:before="100" w:after="40"/>
        <w:jc w:val="left"/>
      </w:pPr>
      <w:r>
        <w:rPr>
          <w:rFonts w:ascii="Times New Roman" w:hAnsi="Times New Roman"/>
          <w:b/>
          <w:i/>
          <w:sz w:val="20"/>
        </w:rPr>
        <w:t>A. Future Research Directions</w:t>
      </w:r>
    </w:p>
    <w:p>
      <w:pPr>
        <w:spacing w:before="0" w:after="40"/>
        <w:ind w:left="360"/>
        <w:jc w:val="left"/>
      </w:pPr>
      <w:r>
        <w:rPr>
          <w:rFonts w:ascii="Times New Roman" w:hAnsi="Times New Roman"/>
          <w:b w:val="0"/>
          <w:i w:val="0"/>
          <w:sz w:val="20"/>
        </w:rPr>
        <w:t>•  Adaptive T_confidence with Deep RL: A Deep RL agent to continuously optimize CBW thresholds using cost/latency metrics as reward signal.</w:t>
      </w:r>
    </w:p>
    <w:p>
      <w:pPr>
        <w:spacing w:before="0" w:after="40"/>
        <w:ind w:left="360"/>
        <w:jc w:val="left"/>
      </w:pPr>
      <w:r>
        <w:rPr>
          <w:rFonts w:ascii="Times New Roman" w:hAnsi="Times New Roman"/>
          <w:b w:val="0"/>
          <w:i w:val="0"/>
          <w:sz w:val="20"/>
        </w:rPr>
        <w:t>•  LSTM Integration: A lightweight LSTM component to capture temporal sequence dependencies (e.g., burst patterns) that tree models cannot model directly.</w:t>
      </w:r>
    </w:p>
    <w:p>
      <w:pPr>
        <w:spacing w:before="0" w:after="40"/>
        <w:ind w:left="360"/>
        <w:jc w:val="left"/>
      </w:pPr>
      <w:r>
        <w:rPr>
          <w:rFonts w:ascii="Times New Roman" w:hAnsi="Times New Roman"/>
          <w:b w:val="0"/>
          <w:i w:val="0"/>
          <w:sz w:val="20"/>
        </w:rPr>
        <w:t>•  Resource Sizing Optimization: Extending the binary warm/skip decision to continuous optimal Memory/CPU allocation prediction.</w:t>
      </w:r>
    </w:p>
    <w:p>
      <w:pPr>
        <w:spacing w:before="0" w:after="40"/>
        <w:ind w:left="360"/>
        <w:jc w:val="left"/>
      </w:pPr>
      <w:r>
        <w:rPr>
          <w:rFonts w:ascii="Times New Roman" w:hAnsi="Times New Roman"/>
          <w:b w:val="0"/>
          <w:i w:val="0"/>
          <w:sz w:val="20"/>
        </w:rPr>
        <w:t>•  Multi-Cloud Telemetry Standardization: A universal interface abstracting CloudWatch, Azure Monitor, and GCP Monitoring for cross-cloud portability.</w:t>
      </w:r>
    </w:p>
    <w:p>
      <w:pPr>
        <w:spacing w:before="0" w:after="40"/>
        <w:ind w:left="360"/>
        <w:jc w:val="left"/>
      </w:pPr>
      <w:r>
        <w:rPr>
          <w:rFonts w:ascii="Times New Roman" w:hAnsi="Times New Roman"/>
          <w:b w:val="0"/>
          <w:i w:val="0"/>
          <w:sz w:val="20"/>
        </w:rPr>
        <w:t>•  Real-Time Streaming Pipeline: Replacing 15-minute batch aggregation with AWS Kinesis streaming to reduce prediction latency from 15 minutes to under 30 seconds.</w:t>
      </w:r>
    </w:p>
    <w:p/>
    <w:p>
      <w:pPr>
        <w:spacing w:before="160" w:after="60"/>
        <w:jc w:val="left"/>
      </w:pPr>
      <w:r>
        <w:rPr>
          <w:rFonts w:ascii="Times New Roman" w:hAnsi="Times New Roman"/>
          <w:b/>
          <w:i w:val="0"/>
          <w:sz w:val="20"/>
        </w:rPr>
        <w:t>. ACKNOWLEDGMENT</w:t>
      </w:r>
    </w:p>
    <w:p>
      <w:pPr>
        <w:spacing w:before="0" w:after="160"/>
        <w:jc w:val="both"/>
      </w:pPr>
      <w:r>
        <w:rPr>
          <w:rFonts w:ascii="Times New Roman" w:hAnsi="Times New Roman"/>
          <w:b w:val="0"/>
          <w:i w:val="0"/>
          <w:sz w:val="20"/>
        </w:rPr>
        <w:t>The authors wish to thank the faculty and staff of the Department of Computer Engineering at Dr. D.Y. Patil College of Engineering and Innovation, Varale, Talegaon, for their invaluable guidance, institutional support, and provision of computational resources throughout this research. The authors also gratefully acknowledge the contributions of the open-source XGBoost [17], scikit-learn, and Streamlit communities whose tools formed the foundation of this implementation.</w:t>
      </w:r>
    </w:p>
    <w:p>
      <w:pPr>
        <w:spacing w:before="160" w:after="60"/>
        <w:jc w:val="left"/>
      </w:pPr>
      <w:r>
        <w:rPr>
          <w:rFonts w:ascii="Times New Roman" w:hAnsi="Times New Roman"/>
          <w:b/>
          <w:i w:val="0"/>
          <w:sz w:val="20"/>
        </w:rPr>
        <w:t>. REFERENCES</w:t>
      </w:r>
    </w:p>
    <w:p>
      <w:pPr>
        <w:spacing w:before="20" w:after="40"/>
        <w:ind w:left="360"/>
        <w:jc w:val="left"/>
      </w:pPr>
      <w:r>
        <w:rPr>
          <w:rFonts w:ascii="Times New Roman" w:hAnsi="Times New Roman"/>
          <w:b w:val="0"/>
          <w:i w:val="0"/>
          <w:sz w:val="18"/>
        </w:rPr>
        <w:t>[1]</w:t>
        <w:tab/>
        <w:t>S. Eismann et al., “A review of serverless use cases and their characteristics,” IEEE Access, vol. 8, pp. 159981–160000, 2020.</w:t>
      </w:r>
    </w:p>
    <w:p>
      <w:pPr>
        <w:spacing w:before="20" w:after="40"/>
        <w:ind w:left="360"/>
        <w:jc w:val="left"/>
      </w:pPr>
      <w:r>
        <w:rPr>
          <w:rFonts w:ascii="Times New Roman" w:hAnsi="Times New Roman"/>
          <w:b w:val="0"/>
          <w:i w:val="0"/>
          <w:sz w:val="18"/>
        </w:rPr>
        <w:t>[2]</w:t>
        <w:tab/>
        <w:t>X. Cai et al., “Incendio: Priority-based scheduling for alleviating cold start in serverless computing,” IEEE Trans. Comput., vol. 73, no. 7, pp. 1780–1793, Jul. 2024.</w:t>
      </w:r>
    </w:p>
    <w:p>
      <w:pPr>
        <w:spacing w:before="20" w:after="40"/>
        <w:ind w:left="360"/>
        <w:jc w:val="left"/>
      </w:pPr>
      <w:r>
        <w:rPr>
          <w:rFonts w:ascii="Times New Roman" w:hAnsi="Times New Roman"/>
          <w:b w:val="0"/>
          <w:i w:val="0"/>
          <w:sz w:val="18"/>
        </w:rPr>
        <w:t>[3]</w:t>
        <w:tab/>
        <w:t>P. Vahidinia, B. Farahani, and F. S. Aliee, “Mitigating cold start problem in serverless computing: A reinforcement learning approach,” IEEE Internet of Things J., vol. 10, no. 5, pp. 3917–3927, Mar. 2023.</w:t>
      </w:r>
    </w:p>
    <w:p>
      <w:pPr>
        <w:spacing w:before="20" w:after="40"/>
        <w:ind w:left="360"/>
        <w:jc w:val="left"/>
      </w:pPr>
      <w:r>
        <w:rPr>
          <w:rFonts w:ascii="Times New Roman" w:hAnsi="Times New Roman"/>
          <w:b w:val="0"/>
          <w:i w:val="0"/>
          <w:sz w:val="18"/>
        </w:rPr>
        <w:t>[4]</w:t>
        <w:tab/>
        <w:t>S. Pan et al., “Sustainable serverless computing with cold-start optimization and automatic workflow resource scheduling,” IEEE Trans. Sustain. Comput., vol. 9, no. 3, pp. 329–342, May/Jun. 2024.</w:t>
      </w:r>
    </w:p>
    <w:p>
      <w:pPr>
        <w:spacing w:before="20" w:after="40"/>
        <w:ind w:left="360"/>
        <w:jc w:val="left"/>
      </w:pPr>
      <w:r>
        <w:rPr>
          <w:rFonts w:ascii="Times New Roman" w:hAnsi="Times New Roman"/>
          <w:b w:val="0"/>
          <w:i w:val="0"/>
          <w:sz w:val="18"/>
        </w:rPr>
        <w:t>[5]</w:t>
        <w:tab/>
        <w:t>K. Suo et al., “Tackling cold start of serverless applications by efficient and adaptive container runtime reusing,” in Proc. IEEE Int. Conf. Cluster Comput. (CLUSTER), 2021, pp. 433–443.</w:t>
      </w:r>
    </w:p>
    <w:p>
      <w:pPr>
        <w:spacing w:before="20" w:after="40"/>
        <w:ind w:left="360"/>
        <w:jc w:val="left"/>
      </w:pPr>
      <w:r>
        <w:rPr>
          <w:rFonts w:ascii="Times New Roman" w:hAnsi="Times New Roman"/>
          <w:b w:val="0"/>
          <w:i w:val="0"/>
          <w:sz w:val="18"/>
        </w:rPr>
        <w:t>[6]</w:t>
        <w:tab/>
        <w:t>J. Chen et al., “FaaSCache: A flexible and adaptive container reuse policy for serverless computing,” IEEE Trans. Parallel Distrib. Syst., vol. 32, no. 6, pp. 1475–1489, Jun. 2021.</w:t>
      </w:r>
    </w:p>
    <w:p>
      <w:pPr>
        <w:spacing w:before="20" w:after="40"/>
        <w:ind w:left="360"/>
        <w:jc w:val="left"/>
      </w:pPr>
      <w:r>
        <w:rPr>
          <w:rFonts w:ascii="Times New Roman" w:hAnsi="Times New Roman"/>
          <w:b w:val="0"/>
          <w:i w:val="0"/>
          <w:sz w:val="18"/>
        </w:rPr>
        <w:t>[7]</w:t>
        <w:tab/>
        <w:t>Y. Wang et al., “Demystifying and optimizing MicroVM initialization in serverless computing,” IEEE Trans. Parallel Distrib. Syst., vol. 35, no. 1, pp. 174–188, Jan. 2024.</w:t>
      </w:r>
    </w:p>
    <w:p>
      <w:pPr>
        <w:spacing w:before="20" w:after="40"/>
        <w:ind w:left="360"/>
        <w:jc w:val="left"/>
      </w:pPr>
      <w:r>
        <w:rPr>
          <w:rFonts w:ascii="Times New Roman" w:hAnsi="Times New Roman"/>
          <w:b w:val="0"/>
          <w:i w:val="0"/>
          <w:sz w:val="18"/>
        </w:rPr>
        <w:t>[8]</w:t>
        <w:tab/>
        <w:t>Z. Xu et al., “Adaptive function launching acceleration in serverless computing platforms,” in Proc. IEEE 25th Int. Conf. Parallel Distrib. Syst. (ICPADS), 2019, pp. 9–16.</w:t>
      </w:r>
    </w:p>
    <w:p>
      <w:pPr>
        <w:spacing w:before="20" w:after="40"/>
        <w:ind w:left="360"/>
        <w:jc w:val="left"/>
      </w:pPr>
      <w:r>
        <w:rPr>
          <w:rFonts w:ascii="Times New Roman" w:hAnsi="Times New Roman"/>
          <w:b w:val="0"/>
          <w:i w:val="0"/>
          <w:sz w:val="18"/>
        </w:rPr>
        <w:t>[9]</w:t>
        <w:tab/>
        <w:t>S. Eismann et al., “Sizeless: Predicting the optimal size of serverless functions,” in Proc. 22nd ACM/IFIP/USENIX Int. Middleware Conf., 2021, pp. 248–259.</w:t>
      </w:r>
    </w:p>
    <w:p>
      <w:pPr>
        <w:spacing w:before="20" w:after="40"/>
        <w:ind w:left="360"/>
        <w:jc w:val="left"/>
      </w:pPr>
      <w:r>
        <w:rPr>
          <w:rFonts w:ascii="Times New Roman" w:hAnsi="Times New Roman"/>
          <w:b w:val="0"/>
          <w:i w:val="0"/>
          <w:sz w:val="18"/>
        </w:rPr>
        <w:t>[10]</w:t>
        <w:tab/>
        <w:t>S. R. Chaudhry et al., “Improved QoS at the edge using serverless computing to deploy virtual network functions,” IEEE Internet Things J., vol. 7, no. 10, pp. 10673–10683, Oct. 2020.</w:t>
      </w:r>
    </w:p>
    <w:p>
      <w:pPr>
        <w:spacing w:before="20" w:after="40"/>
        <w:ind w:left="360"/>
        <w:jc w:val="left"/>
      </w:pPr>
      <w:r>
        <w:rPr>
          <w:rFonts w:ascii="Times New Roman" w:hAnsi="Times New Roman"/>
          <w:b w:val="0"/>
          <w:i w:val="0"/>
          <w:sz w:val="18"/>
        </w:rPr>
        <w:t>[11]</w:t>
        <w:tab/>
        <w:t>A. Mampage et al., “Deadline-aware dynamic resource management in serverless computing environments,” in Proc. IEEE/ACM 21st Int. Symp. Cluster, Cloud Internet Comput. (CCGrid), 2021, pp. 483–492.</w:t>
      </w:r>
    </w:p>
    <w:p>
      <w:pPr>
        <w:spacing w:before="20" w:after="40"/>
        <w:ind w:left="360"/>
        <w:jc w:val="left"/>
      </w:pPr>
      <w:r>
        <w:rPr>
          <w:rFonts w:ascii="Times New Roman" w:hAnsi="Times New Roman"/>
          <w:b w:val="0"/>
          <w:i w:val="0"/>
          <w:sz w:val="18"/>
        </w:rPr>
        <w:t>[12]</w:t>
        <w:tab/>
        <w:t>A. Singhvi et al., “Atoll: A scalable low-latency serverless platform,” IEEE Trans. Cloud Comput., vol. 11, no. 1, pp. 104–118, Jan./Mar. 2023.</w:t>
      </w:r>
    </w:p>
    <w:p>
      <w:pPr>
        <w:spacing w:before="20" w:after="40"/>
        <w:ind w:left="360"/>
        <w:jc w:val="left"/>
      </w:pPr>
      <w:r>
        <w:rPr>
          <w:rFonts w:ascii="Times New Roman" w:hAnsi="Times New Roman"/>
          <w:b w:val="0"/>
          <w:i w:val="0"/>
          <w:sz w:val="18"/>
        </w:rPr>
        <w:t>[13]</w:t>
        <w:tab/>
        <w:t>Amazon Web Services, “AWS Lambda Announces Provisioned Concurrency,” Dec. 2019. [Online]. Available: https://aws.amazon.com/about-aws/whats-new/2019/12/aws-lambda-announces-provisioned-concurrency/</w:t>
      </w:r>
    </w:p>
    <w:p>
      <w:pPr>
        <w:spacing w:before="20" w:after="40"/>
        <w:ind w:left="360"/>
        <w:jc w:val="left"/>
      </w:pPr>
      <w:r>
        <w:rPr>
          <w:rFonts w:ascii="Times New Roman" w:hAnsi="Times New Roman"/>
          <w:b w:val="0"/>
          <w:i w:val="0"/>
          <w:sz w:val="18"/>
        </w:rPr>
        <w:t>[14]</w:t>
        <w:tab/>
        <w:t>J. Chen et al., “A dynamic ensemble model for workload prediction in cloud computing,” IEEE Trans. Services Comput., vol. 14, no. 6, pp. 1827–1838, Nov./Dec. 2021.</w:t>
      </w:r>
    </w:p>
    <w:p>
      <w:pPr>
        <w:spacing w:before="20" w:after="40"/>
        <w:ind w:left="360"/>
        <w:jc w:val="left"/>
      </w:pPr>
      <w:r>
        <w:rPr>
          <w:rFonts w:ascii="Times New Roman" w:hAnsi="Times New Roman"/>
          <w:b w:val="0"/>
          <w:i w:val="0"/>
          <w:sz w:val="18"/>
        </w:rPr>
        <w:t>[15]</w:t>
        <w:tab/>
        <w:t>J. Cao et al., “Multi-source data fusion and task scheduling optimization in cloud computing environments,” IEEE Trans. Parallel Distrib. Syst., vol. 32, no. 1, pp. 120–131, Jan. 2021.</w:t>
      </w:r>
    </w:p>
    <w:p>
      <w:pPr>
        <w:spacing w:before="20" w:after="40"/>
        <w:ind w:left="360"/>
        <w:jc w:val="left"/>
      </w:pPr>
      <w:r>
        <w:rPr>
          <w:rFonts w:ascii="Times New Roman" w:hAnsi="Times New Roman"/>
          <w:b w:val="0"/>
          <w:i w:val="0"/>
          <w:sz w:val="18"/>
        </w:rPr>
        <w:t>[16]</w:t>
        <w:tab/>
        <w:t>Microsoft Azure, “Azure Functions Invocation Traces Dataset,” GitHub, 2020. [Online]. Available: https://github.com/Azure/AzurePublicDataset</w:t>
      </w:r>
    </w:p>
    <w:p>
      <w:pPr>
        <w:spacing w:before="20" w:after="40"/>
        <w:ind w:left="360"/>
        <w:jc w:val="left"/>
      </w:pPr>
      <w:r>
        <w:rPr>
          <w:rFonts w:ascii="Times New Roman" w:hAnsi="Times New Roman"/>
          <w:b w:val="0"/>
          <w:i w:val="0"/>
          <w:sz w:val="18"/>
        </w:rPr>
        <w:t>[17]</w:t>
        <w:tab/>
        <w:t>T. Chen and C. Guestrin, “XGBoost: A scalable tree boosting system,” in Proc. 22nd ACM SIGKDD Int. Conf. Knowledge Discovery and Data Mining, 2016, pp. 785–794.</w:t>
      </w:r>
    </w:p>
    <w:p>
      <w:pPr>
        <w:spacing w:before="20" w:after="40"/>
        <w:ind w:left="360"/>
        <w:jc w:val="left"/>
      </w:pPr>
      <w:r>
        <w:rPr>
          <w:rFonts w:ascii="Times New Roman" w:hAnsi="Times New Roman"/>
          <w:b w:val="0"/>
          <w:i w:val="0"/>
          <w:sz w:val="18"/>
        </w:rPr>
        <w:t>[18]</w:t>
        <w:tab/>
        <w:t>L. Breiman, “Random forests,” Machine Learning, vol. 45, no. 1, pp. 5–32, 2001.</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