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br/>
      </w:r>
      <w:r>
        <w:br/>
      </w:r>
      <w:r>
        <w:br/>
      </w:r>
      <w:r>
        <w:rPr>
          <w:b/>
          <w:color w:val="1f4e79"/>
          <w:sz w:val="50"/>
        </w:rPr>
        <w:t>Enterprise Ransomware Risk Assessment</w:t>
      </w:r>
    </w:p>
    <w:p>
      <w:pPr>
        <w:pStyle w:val="style0"/>
        <w:jc w:val="center"/>
        <w:rPr/>
      </w:pPr>
      <w:r>
        <w:rPr>
          <w:i/>
          <w:sz w:val="28"/>
        </w:rPr>
        <w:t>A risk register mapped to the NIST Cybersecurity Framework (CSF) 2.0</w:t>
      </w:r>
    </w:p>
    <w:p>
      <w:pPr>
        <w:pStyle w:val="style0"/>
        <w:jc w:val="center"/>
        <w:rPr/>
      </w:pPr>
      <w:r>
        <w:rPr>
          <w:b/>
        </w:rPr>
        <w:br/>
      </w:r>
      <w:r>
        <w:rPr>
          <w:b/>
        </w:rPr>
        <w:br/>
      </w:r>
      <w:r>
        <w:rPr>
          <w:b/>
        </w:rPr>
        <w:t>Cybersecurity Virtual Internship Project</w:t>
      </w:r>
      <w:r>
        <w:rPr>
          <w:b/>
        </w:rPr>
        <w:br/>
      </w:r>
      <w:r>
        <w:t>BharatCares – IBM program</w:t>
      </w:r>
      <w:r>
        <w:br/>
      </w:r>
      <w:r>
        <w:br/>
      </w:r>
      <w:r>
        <w:t xml:space="preserve">Prepared by: </w:t>
      </w:r>
      <w:r>
        <w:rPr>
          <w:lang w:val="en-US"/>
        </w:rPr>
        <w:t>Nikhil Haridas Dhurve</w:t>
      </w:r>
      <w:r>
        <w:br/>
      </w:r>
      <w:r>
        <w:t>Institution</w:t>
      </w:r>
      <w:r>
        <w:rPr>
          <w:lang w:val="en-US"/>
        </w:rPr>
        <w:t xml:space="preserve"> </w:t>
      </w:r>
      <w:r>
        <w:t xml:space="preserve">: </w:t>
      </w:r>
      <w:r>
        <w:rPr>
          <w:lang w:val="en-US"/>
        </w:rPr>
        <w:t>Prof. Ram meghe institute of technology and research Badnera, Amravati (Maharashtra )                                   Course : Electronics and telecommunication Engineering</w:t>
      </w:r>
      <w:r>
        <w:br/>
      </w:r>
      <w:r>
        <w:t>Submission date: [</w:t>
      </w:r>
      <w:r>
        <w:rPr>
          <w:lang w:val="en-US"/>
        </w:rPr>
        <w:t>23/10/2026</w:t>
      </w:r>
      <w:r>
        <w:t>]</w:t>
      </w:r>
      <w:r>
        <w:br/>
      </w:r>
      <w:r>
        <w:br/>
      </w:r>
      <w:r>
        <w:rPr>
          <w:i/>
        </w:rPr>
        <w:t>Illustrative case study: ABC Services (hypothetical organization)</w:t>
      </w:r>
    </w:p>
    <w:p>
      <w:pPr>
        <w:pStyle w:val="style0"/>
        <w:rPr/>
      </w:pPr>
      <w:r>
        <w:br w:type="page"/>
      </w:r>
    </w:p>
    <w:p>
      <w:pPr>
        <w:pStyle w:val="style1"/>
        <w:rPr/>
      </w:pPr>
      <w:r>
        <w:t>Submission checklist — complete before uploading</w:t>
      </w:r>
    </w:p>
    <w:p>
      <w:pPr>
        <w:pStyle w:val="style48"/>
        <w:rPr/>
      </w:pPr>
      <w:r>
        <w:t>Replace [Your Full Name] and any other bracketed placeholders.</w:t>
      </w:r>
    </w:p>
    <w:p>
      <w:pPr>
        <w:pStyle w:val="style48"/>
        <w:rPr/>
      </w:pPr>
      <w:r>
        <w:t>Check the internship portal for its required format, page limit, and naming rules.</w:t>
      </w:r>
    </w:p>
    <w:p>
      <w:pPr>
        <w:pStyle w:val="style48"/>
        <w:rPr/>
      </w:pPr>
      <w:r>
        <w:t>Review the risk register and be ready to explain the scoring method.</w:t>
      </w:r>
    </w:p>
    <w:p>
      <w:pPr>
        <w:pStyle w:val="style48"/>
        <w:rPr/>
      </w:pPr>
      <w:r>
        <w:t>Add your own screenshots or evidence only if you actually performed the described work.</w:t>
      </w:r>
    </w:p>
    <w:p>
      <w:pPr>
        <w:pStyle w:val="style48"/>
        <w:rPr/>
      </w:pPr>
      <w:r>
        <w:t>This is a hypothetical risk-assessment case study, not evidence of a live enterprise audit.</w:t>
      </w:r>
    </w:p>
    <w:p>
      <w:pPr>
        <w:pStyle w:val="style1"/>
        <w:rPr/>
      </w:pPr>
      <w:r>
        <w:t>Abstract</w:t>
      </w:r>
    </w:p>
    <w:p>
      <w:pPr>
        <w:pStyle w:val="style0"/>
        <w:rPr/>
      </w:pPr>
      <w:r>
        <w:t>Ransomware can disrupt business operations by encrypting or disabling access to systems and data, and may also involve data theft. This project presents a structured ransomware risk assessment for a hypothetical small-to-medium organization, ABC Services. It identifies plausible risk scenarios, rates likelihood and business impact on a five-point scale, calculates inherent risk scores, and recommends controls for prevention, detection, response, and recovery. The resulting risk register is mapped at a high level to the six functions of the NIST Cybersecurity Framework (CSF) 2.0: Govern, Identify, Protect, Detect, Respond, and Recover. The assessment is illustrative and should be validated against an organization's actual assets, threat environment, controls, and risk appetite.</w:t>
      </w:r>
    </w:p>
    <w:p>
      <w:pPr>
        <w:pStyle w:val="style1"/>
        <w:rPr/>
      </w:pPr>
      <w:r>
        <w:t>1. Introduction</w:t>
      </w:r>
    </w:p>
    <w:p>
      <w:pPr>
        <w:pStyle w:val="style0"/>
        <w:rPr/>
      </w:pPr>
      <w:r>
        <w:t>Ransomware is a form of malicious software used to deny access to systems or data, commonly through encryption. Some incidents also include data exfiltration, threats to publish stolen information, or attempts to disrupt business services. Organizations reduce ransomware risk through layered controls: strong identity security, timely patching, endpoint protection, network segmentation, reliable backups, centralized logging, and a rehearsed incident response process.</w:t>
      </w:r>
    </w:p>
    <w:p>
      <w:pPr>
        <w:pStyle w:val="style1"/>
        <w:rPr/>
      </w:pPr>
      <w:r>
        <w:t>2. Problem statement</w:t>
      </w:r>
    </w:p>
    <w:p>
      <w:pPr>
        <w:pStyle w:val="style0"/>
        <w:rPr/>
      </w:pPr>
      <w:r>
        <w:t>A hypothetical organization may lack a consolidated view of its ransomware exposure, the business impact of key scenarios, and the controls needed to reduce those risks. Without a documented risk register and recovery priorities, decision-makers may struggle to prioritize security investments or respond consistently to an incident.</w:t>
      </w:r>
    </w:p>
    <w:p>
      <w:pPr>
        <w:pStyle w:val="style1"/>
        <w:rPr/>
      </w:pPr>
      <w:r>
        <w:t>3. Objectives</w:t>
      </w:r>
    </w:p>
    <w:p>
      <w:pPr>
        <w:pStyle w:val="style48"/>
        <w:rPr/>
      </w:pPr>
      <w:r>
        <w:t>Identify realistic ransomware-related risk scenarios affecting people, processes, technology, and data.</w:t>
      </w:r>
    </w:p>
    <w:p>
      <w:pPr>
        <w:pStyle w:val="style48"/>
        <w:rPr/>
      </w:pPr>
      <w:r>
        <w:t>Rate likelihood and impact using a consistent, transparent scoring method.</w:t>
      </w:r>
    </w:p>
    <w:p>
      <w:pPr>
        <w:pStyle w:val="style48"/>
        <w:rPr/>
      </w:pPr>
      <w:r>
        <w:t>Recommend practical preventive, detective, response, and recovery controls.</w:t>
      </w:r>
    </w:p>
    <w:p>
      <w:pPr>
        <w:pStyle w:val="style48"/>
        <w:rPr/>
      </w:pPr>
      <w:r>
        <w:t>Map risks and recommended actions to the NIST CSF 2.0 functions.</w:t>
      </w:r>
    </w:p>
    <w:p>
      <w:pPr>
        <w:pStyle w:val="style48"/>
        <w:rPr/>
      </w:pPr>
      <w:r>
        <w:t>Provide a prioritized risk register that can be reviewed and updated by risk owners.</w:t>
      </w:r>
    </w:p>
    <w:p>
      <w:pPr>
        <w:pStyle w:val="style1"/>
        <w:rPr/>
      </w:pPr>
      <w:r>
        <w:t>4. Scope and assumptions</w:t>
      </w:r>
    </w:p>
    <w:p>
      <w:pPr>
        <w:pStyle w:val="style0"/>
        <w:rPr/>
      </w:pPr>
      <w:r>
        <w:t>Scope: a hypothetical organization with employee endpoints, business servers, shared files, identity services, third-party remote access, and backup infrastructure. This project is a desktop risk assessment; it does not scan, exploit, or test a real organization. No real organizational systems or personal data were assessed. Ratings are illustrative and must be replaced with evidence-based ratings for a real environment.</w:t>
      </w:r>
    </w:p>
    <w:p>
      <w:pPr>
        <w:pStyle w:val="style1"/>
        <w:rPr/>
      </w:pPr>
      <w:r>
        <w:t>5. Methodology</w:t>
      </w:r>
    </w:p>
    <w:p>
      <w:pPr>
        <w:pStyle w:val="style49"/>
        <w:rPr/>
      </w:pPr>
      <w:r>
        <w:t>Identify key assets and business services that could be affected by ransomware.</w:t>
      </w:r>
    </w:p>
    <w:p>
      <w:pPr>
        <w:pStyle w:val="style49"/>
        <w:rPr/>
      </w:pPr>
      <w:r>
        <w:t>Define a risk scenario and its plausible business consequence.</w:t>
      </w:r>
    </w:p>
    <w:p>
      <w:pPr>
        <w:pStyle w:val="style49"/>
        <w:rPr/>
      </w:pPr>
      <w:r>
        <w:t>Rate likelihood from 1 (rare) to 5 (almost certain) and impact from 1 (insignificant) to 5 (severe).</w:t>
      </w:r>
    </w:p>
    <w:p>
      <w:pPr>
        <w:pStyle w:val="style49"/>
        <w:rPr/>
      </w:pPr>
      <w:r>
        <w:t>Calculate inherent risk score as likelihood × impact, before considering the proposed additional actions.</w:t>
      </w:r>
    </w:p>
    <w:p>
      <w:pPr>
        <w:pStyle w:val="style49"/>
        <w:rPr/>
      </w:pPr>
      <w:r>
        <w:t>Prioritize scores: 1–5 Low; 6–14 Medium; 15–25 High. These are project-defined thresholds, not universal NIST ratings.</w:t>
      </w:r>
    </w:p>
    <w:p>
      <w:pPr>
        <w:pStyle w:val="style49"/>
        <w:rPr/>
      </w:pPr>
      <w:r>
        <w:t>Assign an owner, target date, recommended controls, and a qualitative residual-risk estimate.</w:t>
      </w:r>
    </w:p>
    <w:p>
      <w:pPr>
        <w:pStyle w:val="style49"/>
        <w:rPr/>
      </w:pPr>
      <w:r>
        <w:t>Map the scenario or control to relevant NIST CSF 2.0 functions at a high level.</w:t>
      </w:r>
    </w:p>
    <w:p>
      <w:pPr>
        <w:pStyle w:val="style1"/>
        <w:rPr/>
      </w:pPr>
      <w:r>
        <w:t>6. Risk register summary</w:t>
      </w:r>
    </w:p>
    <w:p>
      <w:pPr>
        <w:pStyle w:val="style0"/>
        <w:rPr/>
      </w:pPr>
      <w:r>
        <w:t>The accompanying spreadsheet contains ten example scenarios. The highest-scoring items include phishing, unpatched systems, ransomware propagation, backup compromise, and excessive privileges. These are initial priorities because they can enable initial access, increase the scope of compromise, or make recovery more difficult.</w:t>
      </w:r>
    </w:p>
    <w:tbl>
      <w:tblPr>
        <w:tblStyle w:val="style172"/>
        <w:tblW w:w="0" w:type="auto"/>
        <w:jc w:val="center"/>
        <w:tblLook w:val="04A0" w:firstRow="1" w:lastRow="0" w:firstColumn="1" w:lastColumn="0" w:noHBand="0" w:noVBand="1"/>
      </w:tblPr>
      <w:tblGrid>
        <w:gridCol w:w="1987"/>
        <w:gridCol w:w="1987"/>
        <w:gridCol w:w="1987"/>
        <w:gridCol w:w="1987"/>
        <w:gridCol w:w="1987"/>
      </w:tblGrid>
      <w:tr>
        <w:trPr>
          <w:jc w:val="center"/>
        </w:trPr>
        <w:tc>
          <w:tcPr>
            <w:tcW w:w="1987" w:type="dxa"/>
            <w:tcBorders/>
          </w:tcPr>
          <w:p>
            <w:pPr>
              <w:pStyle w:val="style0"/>
              <w:rPr/>
            </w:pPr>
            <w:r>
              <w:rPr>
                <w:sz w:val="16"/>
              </w:rPr>
              <w:t>ID</w:t>
            </w:r>
          </w:p>
        </w:tc>
        <w:tc>
          <w:tcPr>
            <w:tcW w:w="1987" w:type="dxa"/>
            <w:tcBorders/>
          </w:tcPr>
          <w:p>
            <w:pPr>
              <w:pStyle w:val="style0"/>
              <w:rPr/>
            </w:pPr>
            <w:r>
              <w:rPr>
                <w:sz w:val="16"/>
              </w:rPr>
              <w:t>Risk scenario</w:t>
            </w:r>
          </w:p>
        </w:tc>
        <w:tc>
          <w:tcPr>
            <w:tcW w:w="1987" w:type="dxa"/>
            <w:tcBorders/>
          </w:tcPr>
          <w:p>
            <w:pPr>
              <w:pStyle w:val="style0"/>
              <w:rPr/>
            </w:pPr>
            <w:r>
              <w:rPr>
                <w:sz w:val="16"/>
              </w:rPr>
              <w:t>Likelihood</w:t>
            </w:r>
          </w:p>
        </w:tc>
        <w:tc>
          <w:tcPr>
            <w:tcW w:w="1987" w:type="dxa"/>
            <w:tcBorders/>
          </w:tcPr>
          <w:p>
            <w:pPr>
              <w:pStyle w:val="style0"/>
              <w:rPr/>
            </w:pPr>
            <w:r>
              <w:rPr>
                <w:sz w:val="16"/>
              </w:rPr>
              <w:t>Impact</w:t>
            </w:r>
          </w:p>
        </w:tc>
        <w:tc>
          <w:tcPr>
            <w:tcW w:w="1987" w:type="dxa"/>
            <w:tcBorders/>
          </w:tcPr>
          <w:p>
            <w:pPr>
              <w:pStyle w:val="style0"/>
              <w:rPr/>
            </w:pPr>
            <w:r>
              <w:rPr>
                <w:sz w:val="16"/>
              </w:rPr>
              <w:t>Score / level</w:t>
            </w:r>
          </w:p>
        </w:tc>
      </w:tr>
      <w:tr>
        <w:tblPrEx/>
        <w:trPr>
          <w:jc w:val="center"/>
        </w:trPr>
        <w:tc>
          <w:tcPr>
            <w:tcW w:w="1987" w:type="dxa"/>
            <w:tcBorders/>
            <w:vAlign w:val="center"/>
          </w:tcPr>
          <w:p>
            <w:pPr>
              <w:pStyle w:val="style0"/>
              <w:rPr/>
            </w:pPr>
            <w:r>
              <w:rPr>
                <w:sz w:val="16"/>
              </w:rPr>
              <w:t>R01</w:t>
            </w:r>
          </w:p>
        </w:tc>
        <w:tc>
          <w:tcPr>
            <w:tcW w:w="1987" w:type="dxa"/>
            <w:tcBorders/>
            <w:vAlign w:val="center"/>
          </w:tcPr>
          <w:p>
            <w:pPr>
              <w:pStyle w:val="style0"/>
              <w:rPr/>
            </w:pPr>
            <w:r>
              <w:rPr>
                <w:sz w:val="16"/>
              </w:rPr>
              <w:t>Phishing email leads to credential theft or malware execution</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20 / High</w:t>
            </w:r>
          </w:p>
        </w:tc>
      </w:tr>
      <w:tr>
        <w:tblPrEx/>
        <w:trPr>
          <w:jc w:val="center"/>
        </w:trPr>
        <w:tc>
          <w:tcPr>
            <w:tcW w:w="1987" w:type="dxa"/>
            <w:tcBorders/>
            <w:vAlign w:val="center"/>
          </w:tcPr>
          <w:p>
            <w:pPr>
              <w:pStyle w:val="style0"/>
              <w:rPr/>
            </w:pPr>
            <w:r>
              <w:rPr>
                <w:sz w:val="16"/>
              </w:rPr>
              <w:t>R02</w:t>
            </w:r>
          </w:p>
        </w:tc>
        <w:tc>
          <w:tcPr>
            <w:tcW w:w="1987" w:type="dxa"/>
            <w:tcBorders/>
            <w:vAlign w:val="center"/>
          </w:tcPr>
          <w:p>
            <w:pPr>
              <w:pStyle w:val="style0"/>
              <w:rPr/>
            </w:pPr>
            <w:r>
              <w:rPr>
                <w:sz w:val="16"/>
              </w:rPr>
              <w:t>Unpatched operating system or application is exploited</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16 / High</w:t>
            </w:r>
          </w:p>
        </w:tc>
      </w:tr>
      <w:tr>
        <w:tblPrEx/>
        <w:trPr>
          <w:jc w:val="center"/>
        </w:trPr>
        <w:tc>
          <w:tcPr>
            <w:tcW w:w="1987" w:type="dxa"/>
            <w:tcBorders/>
            <w:vAlign w:val="center"/>
          </w:tcPr>
          <w:p>
            <w:pPr>
              <w:pStyle w:val="style0"/>
              <w:rPr/>
            </w:pPr>
            <w:r>
              <w:rPr>
                <w:sz w:val="16"/>
              </w:rPr>
              <w:t>R03</w:t>
            </w:r>
          </w:p>
        </w:tc>
        <w:tc>
          <w:tcPr>
            <w:tcW w:w="1987" w:type="dxa"/>
            <w:tcBorders/>
            <w:vAlign w:val="center"/>
          </w:tcPr>
          <w:p>
            <w:pPr>
              <w:pStyle w:val="style0"/>
              <w:rPr/>
            </w:pPr>
            <w:r>
              <w:rPr>
                <w:sz w:val="16"/>
              </w:rPr>
              <w:t>Ransomware spreads laterally across the network</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15 / High</w:t>
            </w:r>
          </w:p>
        </w:tc>
      </w:tr>
      <w:tr>
        <w:tblPrEx/>
        <w:trPr>
          <w:jc w:val="center"/>
        </w:trPr>
        <w:tc>
          <w:tcPr>
            <w:tcW w:w="1987" w:type="dxa"/>
            <w:tcBorders/>
            <w:vAlign w:val="center"/>
          </w:tcPr>
          <w:p>
            <w:pPr>
              <w:pStyle w:val="style0"/>
              <w:rPr/>
            </w:pPr>
            <w:r>
              <w:rPr>
                <w:sz w:val="16"/>
              </w:rPr>
              <w:t>R04</w:t>
            </w:r>
          </w:p>
        </w:tc>
        <w:tc>
          <w:tcPr>
            <w:tcW w:w="1987" w:type="dxa"/>
            <w:tcBorders/>
            <w:vAlign w:val="center"/>
          </w:tcPr>
          <w:p>
            <w:pPr>
              <w:pStyle w:val="style0"/>
              <w:rPr/>
            </w:pPr>
            <w:r>
              <w:rPr>
                <w:sz w:val="16"/>
              </w:rPr>
              <w:t>Backups are encrypted, deleted, or unavailable during recovery</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15 / High</w:t>
            </w:r>
          </w:p>
        </w:tc>
      </w:tr>
      <w:tr>
        <w:tblPrEx/>
        <w:trPr>
          <w:jc w:val="center"/>
        </w:trPr>
        <w:tc>
          <w:tcPr>
            <w:tcW w:w="1987" w:type="dxa"/>
            <w:tcBorders/>
            <w:vAlign w:val="center"/>
          </w:tcPr>
          <w:p>
            <w:pPr>
              <w:pStyle w:val="style0"/>
              <w:rPr/>
            </w:pPr>
            <w:r>
              <w:rPr>
                <w:sz w:val="16"/>
              </w:rPr>
              <w:t>R05</w:t>
            </w:r>
          </w:p>
        </w:tc>
        <w:tc>
          <w:tcPr>
            <w:tcW w:w="1987" w:type="dxa"/>
            <w:tcBorders/>
            <w:vAlign w:val="center"/>
          </w:tcPr>
          <w:p>
            <w:pPr>
              <w:pStyle w:val="style0"/>
              <w:rPr/>
            </w:pPr>
            <w:r>
              <w:rPr>
                <w:sz w:val="16"/>
              </w:rPr>
              <w:t>Excessive privileges enable broad system compromise</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R06</w:t>
            </w:r>
          </w:p>
        </w:tc>
        <w:tc>
          <w:tcPr>
            <w:tcW w:w="1987" w:type="dxa"/>
            <w:tcBorders/>
            <w:vAlign w:val="center"/>
          </w:tcPr>
          <w:p>
            <w:pPr>
              <w:pStyle w:val="style0"/>
              <w:rPr/>
            </w:pPr>
            <w:r>
              <w:rPr>
                <w:sz w:val="16"/>
              </w:rPr>
              <w:t>Suspicious activity is not detected quickly</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R07</w:t>
            </w:r>
          </w:p>
        </w:tc>
        <w:tc>
          <w:tcPr>
            <w:tcW w:w="1987" w:type="dxa"/>
            <w:tcBorders/>
            <w:vAlign w:val="center"/>
          </w:tcPr>
          <w:p>
            <w:pPr>
              <w:pStyle w:val="style0"/>
              <w:rPr/>
            </w:pPr>
            <w:r>
              <w:rPr>
                <w:sz w:val="16"/>
              </w:rPr>
              <w:t>Incident response roles and communications are unclear</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R08</w:t>
            </w:r>
          </w:p>
        </w:tc>
        <w:tc>
          <w:tcPr>
            <w:tcW w:w="1987" w:type="dxa"/>
            <w:tcBorders/>
            <w:vAlign w:val="center"/>
          </w:tcPr>
          <w:p>
            <w:pPr>
              <w:pStyle w:val="style0"/>
              <w:rPr/>
            </w:pPr>
            <w:r>
              <w:rPr>
                <w:sz w:val="16"/>
              </w:rPr>
              <w:t>Sensitive data is exposed during or after an incident</w:t>
            </w:r>
          </w:p>
        </w:tc>
        <w:tc>
          <w:tcPr>
            <w:tcW w:w="1987" w:type="dxa"/>
            <w:tcBorders/>
            <w:vAlign w:val="center"/>
          </w:tcPr>
          <w:p>
            <w:pPr>
              <w:pStyle w:val="style0"/>
              <w:rPr/>
            </w:pPr>
            <w:r>
              <w:rPr>
                <w:sz w:val="16"/>
              </w:rPr>
              <w:t>2</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10 / Medium</w:t>
            </w:r>
          </w:p>
        </w:tc>
      </w:tr>
      <w:tr>
        <w:tblPrEx/>
        <w:trPr>
          <w:jc w:val="center"/>
        </w:trPr>
        <w:tc>
          <w:tcPr>
            <w:tcW w:w="1987" w:type="dxa"/>
            <w:tcBorders/>
            <w:vAlign w:val="center"/>
          </w:tcPr>
          <w:p>
            <w:pPr>
              <w:pStyle w:val="style0"/>
              <w:rPr/>
            </w:pPr>
            <w:r>
              <w:rPr>
                <w:sz w:val="16"/>
              </w:rPr>
              <w:t>R09</w:t>
            </w:r>
          </w:p>
        </w:tc>
        <w:tc>
          <w:tcPr>
            <w:tcW w:w="1987" w:type="dxa"/>
            <w:tcBorders/>
            <w:vAlign w:val="center"/>
          </w:tcPr>
          <w:p>
            <w:pPr>
              <w:pStyle w:val="style0"/>
              <w:rPr/>
            </w:pPr>
            <w:r>
              <w:rPr>
                <w:sz w:val="16"/>
              </w:rPr>
              <w:t>Third-party remote access is abused</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R10</w:t>
            </w:r>
          </w:p>
        </w:tc>
        <w:tc>
          <w:tcPr>
            <w:tcW w:w="1987" w:type="dxa"/>
            <w:tcBorders/>
            <w:vAlign w:val="center"/>
          </w:tcPr>
          <w:p>
            <w:pPr>
              <w:pStyle w:val="style0"/>
              <w:rPr/>
            </w:pPr>
            <w:r>
              <w:rPr>
                <w:sz w:val="16"/>
              </w:rPr>
              <w:t>Recovery is delayed because restoration priorities are unknown</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bl>
    <w:p>
      <w:pPr>
        <w:pStyle w:val="style1"/>
        <w:rPr/>
      </w:pPr>
      <w:r>
        <w:t>7. Mapping to NIST CSF 2.0</w:t>
      </w:r>
    </w:p>
    <w:tbl>
      <w:tblPr>
        <w:tblStyle w:val="style172"/>
        <w:tblW w:w="0" w:type="auto"/>
        <w:tblLook w:val="04A0" w:firstRow="1" w:lastRow="0" w:firstColumn="1" w:lastColumn="0" w:noHBand="0" w:noVBand="1"/>
      </w:tblPr>
      <w:tblGrid>
        <w:gridCol w:w="4968"/>
        <w:gridCol w:w="4968"/>
      </w:tblGrid>
      <w:tr>
        <w:trPr/>
        <w:tc>
          <w:tcPr>
            <w:tcW w:w="4968" w:type="dxa"/>
            <w:tcBorders/>
          </w:tcPr>
          <w:p>
            <w:pPr>
              <w:pStyle w:val="style0"/>
              <w:rPr/>
            </w:pPr>
            <w:r>
              <w:t>CSF function</w:t>
            </w:r>
          </w:p>
        </w:tc>
        <w:tc>
          <w:tcPr>
            <w:tcW w:w="4968" w:type="dxa"/>
            <w:tcBorders/>
          </w:tcPr>
          <w:p>
            <w:pPr>
              <w:pStyle w:val="style0"/>
              <w:rPr/>
            </w:pPr>
            <w:r>
              <w:t>Example application in this project</w:t>
            </w:r>
          </w:p>
        </w:tc>
      </w:tr>
      <w:tr>
        <w:tblPrEx/>
        <w:trPr/>
        <w:tc>
          <w:tcPr>
            <w:tcW w:w="4968" w:type="dxa"/>
            <w:tcBorders/>
          </w:tcPr>
          <w:p>
            <w:pPr>
              <w:pStyle w:val="style0"/>
              <w:rPr/>
            </w:pPr>
            <w:r>
              <w:t>Govern</w:t>
            </w:r>
          </w:p>
        </w:tc>
        <w:tc>
          <w:tcPr>
            <w:tcW w:w="4968" w:type="dxa"/>
            <w:tcBorders/>
          </w:tcPr>
          <w:p>
            <w:pPr>
              <w:pStyle w:val="style0"/>
              <w:rPr/>
            </w:pPr>
            <w:r>
              <w:t>Establish cybersecurity policy, responsibilities, third-party expectations, and risk oversight.</w:t>
            </w:r>
          </w:p>
        </w:tc>
      </w:tr>
      <w:tr>
        <w:tblPrEx/>
        <w:trPr/>
        <w:tc>
          <w:tcPr>
            <w:tcW w:w="4968" w:type="dxa"/>
            <w:tcBorders/>
          </w:tcPr>
          <w:p>
            <w:pPr>
              <w:pStyle w:val="style0"/>
              <w:rPr/>
            </w:pPr>
            <w:r>
              <w:t>Identify</w:t>
            </w:r>
          </w:p>
        </w:tc>
        <w:tc>
          <w:tcPr>
            <w:tcW w:w="4968" w:type="dxa"/>
            <w:tcBorders/>
          </w:tcPr>
          <w:p>
            <w:pPr>
              <w:pStyle w:val="style0"/>
              <w:rPr/>
            </w:pPr>
            <w:r>
              <w:t>Maintain asset and data inventories; understand business impact and dependencies.</w:t>
            </w:r>
          </w:p>
        </w:tc>
      </w:tr>
      <w:tr>
        <w:tblPrEx/>
        <w:trPr/>
        <w:tc>
          <w:tcPr>
            <w:tcW w:w="4968" w:type="dxa"/>
            <w:tcBorders/>
          </w:tcPr>
          <w:p>
            <w:pPr>
              <w:pStyle w:val="style0"/>
              <w:rPr/>
            </w:pPr>
            <w:r>
              <w:t>Protect</w:t>
            </w:r>
          </w:p>
        </w:tc>
        <w:tc>
          <w:tcPr>
            <w:tcW w:w="4968" w:type="dxa"/>
            <w:tcBorders/>
          </w:tcPr>
          <w:p>
            <w:pPr>
              <w:pStyle w:val="style0"/>
              <w:rPr/>
            </w:pPr>
            <w:r>
              <w:t>Apply MFA, least privilege, patching, endpoint protection, segmentation, and resilient backups.</w:t>
            </w:r>
          </w:p>
        </w:tc>
      </w:tr>
      <w:tr>
        <w:tblPrEx/>
        <w:trPr/>
        <w:tc>
          <w:tcPr>
            <w:tcW w:w="4968" w:type="dxa"/>
            <w:tcBorders/>
          </w:tcPr>
          <w:p>
            <w:pPr>
              <w:pStyle w:val="style0"/>
              <w:rPr/>
            </w:pPr>
            <w:r>
              <w:t>Detect</w:t>
            </w:r>
          </w:p>
        </w:tc>
        <w:tc>
          <w:tcPr>
            <w:tcW w:w="4968" w:type="dxa"/>
            <w:tcBorders/>
          </w:tcPr>
          <w:p>
            <w:pPr>
              <w:pStyle w:val="style0"/>
              <w:rPr/>
            </w:pPr>
            <w:r>
              <w:t>Collect and monitor relevant logs; alert on suspicious authentication, endpoint, and file activity.</w:t>
            </w:r>
          </w:p>
        </w:tc>
      </w:tr>
      <w:tr>
        <w:tblPrEx/>
        <w:trPr/>
        <w:tc>
          <w:tcPr>
            <w:tcW w:w="4968" w:type="dxa"/>
            <w:tcBorders/>
          </w:tcPr>
          <w:p>
            <w:pPr>
              <w:pStyle w:val="style0"/>
              <w:rPr/>
            </w:pPr>
            <w:r>
              <w:t>Respond</w:t>
            </w:r>
          </w:p>
        </w:tc>
        <w:tc>
          <w:tcPr>
            <w:tcW w:w="4968" w:type="dxa"/>
            <w:tcBorders/>
          </w:tcPr>
          <w:p>
            <w:pPr>
              <w:pStyle w:val="style0"/>
              <w:rPr/>
            </w:pPr>
            <w:r>
              <w:t>Use an incident response plan, defined roles, evidence-preservation procedures, and communications.</w:t>
            </w:r>
          </w:p>
        </w:tc>
      </w:tr>
      <w:tr>
        <w:tblPrEx/>
        <w:trPr/>
        <w:tc>
          <w:tcPr>
            <w:tcW w:w="4968" w:type="dxa"/>
            <w:tcBorders/>
          </w:tcPr>
          <w:p>
            <w:pPr>
              <w:pStyle w:val="style0"/>
              <w:rPr/>
            </w:pPr>
            <w:r>
              <w:t>Recover</w:t>
            </w:r>
          </w:p>
        </w:tc>
        <w:tc>
          <w:tcPr>
            <w:tcW w:w="4968" w:type="dxa"/>
            <w:tcBorders/>
          </w:tcPr>
          <w:p>
            <w:pPr>
              <w:pStyle w:val="style0"/>
              <w:rPr/>
            </w:pPr>
            <w:r>
              <w:t>Prioritize critical services, restore from verified backups, and validate systems before reconnecting.</w:t>
            </w:r>
          </w:p>
        </w:tc>
      </w:tr>
    </w:tbl>
    <w:p>
      <w:pPr>
        <w:pStyle w:val="style1"/>
        <w:rPr/>
      </w:pPr>
      <w:r>
        <w:t>8. Recommended control plan</w:t>
      </w:r>
    </w:p>
    <w:tbl>
      <w:tblPr>
        <w:tblStyle w:val="style172"/>
        <w:tblW w:w="0" w:type="auto"/>
        <w:tblLook w:val="04A0" w:firstRow="1" w:lastRow="0" w:firstColumn="1" w:lastColumn="0" w:noHBand="0" w:noVBand="1"/>
      </w:tblPr>
      <w:tblGrid>
        <w:gridCol w:w="4968"/>
        <w:gridCol w:w="4968"/>
      </w:tblGrid>
      <w:tr>
        <w:trPr/>
        <w:tc>
          <w:tcPr>
            <w:tcW w:w="4968" w:type="dxa"/>
            <w:tcBorders/>
          </w:tcPr>
          <w:p>
            <w:pPr>
              <w:pStyle w:val="style0"/>
              <w:rPr/>
            </w:pPr>
            <w:r>
              <w:t>Time frame</w:t>
            </w:r>
          </w:p>
        </w:tc>
        <w:tc>
          <w:tcPr>
            <w:tcW w:w="4968" w:type="dxa"/>
            <w:tcBorders/>
          </w:tcPr>
          <w:p>
            <w:pPr>
              <w:pStyle w:val="style0"/>
              <w:rPr/>
            </w:pPr>
            <w:r>
              <w:t>Actions</w:t>
            </w:r>
          </w:p>
        </w:tc>
      </w:tr>
      <w:tr>
        <w:tblPrEx/>
        <w:trPr/>
        <w:tc>
          <w:tcPr>
            <w:tcW w:w="4968" w:type="dxa"/>
            <w:tcBorders/>
          </w:tcPr>
          <w:p>
            <w:pPr>
              <w:pStyle w:val="style0"/>
              <w:rPr/>
            </w:pPr>
            <w:r>
              <w:t>Immediate (0–7 days)</w:t>
            </w:r>
          </w:p>
        </w:tc>
        <w:tc>
          <w:tcPr>
            <w:tcW w:w="4968" w:type="dxa"/>
            <w:tcBorders/>
          </w:tcPr>
          <w:p>
            <w:pPr>
              <w:pStyle w:val="style0"/>
              <w:rPr/>
            </w:pPr>
            <w:r>
              <w:t>Confirm backup availability; protect backup credentials; enforce MFA for administrators and remote access; verify incident-response contacts.</w:t>
            </w:r>
          </w:p>
        </w:tc>
      </w:tr>
      <w:tr>
        <w:tblPrEx/>
        <w:trPr/>
        <w:tc>
          <w:tcPr>
            <w:tcW w:w="4968" w:type="dxa"/>
            <w:tcBorders/>
          </w:tcPr>
          <w:p>
            <w:pPr>
              <w:pStyle w:val="style0"/>
              <w:rPr/>
            </w:pPr>
            <w:r>
              <w:t>Short term (8–30 days)</w:t>
            </w:r>
          </w:p>
        </w:tc>
        <w:tc>
          <w:tcPr>
            <w:tcW w:w="4968" w:type="dxa"/>
            <w:tcBorders/>
          </w:tcPr>
          <w:p>
            <w:pPr>
              <w:pStyle w:val="style0"/>
              <w:rPr/>
            </w:pPr>
            <w:r>
              <w:t>Prioritize critical patches; review privileged accounts; validate endpoint protection; conduct a sample restore test; deliver phishing awareness.</w:t>
            </w:r>
          </w:p>
        </w:tc>
      </w:tr>
      <w:tr>
        <w:tblPrEx/>
        <w:trPr/>
        <w:tc>
          <w:tcPr>
            <w:tcW w:w="4968" w:type="dxa"/>
            <w:tcBorders/>
          </w:tcPr>
          <w:p>
            <w:pPr>
              <w:pStyle w:val="style0"/>
              <w:rPr/>
            </w:pPr>
            <w:r>
              <w:t>Medium term (31–60 days)</w:t>
            </w:r>
          </w:p>
        </w:tc>
        <w:tc>
          <w:tcPr>
            <w:tcW w:w="4968" w:type="dxa"/>
            <w:tcBorders/>
          </w:tcPr>
          <w:p>
            <w:pPr>
              <w:pStyle w:val="style0"/>
              <w:rPr/>
            </w:pPr>
            <w:r>
              <w:t>Improve network segmentation; centralize key logs; review third-party access; document critical service recovery order.</w:t>
            </w:r>
          </w:p>
        </w:tc>
      </w:tr>
      <w:tr>
        <w:tblPrEx/>
        <w:trPr/>
        <w:tc>
          <w:tcPr>
            <w:tcW w:w="4968" w:type="dxa"/>
            <w:tcBorders/>
          </w:tcPr>
          <w:p>
            <w:pPr>
              <w:pStyle w:val="style0"/>
              <w:rPr/>
            </w:pPr>
            <w:r>
              <w:t>Ongoing</w:t>
            </w:r>
          </w:p>
        </w:tc>
        <w:tc>
          <w:tcPr>
            <w:tcW w:w="4968" w:type="dxa"/>
            <w:tcBorders/>
          </w:tcPr>
          <w:p>
            <w:pPr>
              <w:pStyle w:val="style0"/>
              <w:rPr/>
            </w:pPr>
            <w:r>
              <w:t>Run tabletop exercises; retest backups; review risks quarterly and after material changes; track remediation owners and dates.</w:t>
            </w:r>
          </w:p>
        </w:tc>
      </w:tr>
    </w:tbl>
    <w:p>
      <w:pPr>
        <w:pStyle w:val="style1"/>
        <w:rPr/>
      </w:pPr>
      <w:r>
        <w:t>9. Incident response and recovery outline</w:t>
      </w:r>
    </w:p>
    <w:p>
      <w:pPr>
        <w:pStyle w:val="style2"/>
        <w:rPr/>
      </w:pPr>
      <w:r>
        <w:t>Prepare</w:t>
      </w:r>
    </w:p>
    <w:p>
      <w:pPr>
        <w:pStyle w:val="style0"/>
        <w:rPr/>
      </w:pPr>
      <w:r>
        <w:t>Maintain current asset lists, contact details, backup procedures, and decision authority. Rehearse the plan.</w:t>
      </w:r>
    </w:p>
    <w:p>
      <w:pPr>
        <w:pStyle w:val="style2"/>
        <w:rPr/>
      </w:pPr>
      <w:r>
        <w:t>Detect and analyze</w:t>
      </w:r>
    </w:p>
    <w:p>
      <w:pPr>
        <w:pStyle w:val="style0"/>
        <w:rPr/>
      </w:pPr>
      <w:r>
        <w:t>Validate alerts, determine likely scope, preserve relevant logs, and document decisions.</w:t>
      </w:r>
    </w:p>
    <w:p>
      <w:pPr>
        <w:pStyle w:val="style2"/>
        <w:rPr/>
      </w:pPr>
      <w:r>
        <w:t>Contain</w:t>
      </w:r>
    </w:p>
    <w:p>
      <w:pPr>
        <w:pStyle w:val="style0"/>
        <w:rPr/>
      </w:pPr>
      <w:r>
        <w:t>Use approved procedures to isolate affected devices or accounts. Avoid actions that unnecessarily destroy evidence.</w:t>
      </w:r>
    </w:p>
    <w:p>
      <w:pPr>
        <w:pStyle w:val="style2"/>
        <w:rPr/>
      </w:pPr>
      <w:r>
        <w:t>Eradicate and recover</w:t>
      </w:r>
    </w:p>
    <w:p>
      <w:pPr>
        <w:pStyle w:val="style0"/>
        <w:rPr/>
      </w:pPr>
      <w:r>
        <w:t>Remove the cause where understood, rebuild from trusted sources, restore verified clean backups, rotate affected credentials, and monitor for recurrence.</w:t>
      </w:r>
    </w:p>
    <w:p>
      <w:pPr>
        <w:pStyle w:val="style2"/>
        <w:rPr/>
      </w:pPr>
      <w:r>
        <w:t>Post-incident review</w:t>
      </w:r>
    </w:p>
    <w:p>
      <w:pPr>
        <w:pStyle w:val="style0"/>
        <w:rPr/>
      </w:pPr>
      <w:r>
        <w:t>Record timeline and impact, identify control gaps, assign corrective actions, and update the risk register.</w:t>
      </w:r>
    </w:p>
    <w:p>
      <w:pPr>
        <w:pStyle w:val="style0"/>
        <w:rPr/>
      </w:pPr>
      <w:r>
        <w:t>Operational caution: during a real incident, follow the organization's incident-response authority and legal requirements. Do not reconnect potentially compromised systems until they have been assessed.</w:t>
      </w:r>
    </w:p>
    <w:p>
      <w:pPr>
        <w:pStyle w:val="style1"/>
        <w:rPr/>
      </w:pPr>
      <w:r>
        <w:t>10. Expected outcomes and evaluation</w:t>
      </w:r>
    </w:p>
    <w:p>
      <w:pPr>
        <w:pStyle w:val="style0"/>
        <w:rPr/>
      </w:pPr>
      <w:r>
        <w:t>Expected deliverables are a prioritized risk register, a high-level NIST CSF mapping, and an actionable control plan. The quality of the assessment can be evaluated by checking that every risk has a clear scenario, a defined likelihood and impact rationale, a named owner role, a target date, and a measurable action. Because this is a hypothetical desktop assessment, no claims are made that security controls were deployed or that risk was reduced in a live environment.</w:t>
      </w:r>
    </w:p>
    <w:p>
      <w:pPr>
        <w:pStyle w:val="style1"/>
        <w:rPr/>
      </w:pPr>
      <w:r>
        <w:t>11. Limitations</w:t>
      </w:r>
    </w:p>
    <w:p>
      <w:pPr>
        <w:pStyle w:val="style0"/>
        <w:rPr/>
      </w:pPr>
      <w:r>
        <w:t>The assessment uses hypothetical assumptions and qualitative ratings. It is not a penetration test, forensic investigation, compliance certification, or guarantee of protection. Real risk ratings require interviews, asset and control evidence, business impact analysis, and organization-specific threat information.</w:t>
      </w:r>
    </w:p>
    <w:p>
      <w:pPr>
        <w:pStyle w:val="style1"/>
        <w:rPr/>
      </w:pPr>
      <w:r>
        <w:t>12. Conclusion</w:t>
      </w:r>
    </w:p>
    <w:p>
      <w:pPr>
        <w:pStyle w:val="style0"/>
        <w:rPr/>
      </w:pPr>
      <w:r>
        <w:t>A structured ransomware risk assessment helps an organization focus on the controls that most directly reduce the likelihood and impact of an incident. This project illustrates how a risk register can connect scenarios, owners, actions, timelines, and the NIST CSF 2.0 functions. The most important practical priorities are strong identity security, timely patching, layered detection, restricted privileges, resilient tested backups, and a rehearsed response and recovery process.</w:t>
      </w:r>
    </w:p>
    <w:p>
      <w:pPr>
        <w:pStyle w:val="style1"/>
        <w:rPr/>
      </w:pPr>
      <w:r>
        <w:t>References</w:t>
      </w:r>
    </w:p>
    <w:p>
      <w:pPr>
        <w:pStyle w:val="style49"/>
        <w:rPr/>
      </w:pPr>
      <w:r>
        <w:t>National Institute of Standards and Technology (NIST), Cybersecurity Framework (CSF) 2.0, https://www.nist.gov/cyberframework</w:t>
      </w:r>
    </w:p>
    <w:p>
      <w:pPr>
        <w:pStyle w:val="style49"/>
        <w:rPr/>
      </w:pPr>
      <w:r>
        <w:t>NIST, The NIST Cybersecurity Framework (CSF) 2.0, https://doi.org/10.6028/NIST.CSWP.29</w:t>
      </w:r>
    </w:p>
    <w:p>
      <w:pPr>
        <w:pStyle w:val="style49"/>
        <w:rPr/>
      </w:pPr>
      <w:r>
        <w:t>CISA, StopRansomware, https://www.cisa.gov/stopransomware</w:t>
      </w:r>
    </w:p>
    <w:p>
      <w:pPr>
        <w:pStyle w:val="style49"/>
        <w:rPr/>
      </w:pPr>
      <w:r>
        <w:t>CISA, #StopRansomware Guide, https://www.cisa.gov/stopransomware/ransomware-guide</w:t>
      </w:r>
    </w:p>
    <w:p>
      <w:pPr>
        <w:pStyle w:val="style0"/>
        <w:rPr/>
      </w:pPr>
      <w:r>
        <w:t>Access note: verify that links remain current before final submission. Cite any additional material you consult.</w:t>
      </w:r>
    </w:p>
    <w:p>
      <w:pPr>
        <w:pStyle w:val="style1"/>
        <w:rPr/>
      </w:pPr>
      <w:r>
        <w:t>Appendix A — Viva preparation</w:t>
      </w:r>
    </w:p>
    <w:p>
      <w:pPr>
        <w:pStyle w:val="style0"/>
        <w:rPr/>
      </w:pPr>
      <w:r>
        <w:rPr>
          <w:b/>
        </w:rPr>
        <w:t xml:space="preserve">What is ransomware? </w:t>
      </w:r>
      <w:r>
        <w:t>Malware or an attack method that denies access to systems or data, often through encryption; some incidents also steal data.</w:t>
      </w:r>
    </w:p>
    <w:p>
      <w:pPr>
        <w:pStyle w:val="style0"/>
        <w:rPr/>
      </w:pPr>
      <w:r>
        <w:rPr>
          <w:b/>
        </w:rPr>
        <w:t xml:space="preserve">What is a risk register? </w:t>
      </w:r>
      <w:r>
        <w:t>A structured record of risk scenarios, likelihood, impact, controls, owners, and treatment actions.</w:t>
      </w:r>
    </w:p>
    <w:p>
      <w:pPr>
        <w:pStyle w:val="style0"/>
        <w:rPr/>
      </w:pPr>
      <w:r>
        <w:rPr>
          <w:b/>
        </w:rPr>
        <w:t xml:space="preserve">How is the score calculated? </w:t>
      </w:r>
      <w:r>
        <w:t>In this project, likelihood (1–5) is multiplied by impact (1–5). It is a simple prioritization method.</w:t>
      </w:r>
    </w:p>
    <w:p>
      <w:pPr>
        <w:pStyle w:val="style0"/>
        <w:rPr/>
      </w:pPr>
      <w:r>
        <w:rPr>
          <w:b/>
        </w:rPr>
        <w:t xml:space="preserve">Why are backups important? </w:t>
      </w:r>
      <w:r>
        <w:t>Verified, isolated or immutable backups can help restore services without relying on compromised systems.</w:t>
      </w:r>
    </w:p>
    <w:p>
      <w:pPr>
        <w:pStyle w:val="style0"/>
        <w:rPr/>
      </w:pPr>
      <w:r>
        <w:rPr>
          <w:b/>
        </w:rPr>
        <w:t xml:space="preserve">What is MFA? </w:t>
      </w:r>
      <w:r>
        <w:t>Multifactor authentication requires two or more different types of evidence to verify identity.</w:t>
      </w:r>
    </w:p>
    <w:p>
      <w:pPr>
        <w:pStyle w:val="style0"/>
        <w:rPr/>
      </w:pPr>
      <w:r>
        <w:rPr>
          <w:b/>
        </w:rPr>
        <w:t xml:space="preserve">Name the NIST CSF 2.0 functions. </w:t>
      </w:r>
      <w:r>
        <w:t>Govern, Identify, Protect, Detect, Respond, and Recover.</w:t>
      </w:r>
    </w:p>
    <w:p>
      <w:pPr>
        <w:pStyle w:val="style0"/>
        <w:rPr/>
      </w:pPr>
      <w:r>
        <w:rPr>
          <w:b/>
        </w:rPr>
        <w:t xml:space="preserve">Is this a live security audit? </w:t>
      </w:r>
      <w:r>
        <w:t>No. It is an illustrative assessment of a hypothetical organization; no real systems were tested.</w:t>
      </w:r>
    </w:p>
    <w:p>
      <w:pPr>
        <w:pStyle w:val="style0"/>
        <w:rPr/>
      </w:pPr>
      <w:r>
        <w:rPr>
          <w:b/>
        </w:rPr>
        <w:t xml:space="preserve">What is residual risk? </w:t>
      </w:r>
      <w:r>
        <w:t>Risk remaining after controls are applied; the estimate should be revisited using evidence.</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03f27be-c136-4c93-849c-04ed5062c40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f0abe93-51e0-457a-9972-b676291e5fc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f4e79"/>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2f5496"/>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515b81a-434e-4d30-9586-a3d70d89f07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362f6c1-d6c6-4539-8280-8ec6beb7546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c21d62c-862a-46ca-a6ee-86a8caf89ae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65d"/>
      <w:spacing w:val="5"/>
      <w:kern w:val="28"/>
      <w:sz w:val="50"/>
      <w:szCs w:val="52"/>
    </w:rPr>
  </w:style>
  <w:style w:type="character" w:customStyle="1" w:styleId="style4102">
    <w:name w:val="Title Char_5f82c849-5c31-4d09-bf02-585444bed16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c8d1c4b-69a1-49f2-8aeb-84152d3b6bfb"/>
    <w:basedOn w:val="style65"/>
    <w:next w:val="style4108"/>
    <w:link w:val="style180"/>
    <w:uiPriority w:val="29"/>
    <w:rPr>
      <w:i/>
      <w:iCs/>
      <w:color w:val="000000"/>
    </w:rPr>
  </w:style>
  <w:style w:type="character" w:customStyle="1" w:styleId="style4109">
    <w:name w:val="Heading 4 Char_861f4361-cbf2-4a32-9db7-67d655355ad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8e9d79a-8877-425e-b78d-5dcce0c1ca5e"/>
    <w:basedOn w:val="style65"/>
    <w:next w:val="style4110"/>
    <w:link w:val="style5"/>
    <w:uiPriority w:val="9"/>
    <w:rPr>
      <w:rFonts w:ascii="Calibri" w:cs="宋体" w:eastAsia="ＭＳ ゴシック" w:hAnsi="Calibri"/>
      <w:color w:val="243f60"/>
    </w:rPr>
  </w:style>
  <w:style w:type="character" w:customStyle="1" w:styleId="style4111">
    <w:name w:val="Heading 6 Char_a944b394-2b59-421e-aa5d-dfb444a92cea"/>
    <w:basedOn w:val="style65"/>
    <w:next w:val="style4111"/>
    <w:link w:val="style6"/>
    <w:uiPriority w:val="9"/>
    <w:rPr>
      <w:rFonts w:ascii="Calibri" w:cs="宋体" w:eastAsia="ＭＳ ゴシック" w:hAnsi="Calibri"/>
      <w:i/>
      <w:iCs/>
      <w:color w:val="243f60"/>
    </w:rPr>
  </w:style>
  <w:style w:type="character" w:customStyle="1" w:styleId="style4112">
    <w:name w:val="Heading 7 Char_c18fb6d1-f529-450f-a874-16a02f49e459"/>
    <w:basedOn w:val="style65"/>
    <w:next w:val="style4112"/>
    <w:link w:val="style7"/>
    <w:uiPriority w:val="9"/>
    <w:rPr>
      <w:rFonts w:ascii="Calibri" w:cs="宋体" w:eastAsia="ＭＳ ゴシック" w:hAnsi="Calibri"/>
      <w:i/>
      <w:iCs/>
      <w:color w:val="404040"/>
    </w:rPr>
  </w:style>
  <w:style w:type="character" w:customStyle="1" w:styleId="style4113">
    <w:name w:val="Heading 8 Char_027bbea7-e371-4d62-8b75-0c3c65d43b7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8cf28f7-636f-4ba5-8f0b-1ed4c2f3786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2b3073e-b580-4837-89bc-e4dcbaa3998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1424</Words>
  <Pages>1</Pages>
  <Characters>8850</Characters>
  <Application>WPS Office</Application>
  <DocSecurity>0</DocSecurity>
  <Paragraphs>171</Paragraphs>
  <ScaleCrop>false</ScaleCrop>
  <LinksUpToDate>false</LinksUpToDate>
  <CharactersWithSpaces>10163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RMX2040</lastModifiedBy>
  <dcterms:modified xsi:type="dcterms:W3CDTF">2026-10-23T10:02:19Z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7914830c95814a9ea677957648a77e86</vt:lpwstr>
  </property>
</Properties>
</file>