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Four-Fold Cross-Validation: PINN-LSTM vs. LSTM Baseline</w:t>
        <w:br/>
        <w:t>IGBT RUL Reproduction of Lu et al. (2023), NASA PCoE Dataset #8</w:t>
      </w:r>
    </w:p>
    <w:p>
      <w:pPr>
        <w:jc w:val="center"/>
      </w:pPr>
      <w:r>
        <w:rPr>
          <w:i/>
          <w:color w:val="555555"/>
          <w:sz w:val="16"/>
        </w:rPr>
        <w:t>Leave-one-device-out  |  MSE ×10⁻³  |  lower MSE / higher R² = better  |  ΔMSE&gt;0 and ΔMSE%&gt;0 mean PINN beat baseline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Test</w:t>
              <w:br/>
              <w:t>device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LSTM</w:t>
              <w:br/>
              <w:t>MSE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LSTM</w:t>
              <w:br/>
              <w:t>R²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PINN-LSTM</w:t>
              <w:br/>
              <w:t>MSE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PINN-LSTM</w:t>
              <w:br/>
              <w:t>R²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ΔMSE</w:t>
              <w:br/>
              <w:t>(abs)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ΔMSE</w:t>
              <w:br/>
              <w:t>(%)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Lu PINN</w:t>
              <w:br/>
              <w:t>MSE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Lu PINN</w:t>
              <w:br/>
              <w:t>R²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|dev|</w:t>
              <w:br/>
              <w:t>MSE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6"/>
              </w:rPr>
              <w:t>|dev|</w:t>
              <w:br/>
              <w:t>R²</w:t>
            </w:r>
          </w:p>
        </w:tc>
      </w:tr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9.48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0.877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9.28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0.880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0.20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+2.1%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7.29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0.881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2.00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5.95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0.922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8.33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0.891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-2.38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color w:val="B00000"/>
                <w:sz w:val="17"/>
              </w:rPr>
              <w:t>-40.0%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1.65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0.978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6.68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0.087</w:t>
            </w:r>
          </w:p>
        </w:tc>
      </w:tr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17.06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0.778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19.99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0.740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-2.93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color w:val="B00000"/>
                <w:sz w:val="17"/>
              </w:rPr>
              <w:t>-17.2%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5.96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0.898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14.03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0.158</w:t>
            </w:r>
          </w:p>
        </w:tc>
      </w:tr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3.71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0.952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5.35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0.930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-1.64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color w:val="B00000"/>
                <w:sz w:val="17"/>
              </w:rPr>
              <w:t>-44.2%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4.09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0.954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1.27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sz w:val="17"/>
              </w:rPr>
              <w:t>0.024</w:t>
            </w:r>
          </w:p>
        </w:tc>
      </w:tr>
      <w:tr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AVG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9.05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0.882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10.74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0.860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-1.69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color w:val="B00000"/>
                <w:sz w:val="17"/>
              </w:rPr>
              <w:t>-18.6%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4.75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0.930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5.99</w:t>
            </w:r>
          </w:p>
        </w:tc>
        <w:tc>
          <w:tcPr>
            <w:tcW w:type="dxa" w:w="969"/>
          </w:tcPr>
          <w:p>
            <w:pPr>
              <w:jc w:val="center"/>
            </w:pPr>
            <w:r/>
            <w:r>
              <w:rPr>
                <w:b/>
                <w:sz w:val="17"/>
              </w:rPr>
              <w:t>0.070</w:t>
            </w:r>
          </w:p>
        </w:tc>
      </w:tr>
    </w:tbl>
    <w:p>
      <w:pPr>
        <w:spacing w:before="200"/>
      </w:pPr>
      <w:r>
        <w:rPr>
          <w:b/>
          <w:sz w:val="18"/>
        </w:rPr>
        <w:t xml:space="preserve">Caption. </w:t>
      </w:r>
      <w:r>
        <w:rPr>
          <w:sz w:val="18"/>
        </w:rPr>
        <w:t>On this run the physics-informed LSTM did not improve on the vanilla LSTM baseline: averaged across the four folds its test MSE was 18.6% higher (worse) and mean R² fell from 0.882 to 0.860 — the opposite of the +13.9% MSE improvement Lu et al. (2023) report for PI-LSTM. The vanilla-LSTM baseline R² values are nonetheless reasonable (mean 0.882), confirming the recurrent model fits the degradation signal once the paper architecture (80-cell single-layer LSTM, seq=10) is used. The largest deviation from Lu et al. is on the device-4 fold (|ΔMSE| = 14.0×10⁻³, |ΔR²| = 0.158), where both models fit worst. [FILL IN after inspecting device 4: the most likely driver is the automatic end-of-life detection (FAILURE_DROP_THRESHOLD) and resulting RUL labels on this device's noisy late-life V_ce; confirm whether the detected N_f matches the paper's hand-identified failure point, and note the average-downsampling window vs the paper's per-square-wave-cycle averaging.] All runs use the Lu-matching configuration (80-cell single-layer LSTM, sequence length 10, α=0.1, β=100, γ=0.1, Adam, 2000 epochs) under leave-one-device-out cross-validation on NASA PCoE Dataset #8. The physics terms add little here because the monotonic-decreasing penalty sees only small violations under heavy window overlap, while the β=100 boundary penalty can distort training when predictions stray slightly outside [0,1]. Lu et al. PI-LSTM reference values are read from their Figure 10 (×10⁻³).</w:t>
      </w:r>
    </w:p>
    <w:p>
      <w:pPr>
        <w:spacing w:before="160"/>
      </w:pPr>
      <w:r>
        <w:rPr>
          <w:i/>
          <w:color w:val="777777"/>
          <w:sz w:val="15"/>
        </w:rPr>
        <w:t>Generated from outputs/four_fold_comparison.csv. Lu et al. (2023), Sci. Rep. 13:10167 (CC BY 4.0); reference values from Figure 10.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