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C5E" w:val="clear"/>
            <w:tcMar>
              <w:top w:type="dxa" w:w="400"/>
              <w:left w:type="dxa" w:w="400"/>
              <w:bottom w:type="dxa" w:w="400"/>
              <w:right w:type="dxa" w:w="400"/>
            </w:tcMar>
          </w:tcPr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TASK 3: THE KNOWLEDGE ANALYST</w:t>
            </w:r>
          </w:p>
          <w:p>
            <w:pPr>
              <w:spacing w:after="120" w:before="0"/>
              <w:jc w:val="center"/>
            </w:pPr>
            <w:r>
              <w:rPr>
                <w:rFonts w:ascii="Arial" w:cs="Arial" w:eastAsia="Arial" w:hAnsi="Arial"/>
                <w:color w:val="D0E4F7"/>
                <w:sz w:val="28"/>
                <w:szCs w:val="28"/>
              </w:rPr>
              <w:t xml:space="preserve">RAG Legal Document Intelligence System</w:t>
            </w:r>
          </w:p>
          <w:p>
            <w:pPr>
              <w:spacing w:after="0" w:before="200"/>
              <w:jc w:val="center"/>
            </w:pPr>
            <w:r>
              <w:rPr>
                <w:rFonts w:ascii="Arial" w:cs="Arial" w:eastAsia="Arial" w:hAnsi="Arial"/>
                <w:color w:val="D0E4F7"/>
                <w:sz w:val="20"/>
                <w:szCs w:val="20"/>
              </w:rPr>
              <w:t xml:space="preserve">Generative AI Internship  |  DecodeLabs Batch 2026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Domain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Legal Document AI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Technique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RAG Simulation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C5E"/>
                <w:sz w:val="18"/>
                <w:szCs w:val="18"/>
              </w:rPr>
              <w:t xml:space="preserve">Tool Used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Claude (Anthropic)</w:t>
            </w:r>
          </w:p>
        </w:tc>
      </w:tr>
    </w:tbl>
    <w:p>
      <w:pPr>
        <w:spacing w:after="120" w:before="0"/>
      </w:pPr>
    </w:p>
    <w:p>
      <w:r>
        <w:br w:type="page"/>
      </w:r>
    </w:p>
    <w:p>
      <w:pPr>
        <w:pStyle w:val="Heading1"/>
        <w:pBdr>
          <w:bottom w:val="single" w:color="2E6DA4" w:sz="3" w:space="6"/>
        </w:pBdr>
        <w:spacing w:after="180" w:before="360"/>
      </w:pPr>
      <w:r>
        <w:rPr>
          <w:rFonts w:ascii="Arial" w:cs="Arial" w:eastAsia="Arial" w:hAnsi="Arial"/>
          <w:b/>
          <w:bCs/>
          <w:color w:val="1A3C5E"/>
          <w:sz w:val="30"/>
          <w:szCs w:val="30"/>
        </w:rPr>
        <w:t xml:space="preserve">1. Project Overview</w:t>
      </w:r>
    </w:p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6DA4" w:sz="3"/>
              <w:left w:val="single" w:color="1A3C5E" w:sz="6"/>
              <w:bottom w:val="single" w:color="2E6DA4" w:sz="3"/>
              <w:right w:val="none" w:color="FFFFFF" w:sz="0"/>
            </w:tcBorders>
            <w:shd w:fill="E8F4FD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2E"/>
                <w:sz w:val="20"/>
                <w:szCs w:val="20"/>
              </w:rPr>
              <w:t xml:space="preserve">This project simulates a Retrieval-Augmented Generation (RAG) pipeline applied to real legal documents. The goal was to build a system that can intelligently extract structured information from lengthy legal texts without hallucinating facts.</w:t>
            </w:r>
          </w:p>
        </w:tc>
      </w:tr>
    </w:tbl>
    <w:p>
      <w:pPr>
        <w:spacing w:after="120" w:before="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1.1 Problem Statement</w:t>
      </w:r>
    </w:p>
    <w:p>
      <w:pPr>
        <w:spacing w:after="80" w:before="80" w:line="276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Law firms and legal teams deal with hundreds of pages of contracts, court opinions, and regulatory documents daily. Manually extracting key clauses, identifying risks, and tracking important dates is time-consuming and error-prone. This project addresses that challenge by using AI with strict citation constraints.</w:t>
      </w:r>
    </w:p>
    <w:p>
      <w:pPr>
        <w:spacing w:after="120" w:before="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1.2 Objectives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Feed a real legal document (Nebraska Supreme Court case) into an AI model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Engineer prompts that force the AI to cite specific page numbers and sections for every answer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Create a structured Summary Dashboard extracting Risks, Dates, and Stakeholders automatically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Demonstrate hallucination prevention through citation enforcement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Produce output usable as a legal brief or reference document</w:t>
      </w:r>
    </w:p>
    <w:p>
      <w:pPr>
        <w:spacing w:after="120" w:before="0"/>
      </w:pPr>
    </w:p>
    <w:p>
      <w:pPr>
        <w:pStyle w:val="Heading1"/>
        <w:pBdr>
          <w:bottom w:val="single" w:color="2E6DA4" w:sz="3" w:space="6"/>
        </w:pBdr>
        <w:spacing w:after="180" w:before="360"/>
      </w:pPr>
      <w:r>
        <w:rPr>
          <w:rFonts w:ascii="Arial" w:cs="Arial" w:eastAsia="Arial" w:hAnsi="Arial"/>
          <w:b/>
          <w:bCs/>
          <w:color w:val="1A3C5E"/>
          <w:sz w:val="30"/>
          <w:szCs w:val="30"/>
        </w:rPr>
        <w:t xml:space="preserve">2. Source Document</w:t>
      </w:r>
    </w:p>
    <w:p>
      <w:pPr>
        <w:spacing w:after="120" w:before="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2.1 Case Details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Case Name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American Exchange Bank v. Topp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Citation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321 Nebraska Reports 409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Case Number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No. S-25-290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Decision Date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May 15, 2026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Court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Nebraska Supreme Court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1A2E"/>
                <w:sz w:val="18"/>
                <w:szCs w:val="18"/>
              </w:rPr>
              <w:t xml:space="preserve">Document Length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Multi-page legal opinion with background, analysis, dissent sections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Key Legal Issue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Antideficiency statutes, guarantor liability, enforceability of waiver provisions in trust deed transactions</w:t>
            </w:r>
          </w:p>
        </w:tc>
      </w:tr>
    </w:tbl>
    <w:p>
      <w:pPr>
        <w:spacing w:after="120" w:before="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2.2 Why This Document?</w:t>
      </w:r>
    </w:p>
    <w:p>
      <w:pPr>
        <w:spacing w:after="80" w:before="80" w:line="276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case was deliberately chosen because it is: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Long and complex with multiple legal issues across many pages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Dense with financial figures, dates, and named parties — easy to hallucinate if not cited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Contains a dissenting opinion, adding nuance that requires careful extraction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Mirrors real-world legal documents a law firm would process</w:t>
      </w:r>
    </w:p>
    <w:p>
      <w:pPr>
        <w:spacing w:after="120" w:before="0"/>
      </w:pPr>
    </w:p>
    <w:p>
      <w:r>
        <w:br w:type="page"/>
      </w:r>
    </w:p>
    <w:p>
      <w:pPr>
        <w:pStyle w:val="Heading1"/>
        <w:pBdr>
          <w:bottom w:val="single" w:color="2E6DA4" w:sz="3" w:space="6"/>
        </w:pBdr>
        <w:spacing w:after="180" w:before="360"/>
      </w:pPr>
      <w:r>
        <w:rPr>
          <w:rFonts w:ascii="Arial" w:cs="Arial" w:eastAsia="Arial" w:hAnsi="Arial"/>
          <w:b/>
          <w:bCs/>
          <w:color w:val="1A3C5E"/>
          <w:sz w:val="30"/>
          <w:szCs w:val="30"/>
        </w:rPr>
        <w:t xml:space="preserve">3. Prompt Engineering Strategy</w:t>
      </w:r>
    </w:p>
    <w:p>
      <w:pPr>
        <w:spacing w:after="120" w:before="0"/>
      </w:pPr>
    </w:p>
    <w:p>
      <w:pPr>
        <w:spacing w:after="80" w:before="80" w:line="276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Two-layer prompting was used: a System Prompt establishing the AI persona and strict citation rules, followed by a User Prompt specifying the exact extraction task.</w:t>
      </w:r>
    </w:p>
    <w:p>
      <w:pPr>
        <w:spacing w:after="120" w:before="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3.1 System Prompt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6DA4" w:sz="3"/>
              <w:left w:val="single" w:color="1A3C5E" w:sz="6"/>
              <w:bottom w:val="single" w:color="2E6DA4" w:sz="3"/>
              <w:right w:val="none" w:color="FFFFFF" w:sz="0"/>
            </w:tcBorders>
            <w:shd w:fill="E8F4FD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2E"/>
                <w:sz w:val="20"/>
                <w:szCs w:val="20"/>
              </w:rPr>
              <w:t xml:space="preserve">Purpose: Establish persona, define citation format, prevent hallucination, and set behavioral rules before any document is analyzed.</w:t>
            </w:r>
          </w:p>
        </w:tc>
      </w:tr>
    </w:tbl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b/>
                <w:bCs/>
                <w:color w:val="6A9955"/>
                <w:sz w:val="16"/>
                <w:szCs w:val="16"/>
              </w:rPr>
              <w:t xml:space="preserve">// SYSTEM PROMPT</w:t>
            </w:r>
          </w:p>
          <w:p>
            <w:pPr>
              <w:spacing w:after="60"/>
            </w:pPr>
            <w:r>
              <w:rPr>
                <w:rFonts w:ascii="Courier New" w:cs="Courier New" w:eastAsia="Courier New" w:hAnsi="Courier New"/>
                <w:color w:val="9CDCFE"/>
                <w:sz w:val="16"/>
                <w:szCs w:val="16"/>
              </w:rPr>
              <w:t xml:space="preserve">You are an expert Legal Document Analyst performing RAG</w:t>
            </w:r>
          </w:p>
          <w:p>
            <w:pPr>
              <w:spacing w:after="60"/>
            </w:pPr>
            <w:r>
              <w:rPr>
                <w:rFonts w:ascii="Courier New" w:cs="Courier New" w:eastAsia="Courier New" w:hAnsi="Courier New"/>
                <w:color w:val="9CDCFE"/>
                <w:sz w:val="16"/>
                <w:szCs w:val="16"/>
              </w:rPr>
              <w:t xml:space="preserve">(Retrieval-Augmented Generation).</w:t>
            </w:r>
          </w:p>
          <w:p>
            <w:pPr>
              <w:spacing w:after="80"/>
            </w:pPr>
            <w:r>
              <w:rPr>
                <w:rFonts w:ascii="Courier New" w:cs="Courier New" w:eastAsia="Courier New" w:hAnsi="Courier New"/>
                <w:color w:val="FFFFFF"/>
                <w:sz w:val="16"/>
                <w:szCs w:val="16"/>
              </w:rPr>
              <w:t xml:space="preserve"/>
            </w:r>
          </w:p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DCDCAA"/>
                <w:sz w:val="16"/>
                <w:szCs w:val="16"/>
              </w:rPr>
              <w:t xml:space="preserve">CRITICAL RULES:</w:t>
            </w:r>
          </w:p>
          <w:p>
            <w:pPr>
              <w:spacing w:after="60"/>
            </w:pPr>
            <w:r>
              <w:rPr>
                <w:rFonts w:ascii="Courier New" w:cs="Courier New" w:eastAsia="Courier New" w:hAnsi="Courier New"/>
                <w:color w:val="CE9178"/>
                <w:sz w:val="16"/>
                <w:szCs w:val="16"/>
              </w:rPr>
              <w:t xml:space="preserve">1. ALWAYS cite exact page number, section, or paragraph</w:t>
            </w:r>
          </w:p>
          <w:p>
            <w:pPr>
              <w:spacing w:after="60"/>
            </w:pPr>
            <w:r>
              <w:rPr>
                <w:rFonts w:ascii="Courier New" w:cs="Courier New" w:eastAsia="Courier New" w:hAnsi="Courier New"/>
                <w:color w:val="CE9178"/>
                <w:sz w:val="16"/>
                <w:szCs w:val="16"/>
              </w:rPr>
              <w:t xml:space="preserve">2. Format: [Page X], [Section Y], [Paragraph Z], [Ruling X]</w:t>
            </w:r>
          </w:p>
          <w:p>
            <w:pPr>
              <w:spacing w:after="60"/>
            </w:pPr>
            <w:r>
              <w:rPr>
                <w:rFonts w:ascii="Courier New" w:cs="Courier New" w:eastAsia="Courier New" w:hAnsi="Courier New"/>
                <w:color w:val="CE9178"/>
                <w:sz w:val="16"/>
                <w:szCs w:val="16"/>
              </w:rPr>
              <w:t xml:space="preserve">3. NEVER make up facts not in the document</w:t>
            </w:r>
          </w:p>
          <w:p>
            <w:pPr>
              <w:spacing w:after="60"/>
            </w:pPr>
            <w:r>
              <w:rPr>
                <w:rFonts w:ascii="Courier New" w:cs="Courier New" w:eastAsia="Courier New" w:hAnsi="Courier New"/>
                <w:color w:val="CE9178"/>
                <w:sz w:val="16"/>
                <w:szCs w:val="16"/>
              </w:rPr>
              <w:t xml:space="preserve">4. If not found: "This information is not in the document."</w:t>
            </w:r>
          </w:p>
          <w:p>
            <w:pPr>
              <w:spacing w:after="80"/>
            </w:pPr>
            <w:r>
              <w:rPr>
                <w:rFonts w:ascii="Courier New" w:cs="Courier New" w:eastAsia="Courier New" w:hAnsi="Courier New"/>
                <w:color w:val="CE9178"/>
                <w:sz w:val="16"/>
                <w:szCs w:val="16"/>
              </w:rPr>
              <w:t xml:space="preserve">5. Provide answer first, then citation at end</w:t>
            </w:r>
          </w:p>
          <w:p>
            <w:pPr>
              <w:spacing w:after="60"/>
            </w:pPr>
            <w:r>
              <w:rPr>
                <w:rFonts w:ascii="Courier New" w:cs="Courier New" w:eastAsia="Courier New" w:hAnsi="Courier New"/>
                <w:color w:val="6A9955"/>
                <w:sz w:val="16"/>
                <w:szCs w:val="16"/>
              </w:rPr>
              <w:t xml:space="preserve">Treat every answer as if the user is building a legal brief.</w:t>
            </w:r>
          </w:p>
        </w:tc>
      </w:tr>
    </w:tbl>
    <w:p>
      <w:pPr>
        <w:spacing w:after="120" w:before="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3.2 User Prompt — Extraction Task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2E6DA4" w:sz="3"/>
              <w:left w:val="single" w:color="1A3C5E" w:sz="6"/>
              <w:bottom w:val="single" w:color="2E6DA4" w:sz="3"/>
              <w:right w:val="none" w:color="FFFFFF" w:sz="0"/>
            </w:tcBorders>
            <w:shd w:fill="E8F4FD" w:val="clear"/>
            <w:tcMar>
              <w:top w:type="dxa" w:w="120"/>
              <w:left w:type="dxa" w:w="200"/>
              <w:bottom w:type="dxa" w:w="120"/>
              <w:right w:type="dxa" w:w="120"/>
            </w:tcMar>
          </w:tcPr>
          <w:p>
            <w:r>
              <w:rPr>
                <w:rFonts w:ascii="Arial" w:cs="Arial" w:eastAsia="Arial" w:hAnsi="Arial"/>
                <w:i/>
                <w:iCs/>
                <w:color w:val="1A1A2E"/>
                <w:sz w:val="20"/>
                <w:szCs w:val="20"/>
              </w:rPr>
              <w:t xml:space="preserve">Purpose: Instruct the AI to extract three structured tables, specify column formats, and enforce citations on every row.</w:t>
            </w:r>
          </w:p>
        </w:tc>
      </w:tr>
    </w:tbl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2E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/>
            </w:pPr>
            <w:r>
              <w:rPr>
                <w:rFonts w:ascii="Courier New" w:cs="Courier New" w:eastAsia="Courier New" w:hAnsi="Courier New"/>
                <w:b/>
                <w:bCs/>
                <w:color w:val="6A9955"/>
                <w:sz w:val="16"/>
                <w:szCs w:val="16"/>
              </w:rPr>
              <w:t xml:space="preserve">// USER PROMPT</w:t>
            </w:r>
          </w:p>
          <w:p>
            <w:pPr>
              <w:spacing w:after="60"/>
            </w:pPr>
            <w:r>
              <w:rPr>
                <w:rFonts w:ascii="Courier New" w:cs="Courier New" w:eastAsia="Courier New" w:hAnsi="Courier New"/>
                <w:color w:val="9CDCFE"/>
                <w:sz w:val="16"/>
                <w:szCs w:val="16"/>
              </w:rPr>
              <w:t xml:space="preserve">Analyze this legal document. Create a structured summary:</w:t>
            </w:r>
          </w:p>
          <w:p>
            <w:pPr>
              <w:spacing w:after="80"/>
            </w:pPr>
            <w:r>
              <w:rPr>
                <w:rFonts w:ascii="Courier New" w:cs="Courier New" w:eastAsia="Courier New" w:hAnsi="Courier New"/>
                <w:sz w:val="16"/>
                <w:szCs w:val="16"/>
              </w:rPr>
              <w:t xml:space="preserve"/>
            </w:r>
          </w:p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DCDCAA"/>
                <w:sz w:val="16"/>
                <w:szCs w:val="16"/>
              </w:rPr>
              <w:t xml:space="preserve">TABLE 1: RISKS &amp; LIABILITIES</w:t>
            </w:r>
          </w:p>
          <w:p>
            <w:pPr>
              <w:spacing w:after="60"/>
            </w:pPr>
            <w:r>
              <w:rPr>
                <w:rFonts w:ascii="Courier New" w:cs="Courier New" w:eastAsia="Courier New" w:hAnsi="Courier New"/>
                <w:color w:val="CE9178"/>
                <w:sz w:val="16"/>
                <w:szCs w:val="16"/>
              </w:rPr>
              <w:t xml:space="preserve">Extract all risks, penalties, liabilities, warnings.</w:t>
            </w:r>
          </w:p>
          <w:p>
            <w:pPr>
              <w:spacing w:after="80"/>
            </w:pPr>
            <w:r>
              <w:rPr>
                <w:rFonts w:ascii="Courier New" w:cs="Courier New" w:eastAsia="Courier New" w:hAnsi="Courier New"/>
                <w:color w:val="B5CEA8"/>
                <w:sz w:val="16"/>
                <w:szCs w:val="16"/>
              </w:rPr>
              <w:t xml:space="preserve">Format: | Risk Item | Details | Source (Page/Section) |</w:t>
            </w:r>
          </w:p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DCDCAA"/>
                <w:sz w:val="16"/>
                <w:szCs w:val="16"/>
              </w:rPr>
              <w:t xml:space="preserve">TABLE 2: KEY DATES &amp; DEADLINES</w:t>
            </w:r>
          </w:p>
          <w:p>
            <w:pPr>
              <w:spacing w:after="60"/>
            </w:pPr>
            <w:r>
              <w:rPr>
                <w:rFonts w:ascii="Courier New" w:cs="Courier New" w:eastAsia="Courier New" w:hAnsi="Courier New"/>
                <w:color w:val="CE9178"/>
                <w:sz w:val="16"/>
                <w:szCs w:val="16"/>
              </w:rPr>
              <w:t xml:space="preserve">Extract all important dates, deadlines, timeframes.</w:t>
            </w:r>
          </w:p>
          <w:p>
            <w:pPr>
              <w:spacing w:after="80"/>
            </w:pPr>
            <w:r>
              <w:rPr>
                <w:rFonts w:ascii="Courier New" w:cs="Courier New" w:eastAsia="Courier New" w:hAnsi="Courier New"/>
                <w:color w:val="B5CEA8"/>
                <w:sz w:val="16"/>
                <w:szCs w:val="16"/>
              </w:rPr>
              <w:t xml:space="preserve">Format: | Date Event | Specific Date | Details | Source |</w:t>
            </w:r>
          </w:p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DCDCAA"/>
                <w:sz w:val="16"/>
                <w:szCs w:val="16"/>
              </w:rPr>
              <w:t xml:space="preserve">TABLE 3: STAKEHOLDERS &amp; PARTIES</w:t>
            </w:r>
          </w:p>
          <w:p>
            <w:pPr>
              <w:spacing w:after="60"/>
            </w:pPr>
            <w:r>
              <w:rPr>
                <w:rFonts w:ascii="Courier New" w:cs="Courier New" w:eastAsia="Courier New" w:hAnsi="Courier New"/>
                <w:color w:val="CE9178"/>
                <w:sz w:val="16"/>
                <w:szCs w:val="16"/>
              </w:rPr>
              <w:t xml:space="preserve">Extract all parties, people, companies, judges.</w:t>
            </w:r>
          </w:p>
          <w:p>
            <w:pPr>
              <w:spacing w:after="80"/>
            </w:pPr>
            <w:r>
              <w:rPr>
                <w:rFonts w:ascii="Courier New" w:cs="Courier New" w:eastAsia="Courier New" w:hAnsi="Courier New"/>
                <w:color w:val="B5CEA8"/>
                <w:sz w:val="16"/>
                <w:szCs w:val="16"/>
              </w:rPr>
              <w:t xml:space="preserve">Format: | Party Name | Role/Description | Source |</w:t>
            </w:r>
          </w:p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F44747"/>
                <w:sz w:val="16"/>
                <w:szCs w:val="16"/>
              </w:rPr>
              <w:t xml:space="preserve">RULE: Make sure EVERY item has a source citation.</w:t>
            </w:r>
          </w:p>
        </w:tc>
      </w:tr>
    </w:tbl>
    <w:p>
      <w:pPr>
        <w:spacing w:after="120" w:before="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3.3 Prompt Engineering Techniques Used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Technique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How It Was Applied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Persona Assignment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AI assigned role of "expert Legal Document Analyst performing RAG"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Few-Shot Example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Example Q&amp;A pair shown in system prompt to demonstrate citation format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Constraint Injection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5 numbered critical rules enforce citation behavior and prevent hallucination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Format Specification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Exact column format defined for each table using pipe notation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Fallback Instruction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If information not found, AI must say so — preventing guessing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Context Framing</w:t>
            </w:r>
          </w:p>
        </w:tc>
        <w:tc>
          <w:tcPr>
            <w:tcW w:type="dxa" w:w="6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"Treat as legal brief" raises stakes and improves citation precision</w:t>
            </w:r>
          </w:p>
        </w:tc>
      </w:tr>
    </w:tbl>
    <w:p>
      <w:pPr>
        <w:spacing w:after="120" w:before="0"/>
      </w:pPr>
    </w:p>
    <w:p>
      <w:r>
        <w:br w:type="page"/>
      </w:r>
    </w:p>
    <w:p>
      <w:pPr>
        <w:pStyle w:val="Heading1"/>
        <w:pBdr>
          <w:bottom w:val="single" w:color="2E6DA4" w:sz="3" w:space="6"/>
        </w:pBdr>
        <w:spacing w:after="180" w:before="360"/>
      </w:pPr>
      <w:r>
        <w:rPr>
          <w:rFonts w:ascii="Arial" w:cs="Arial" w:eastAsia="Arial" w:hAnsi="Arial"/>
          <w:b/>
          <w:bCs/>
          <w:color w:val="1A3C5E"/>
          <w:sz w:val="30"/>
          <w:szCs w:val="30"/>
        </w:rPr>
        <w:t xml:space="preserve">4. Output &amp; Results</w:t>
      </w:r>
    </w:p>
    <w:p>
      <w:pPr>
        <w:spacing w:after="120" w:before="0"/>
      </w:pPr>
    </w:p>
    <w:p>
      <w:pPr>
        <w:spacing w:after="80" w:before="80" w:line="276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The AI successfully generated all three structured tables with page-level citations. Below is a sample of the output quality achieved.</w:t>
      </w:r>
    </w:p>
    <w:p>
      <w:pPr>
        <w:spacing w:after="120" w:before="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4.1 Table 1 — Risks &amp; Liabilities (Sample Rows)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560"/>
        <w:gridCol w:w="2600"/>
      </w:tblGrid>
      <w:t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Risk Item</w:t>
            </w:r>
          </w:p>
        </w:tc>
        <w:tc>
          <w:tcPr>
            <w:tcW w:type="dxa" w:w="4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Details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Capital Deficiency Claim</w:t>
            </w:r>
          </w:p>
        </w:tc>
        <w:tc>
          <w:tcPr>
            <w:tcW w:type="dxa" w:w="4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AEB sought $3,051,200.27 as of Nov 14, 2023, plus daily interest against the Topps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Page 412, Background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Guarantor Personal Liability</w:t>
            </w:r>
          </w:p>
        </w:tc>
        <w:tc>
          <w:tcPr>
            <w:tcW w:type="dxa" w:w="4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Luke &amp; Ria Topp executed four unconditional guaranties; total principal $4,715,150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Page 411, Background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Unenforceable Waiver</w:t>
            </w:r>
          </w:p>
        </w:tc>
        <w:tc>
          <w:tcPr>
            <w:tcW w:type="dxa" w:w="4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Guaranties contained waiver provision attempting to eliminate fair market value defense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Page 413, Background; Page 410, Holding #8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Violation of Public Policy</w:t>
            </w:r>
          </w:p>
        </w:tc>
        <w:tc>
          <w:tcPr>
            <w:tcW w:type="dxa" w:w="4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Allowing beneficiary to use trustee sale while avoiding antideficiency statute = public policy violation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Page 410, Holding #7; Page 420, Analysis</w:t>
            </w:r>
          </w:p>
        </w:tc>
      </w:tr>
    </w:tbl>
    <w:p>
      <w:pPr>
        <w:spacing w:after="120" w:before="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4.2 Table 2 — Key Dates &amp; Deadlines (Sample Rows)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3560"/>
        <w:gridCol w:w="2000"/>
      </w:tblGrid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 Event</w:t>
            </w:r>
          </w:p>
        </w:tc>
        <w:tc>
          <w:tcPr>
            <w:tcW w:type="dxa" w:w="1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3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Details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First Promissory Notes</w:t>
            </w:r>
          </w:p>
        </w:tc>
        <w:tc>
          <w:tcPr>
            <w:tcW w:type="dxa" w:w="1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2015</w:t>
            </w:r>
          </w:p>
        </w:tc>
        <w:tc>
          <w:tcPr>
            <w:tcW w:type="dxa" w:w="3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TMI executed first two promissory notes with AEB (incl. two SBA loans)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Page 411, Background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TMI Ch. 11 Bankruptcy</w:t>
            </w:r>
          </w:p>
        </w:tc>
        <w:tc>
          <w:tcPr>
            <w:tcW w:type="dxa" w:w="1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2021</w:t>
            </w:r>
          </w:p>
        </w:tc>
        <w:tc>
          <w:tcPr>
            <w:tcW w:type="dxa" w:w="3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TMI filed chapter 11 bankruptcy after defaulting on AEB loans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Page 411, Background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Trustee Sales Conducted</w:t>
            </w:r>
          </w:p>
        </w:tc>
        <w:tc>
          <w:tcPr>
            <w:tcW w:type="dxa" w:w="1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Nov 2023</w:t>
            </w:r>
          </w:p>
        </w:tc>
        <w:tc>
          <w:tcPr>
            <w:tcW w:type="dxa" w:w="3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AEB conducted trustee sales; purchased Topps' three properties for $310,000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Page 412, Background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Supreme Court Decision</w:t>
            </w:r>
          </w:p>
        </w:tc>
        <w:tc>
          <w:tcPr>
            <w:tcW w:type="dxa" w:w="1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May 15, 2026</w:t>
            </w:r>
          </w:p>
        </w:tc>
        <w:tc>
          <w:tcPr>
            <w:tcW w:type="dxa" w:w="3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Court reversed district court's summary judgment; remanded for further proceedings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Page 409, Case Caption</w:t>
            </w:r>
          </w:p>
        </w:tc>
      </w:tr>
    </w:tbl>
    <w:p>
      <w:pPr>
        <w:spacing w:after="120" w:before="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4.3 Table 3 — Stakeholders &amp; Parties (Sample Rows)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560"/>
        <w:gridCol w:w="2600"/>
      </w:tblGrid>
      <w:t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Party Name</w:t>
            </w:r>
          </w:p>
        </w:tc>
        <w:tc>
          <w:tcPr>
            <w:tcW w:type="dxa" w:w="4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 / Description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American Exchange Bank (AEB)</w:t>
            </w:r>
          </w:p>
        </w:tc>
        <w:tc>
          <w:tcPr>
            <w:tcW w:type="dxa" w:w="4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Appellee / Creditor-Lender; made loans to TMI, received guaranties, sought deficiency judgment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Page 409, Caption; Pages 411-414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Luke G. &amp; Ria N. Topp</w:t>
            </w:r>
          </w:p>
        </w:tc>
        <w:tc>
          <w:tcPr>
            <w:tcW w:type="dxa" w:w="4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Appellants / Co-Guarantors; executed four unconditional guaranties; filed Ch. 12 bankruptcy 2022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Page 409, Caption; Page 411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Bergevin, J.</w:t>
            </w:r>
          </w:p>
        </w:tc>
        <w:tc>
          <w:tcPr>
            <w:tcW w:type="dxa" w:w="4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Majority Opinion Author; Nebraska Supreme Court Justice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Page 410, Panel</w:t>
            </w:r>
          </w:p>
        </w:tc>
      </w:tr>
      <w:tr>
        <w:tc>
          <w:tcPr>
            <w:tcW w:type="dxa" w:w="2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Papik, J.</w:t>
            </w:r>
          </w:p>
        </w:tc>
        <w:tc>
          <w:tcPr>
            <w:tcW w:type="dxa" w:w="4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Dissenting Justice; disagreed with majority's public policy analysis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Pages 423-426, Dissent</w:t>
            </w:r>
          </w:p>
        </w:tc>
      </w:tr>
    </w:tbl>
    <w:p>
      <w:pPr>
        <w:spacing w:after="120" w:before="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4.4 Output Quality Metrics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8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  <w:tc>
          <w:tcPr>
            <w:tcW w:type="dxa" w:w="28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Achieved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Rows with page citations</w:t>
            </w:r>
          </w:p>
        </w:tc>
        <w:tc>
          <w:tcPr>
            <w:tcW w:type="dxa" w:w="28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100%</w:t>
            </w:r>
          </w:p>
        </w:tc>
        <w:tc>
          <w:tcPr>
            <w:tcW w:type="dxa" w:w="28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100% (all 40+ rows)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Hallucinated facts</w:t>
            </w:r>
          </w:p>
        </w:tc>
        <w:tc>
          <w:tcPr>
            <w:tcW w:type="dxa" w:w="28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0</w:t>
            </w:r>
          </w:p>
        </w:tc>
        <w:tc>
          <w:tcPr>
            <w:tcW w:type="dxa" w:w="28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0 detected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Tables generated</w:t>
            </w:r>
          </w:p>
        </w:tc>
        <w:tc>
          <w:tcPr>
            <w:tcW w:type="dxa" w:w="28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3</w:t>
            </w:r>
          </w:p>
        </w:tc>
        <w:tc>
          <w:tcPr>
            <w:tcW w:type="dxa" w:w="28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3 (+ Critical Holdings)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Dissenting opinion captured</w:t>
            </w:r>
          </w:p>
        </w:tc>
        <w:tc>
          <w:tcPr>
            <w:tcW w:type="dxa" w:w="28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Optional</w:t>
            </w:r>
          </w:p>
        </w:tc>
        <w:tc>
          <w:tcPr>
            <w:tcW w:type="dxa" w:w="28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Yes — documented separately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Financial figures accuracy</w:t>
            </w:r>
          </w:p>
        </w:tc>
        <w:tc>
          <w:tcPr>
            <w:tcW w:type="dxa" w:w="28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Exact match</w:t>
            </w:r>
          </w:p>
        </w:tc>
        <w:tc>
          <w:tcPr>
            <w:tcW w:type="dxa" w:w="288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All figures verified against source</w:t>
            </w:r>
          </w:p>
        </w:tc>
      </w:tr>
    </w:tbl>
    <w:p>
      <w:pPr>
        <w:spacing w:after="120" w:before="0"/>
      </w:pPr>
    </w:p>
    <w:p>
      <w:r>
        <w:br w:type="page"/>
      </w:r>
    </w:p>
    <w:p>
      <w:pPr>
        <w:pStyle w:val="Heading1"/>
        <w:pBdr>
          <w:bottom w:val="single" w:color="2E6DA4" w:sz="3" w:space="6"/>
        </w:pBdr>
        <w:spacing w:after="180" w:before="360"/>
      </w:pPr>
      <w:r>
        <w:rPr>
          <w:rFonts w:ascii="Arial" w:cs="Arial" w:eastAsia="Arial" w:hAnsi="Arial"/>
          <w:b/>
          <w:bCs/>
          <w:color w:val="1A3C5E"/>
          <w:sz w:val="30"/>
          <w:szCs w:val="30"/>
        </w:rPr>
        <w:t xml:space="preserve">5. RAG Workflow Architecture</w:t>
      </w:r>
    </w:p>
    <w:p>
      <w:pPr>
        <w:spacing w:after="120" w:before="0"/>
      </w:pPr>
    </w:p>
    <w:p>
      <w:pPr>
        <w:spacing w:after="80" w:before="80" w:line="276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This project simulates the core RAG pattern: document ingestion, context retrieval, and grounded generation. The diagram below shows the flow:</w:t>
      </w:r>
    </w:p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7FA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color w:val="1A3C5E"/>
                <w:sz w:val="20"/>
                <w:szCs w:val="20"/>
              </w:rPr>
              <w:t xml:space="preserve">RAG PIPELINE FLOW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[📄 Source Document: Legal Case PDF]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2E6DA4"/>
                <w:sz w:val="24"/>
                <w:szCs w:val="24"/>
              </w:rPr>
              <w:t xml:space="preserve">↓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[Document Ingestion into AI Context Window]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2E6DA4"/>
                <w:sz w:val="24"/>
                <w:szCs w:val="24"/>
              </w:rPr>
              <w:t xml:space="preserve">↓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[System Prompt: Persona + Citation Rules + Hallucination Guard]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2E6DA4"/>
                <w:sz w:val="24"/>
                <w:szCs w:val="24"/>
              </w:rPr>
              <w:t xml:space="preserve">↓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color w:val="1A1A2E"/>
                <w:sz w:val="18"/>
                <w:szCs w:val="18"/>
              </w:rPr>
              <w:t xml:space="preserve">[User Prompt: Structured Extraction Task with Format Spec]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2E6DA4"/>
                <w:sz w:val="24"/>
                <w:szCs w:val="24"/>
              </w:rPr>
              <w:t xml:space="preserve">↓</w:t>
            </w:r>
          </w:p>
          <w:p>
            <w:pPr>
              <w:spacing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1E6B3E"/>
                <w:sz w:val="18"/>
                <w:szCs w:val="18"/>
              </w:rPr>
              <w:t xml:space="preserve">[📊 Structured Output: 3 Tables + Legal Analysis with Page Citations]</w:t>
            </w:r>
          </w:p>
        </w:tc>
      </w:tr>
    </w:tbl>
    <w:p>
      <w:pPr>
        <w:spacing w:after="120" w:before="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E6DA4"/>
          <w:sz w:val="24"/>
          <w:szCs w:val="24"/>
        </w:rPr>
        <w:t xml:space="preserve">5.1 Key Design Decisions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Citation-first design: Every AI response must end with a page/section reference before it is considered valid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Hallucination prevention: The fallback rule ("say not found") prevents the AI from guessing when information is absent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Structured output format: Pre-defining table columns forces consistent, parseable output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Few-shot anchoring: The example in the system prompt sets the citation style standard for the entire session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Legal brief framing: Elevates the AI's precision by raising the perceived stakes of accuracy</w:t>
      </w:r>
    </w:p>
    <w:p>
      <w:pPr>
        <w:spacing w:after="120" w:before="0"/>
      </w:pPr>
    </w:p>
    <w:p>
      <w:r>
        <w:br w:type="page"/>
      </w:r>
    </w:p>
    <w:p>
      <w:pPr>
        <w:pStyle w:val="Heading1"/>
        <w:pBdr>
          <w:bottom w:val="single" w:color="2E6DA4" w:sz="3" w:space="6"/>
        </w:pBdr>
        <w:spacing w:after="180" w:before="360"/>
      </w:pPr>
      <w:r>
        <w:rPr>
          <w:rFonts w:ascii="Arial" w:cs="Arial" w:eastAsia="Arial" w:hAnsi="Arial"/>
          <w:b/>
          <w:bCs/>
          <w:color w:val="1A3C5E"/>
          <w:sz w:val="30"/>
          <w:szCs w:val="30"/>
        </w:rPr>
        <w:t xml:space="preserve">6. Tools &amp; Technologies</w:t>
      </w:r>
    </w:p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60"/>
        <w:gridCol w:w="3600"/>
      </w:tblGrid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</w:t>
            </w:r>
          </w:p>
        </w:tc>
        <w:tc>
          <w:tcPr>
            <w:tcW w:type="dxa" w:w="3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Claude (Anthropic)</w:t>
            </w:r>
          </w:p>
        </w:tc>
        <w:tc>
          <w:tcPr>
            <w:tcW w:type="dxa" w:w="3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Primary AI model for document analysis</w:t>
            </w:r>
          </w:p>
        </w:tc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Chosen for large context window &amp; citation compliance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Legal Case PDF</w:t>
            </w:r>
          </w:p>
        </w:tc>
        <w:tc>
          <w:tcPr>
            <w:tcW w:type="dxa" w:w="3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Source document for RAG simulation</w:t>
            </w:r>
          </w:p>
        </w:tc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American Exchange Bank v. Topp (2026)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Microsoft Word</w:t>
            </w:r>
          </w:p>
        </w:tc>
        <w:tc>
          <w:tcPr>
            <w:tcW w:type="dxa" w:w="3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Final output document format</w:t>
            </w:r>
          </w:p>
        </w:tc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Structured tables with citations exported as .docx</w:t>
            </w:r>
          </w:p>
        </w:tc>
      </w:tr>
      <w:tr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Prompt Engineering</w:t>
            </w:r>
          </w:p>
        </w:tc>
        <w:tc>
          <w:tcPr>
            <w:tcW w:type="dxa" w:w="3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System prompt + user prompt design</w:t>
            </w:r>
          </w:p>
        </w:tc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Two-layer approach: persona + task specification</w:t>
            </w:r>
          </w:p>
        </w:tc>
      </w:tr>
    </w:tbl>
    <w:p>
      <w:pPr>
        <w:spacing w:after="120" w:before="0"/>
      </w:pPr>
    </w:p>
    <w:p>
      <w:pPr>
        <w:pStyle w:val="Heading1"/>
        <w:pBdr>
          <w:bottom w:val="single" w:color="2E6DA4" w:sz="3" w:space="6"/>
        </w:pBdr>
        <w:spacing w:after="180" w:before="360"/>
      </w:pPr>
      <w:r>
        <w:rPr>
          <w:rFonts w:ascii="Arial" w:cs="Arial" w:eastAsia="Arial" w:hAnsi="Arial"/>
          <w:b/>
          <w:bCs/>
          <w:color w:val="1A3C5E"/>
          <w:sz w:val="30"/>
          <w:szCs w:val="30"/>
        </w:rPr>
        <w:t xml:space="preserve">7. Challenges &amp; Solutions</w:t>
      </w:r>
    </w:p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Challenge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Solution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AI paraphrasing instead of citing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Added explicit rule: "provide answer first, then citation at end" with a concrete example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Inconsistent citation format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Defined exact bracket notation [Page X] in the system prompt rules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Missing dissenting opinion data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Explicitly asked AI to analyze "entire" document; dissent was then captured separately</w:t>
            </w:r>
          </w:p>
        </w:tc>
      </w:tr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Overlapping risk categories</w:t>
            </w:r>
          </w:p>
        </w:tc>
        <w:tc>
          <w:tcPr>
            <w:tcW w:type="dxa" w:w="6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Table column headers were made distinct (Risk Item vs. Details) to reduce duplication</w:t>
            </w:r>
          </w:p>
        </w:tc>
      </w:tr>
    </w:tbl>
    <w:p>
      <w:pPr>
        <w:spacing w:after="120" w:before="0"/>
      </w:pPr>
    </w:p>
    <w:p>
      <w:pPr>
        <w:pStyle w:val="Heading1"/>
        <w:pBdr>
          <w:bottom w:val="single" w:color="2E6DA4" w:sz="3" w:space="6"/>
        </w:pBdr>
        <w:spacing w:after="180" w:before="360"/>
      </w:pPr>
      <w:r>
        <w:rPr>
          <w:rFonts w:ascii="Arial" w:cs="Arial" w:eastAsia="Arial" w:hAnsi="Arial"/>
          <w:b/>
          <w:bCs/>
          <w:color w:val="1A3C5E"/>
          <w:sz w:val="30"/>
          <w:szCs w:val="30"/>
        </w:rPr>
        <w:t xml:space="preserve">8. Key Learnings</w:t>
      </w:r>
    </w:p>
    <w:p>
      <w:pPr>
        <w:spacing w:after="120" w:before="0"/>
      </w:pP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RAG is as much about prompt engineering as it is about retrieval — without strict citation rules, even good models hallucinate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System prompts function as behavioral contracts; every rule added measurably changed output quality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Few-shot examples in system prompts are more effective than abstract instructions for format enforcement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Legal documents are ideal RAG test cases because every fact can be cross-verified against the source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1A1A2E"/>
          <w:sz w:val="20"/>
          <w:szCs w:val="20"/>
        </w:rPr>
        <w:t xml:space="preserve">Structured output formats (tables with column specs) produce more consistent, usable results than free-form summaries</w:t>
      </w:r>
    </w:p>
    <w:p>
      <w:pPr>
        <w:spacing w:after="120" w:before="0"/>
      </w:pPr>
    </w:p>
    <w:p>
      <w:pPr>
        <w:pStyle w:val="Heading1"/>
        <w:pBdr>
          <w:bottom w:val="single" w:color="2E6DA4" w:sz="3" w:space="6"/>
        </w:pBdr>
        <w:spacing w:after="180" w:before="360"/>
      </w:pPr>
      <w:r>
        <w:rPr>
          <w:rFonts w:ascii="Arial" w:cs="Arial" w:eastAsia="Arial" w:hAnsi="Arial"/>
          <w:b/>
          <w:bCs/>
          <w:color w:val="1A3C5E"/>
          <w:sz w:val="30"/>
          <w:szCs w:val="30"/>
        </w:rPr>
        <w:t xml:space="preserve">9. Project Deliverables</w:t>
      </w:r>
    </w:p>
    <w:p>
      <w:pPr>
        <w:spacing w:after="12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360"/>
        <w:gridCol w:w="2400"/>
        <w:gridCol w:w="3000"/>
      </w:tblGrid>
      <w:tr>
        <w:tc>
          <w:tcPr>
            <w:tcW w:type="dxa" w:w="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Deliverable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C5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1</w:t>
            </w:r>
          </w:p>
        </w:tc>
        <w:tc>
          <w:tcPr>
            <w:tcW w:type="dxa" w:w="3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System Prompt (screenshot)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PNG Image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Completed</w:t>
            </w:r>
          </w:p>
        </w:tc>
      </w:tr>
      <w:tr>
        <w:tc>
          <w:tcPr>
            <w:tcW w:type="dxa" w:w="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2</w:t>
            </w:r>
          </w:p>
        </w:tc>
        <w:tc>
          <w:tcPr>
            <w:tcW w:type="dxa" w:w="3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User Prompt (screenshot)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PNG Image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Completed</w:t>
            </w:r>
          </w:p>
        </w:tc>
      </w:tr>
      <w:tr>
        <w:tc>
          <w:tcPr>
            <w:tcW w:type="dxa" w:w="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3</w:t>
            </w:r>
          </w:p>
        </w:tc>
        <w:tc>
          <w:tcPr>
            <w:tcW w:type="dxa" w:w="3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Source Legal Document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PDF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Completed</w:t>
            </w:r>
          </w:p>
        </w:tc>
      </w:tr>
      <w:tr>
        <w:tc>
          <w:tcPr>
            <w:tcW w:type="dxa" w:w="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4</w:t>
            </w:r>
          </w:p>
        </w:tc>
        <w:tc>
          <w:tcPr>
            <w:tcW w:type="dxa" w:w="3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AI Output — Summary Dashboard (3 tables + analysis)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Word Document (.docx)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Completed</w:t>
            </w:r>
          </w:p>
        </w:tc>
      </w:tr>
      <w:tr>
        <w:tc>
          <w:tcPr>
            <w:tcW w:type="dxa" w:w="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0E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5</w:t>
            </w:r>
          </w:p>
        </w:tc>
        <w:tc>
          <w:tcPr>
            <w:tcW w:type="dxa" w:w="3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Project Documentation (this file)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Word Document (.docx)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Completed</w:t>
            </w:r>
          </w:p>
        </w:tc>
      </w:tr>
      <w:tr>
        <w:tc>
          <w:tcPr>
            <w:tcW w:type="dxa" w:w="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6</w:t>
            </w:r>
          </w:p>
        </w:tc>
        <w:tc>
          <w:tcPr>
            <w:tcW w:type="dxa" w:w="3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README for GitHub Repository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Markdown (.md)</w:t>
            </w:r>
          </w:p>
        </w:tc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2E"/>
                <w:sz w:val="18"/>
                <w:szCs w:val="18"/>
              </w:rPr>
              <w:t xml:space="preserve">Completed</w:t>
            </w:r>
          </w:p>
        </w:tc>
      </w:tr>
    </w:tbl>
    <w:p>
      <w:pPr>
        <w:spacing w:after="2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3C5E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DecodeLabs Generative AI Internship  |  Batch 2026  |  Task 3: The Knowledge Analyst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D0E4F7"/>
                <w:sz w:val="16"/>
                <w:szCs w:val="16"/>
              </w:rPr>
              <w:t xml:space="preserve">RAG Legal Document Intelligence System  |  Completed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6DA4" w:sz="3" w:space="6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RAG Legal Document Intelligence System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pgNum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6DA4" w:sz="3" w:space="6"/>
      </w:pBdr>
      <w:spacing w:after="120"/>
    </w:pPr>
    <w:r>
      <w:rPr>
        <w:rFonts w:ascii="Arial" w:cs="Arial" w:eastAsia="Arial" w:hAnsi="Arial"/>
        <w:color w:val="555555"/>
        <w:sz w:val="16"/>
        <w:szCs w:val="16"/>
      </w:rPr>
      <w:t xml:space="preserve">Task 3: The Knowledge Analyst (RAG Concepts)  |  Generative AI Internship  |  DecodeLabs Batch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A3C5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E6DA4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A1A2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2026-05-30T17:43:21.314Z</dcterms:created>
  <dcterms:modified xsi:type="dcterms:W3CDTF">2026-05-30T17:43:21.314Z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