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color w:val="2E75B6"/>
          <w:sz w:val="32"/>
          <w:szCs w:val="32"/>
        </w:rPr>
        <w:t xml:space="preserve">COMPREHENSIVE LEGAL ANALYSIS</w:t>
      </w:r>
    </w:p>
    <w:p>
      <w:pPr>
        <w:spacing w:after="240"/>
        <w:jc w:val="center"/>
      </w:pPr>
      <w:r>
        <w:rPr>
          <w:i/>
          <w:iCs/>
          <w:sz w:val="22"/>
          <w:szCs w:val="22"/>
        </w:rPr>
        <w:t xml:space="preserve">American Exchange Bank v. Topp | 321 Nebraska Reports 409</w:t>
      </w:r>
    </w:p>
    <w:p>
      <w:pPr>
        <w:pStyle w:val="Heading2"/>
      </w:pPr>
      <w:r>
        <w:t xml:space="preserve">Case Overview</w:t>
      </w:r>
    </w:p>
    <w:p>
      <w:pPr>
        <w:spacing w:after="200"/>
      </w:pPr>
      <w:r>
        <w:t xml:space="preserve">This document provides a comprehensive analysis of American Exchange Bank v. Topp, a critical Nebraska Supreme Court decision regarding antideficiency statutes, guarantor liability, and the enforceability of waiver provisions in trust deed transactions. The case was decided on May 15, 2026 (No. S-25-290) and reversed the district court's grant of summary judgment.</w:t>
      </w:r>
    </w:p>
    <w:p>
      <w:pPr>
        <w:pStyle w:val="Heading2"/>
      </w:pPr>
      <w:r>
        <w:t xml:space="preserve">TABLE 1: RISKS &amp; LIABILITIES</w:t>
      </w:r>
    </w:p>
    <w:p>
      <w:pPr>
        <w:spacing w:after="120"/>
      </w:pPr>
      <w:r>
        <w:t xml:space="preserve">Key financial and legal risks identified in the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Borders>
              <w:top w:val="single" w:color="000000" w:sz="6"/>
              <w:left w:val="single" w:color="000000" w:sz="6"/>
              <w:bottom w:val="single" w:color="000000" w:sz="6"/>
              <w:right w:val="single" w:color="000000" w:sz="6"/>
            </w:tcBorders>
            <w:shd w:fill="2E75B6" w:val="clear"/>
            <w:tcMar>
              <w:top w:type="dxa" w:w="80"/>
              <w:left w:type="dxa" w:w="120"/>
              <w:bottom w:type="dxa" w:w="80"/>
              <w:right w:type="dxa" w:w="120"/>
            </w:tcMar>
          </w:tcPr>
          <w:p>
            <w:r>
              <w:rPr>
                <w:b/>
                <w:bCs/>
                <w:color w:val="FFFFFF"/>
                <w:sz w:val="22"/>
                <w:szCs w:val="22"/>
              </w:rPr>
              <w:t xml:space="preserve">Risk Item</w:t>
            </w:r>
          </w:p>
        </w:tc>
        <w:tc>
          <w:tcPr>
            <w:tcBorders>
              <w:top w:val="single" w:color="000000" w:sz="6"/>
              <w:left w:val="single" w:color="000000" w:sz="6"/>
              <w:bottom w:val="single" w:color="000000" w:sz="6"/>
              <w:right w:val="single" w:color="000000" w:sz="6"/>
            </w:tcBorders>
            <w:shd w:fill="2E75B6" w:val="clear"/>
            <w:tcMar>
              <w:top w:type="dxa" w:w="80"/>
              <w:left w:type="dxa" w:w="120"/>
              <w:bottom w:type="dxa" w:w="80"/>
              <w:right w:type="dxa" w:w="120"/>
            </w:tcMar>
          </w:tcPr>
          <w:p>
            <w:r>
              <w:rPr>
                <w:b/>
                <w:bCs/>
                <w:color w:val="FFFFFF"/>
                <w:sz w:val="22"/>
                <w:szCs w:val="22"/>
              </w:rPr>
              <w:t xml:space="preserve">Details</w:t>
            </w:r>
          </w:p>
        </w:tc>
        <w:tc>
          <w:tcPr>
            <w:tcBorders>
              <w:top w:val="single" w:color="000000" w:sz="6"/>
              <w:left w:val="single" w:color="000000" w:sz="6"/>
              <w:bottom w:val="single" w:color="000000" w:sz="6"/>
              <w:right w:val="single" w:color="000000" w:sz="6"/>
            </w:tcBorders>
            <w:shd w:fill="2E75B6" w:val="clear"/>
            <w:tcMar>
              <w:top w:type="dxa" w:w="80"/>
              <w:left w:type="dxa" w:w="120"/>
              <w:bottom w:type="dxa" w:w="80"/>
              <w:right w:type="dxa" w:w="120"/>
            </w:tcMar>
          </w:tcPr>
          <w:p>
            <w:r>
              <w:rPr>
                <w:b/>
                <w:bCs/>
                <w:color w:val="FFFFFF"/>
                <w:sz w:val="22"/>
                <w:szCs w:val="22"/>
              </w:rPr>
              <w:t xml:space="preserve">Source</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Capital Deficiency Judgment Claim</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AEB sought deficiency judgment of $3,051,200.27 as of November 14, 2023, plus daily interest against the Topps</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412,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Guarantor Personal Liability</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Luke G. Topp and Ria N. Topp executed four unconditional guaranties to secure TMI's loans totaling $4,715,150 principal, making them personally liable</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411,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Inadequate Property Sale Proceeds</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Properties sold at trustee sale for $310,000 but claims of fair market value ranged from $1,113,000 to $1,278,000, creating massive shortfall</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412-413,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Unenforceable Waiver Provision</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Guaranties contained waiver provision attempting to eliminate defense regarding fair market value of collateral</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413, Background; Page 410, Holding #8</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Violation of Public Policy</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Court held that allowing beneficiary to proceed with trustee sale while avoiding antideficiency statute limitations constitutes violation of public policy</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410, Holding #7; Page 420, Analysis</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Deficiency Judgment Limitations</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Court shall not render judgment for more than amount by which indebtedness plus costs exceeds fair market value of property sold at trustee sale</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416, § 76-1013 Statute</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Mandatory Court Finding Requirement</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Court must find fair market value at date of sale before rendering any deficiency judgment—this is a mandatory requirement, not discretionary</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419, Unenforceable Waiver</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Loss of Real Property</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Between foreclosures and trustee sales, Topps lost at least $3 million in property value while AEB received approximately $450,000 in total proceeds</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412,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Dual Bankruptcy Filings</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TMI filed chapter 11 bankruptcy in 2021 and Topps filed chapter 12 bankruptcy in 2022, complicating deficiency claims</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411-412,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Guarantor vs. Principal Borrower Distinction</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Contrary to Mutual of Omaha Bank v. Murante, court held antideficiency protections apply to guarantor when guaranty obligation itself is secured by trust deed</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Pages 416-417, Analysis</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Appraisal Value Discrepancies</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March 2021 appraisals showed $1,278,000 total value; 2023 assessed values showed $1,253,071; AEB asserted only $1,113,000 fair market value at sale</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413-414,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Summary Judgment Impropriety</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District court granted summary judgment despite genuine issue of material fact remaining regarding fair market values of properties</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420-423, Genuine Issue</w:t>
            </w:r>
          </w:p>
        </w:tc>
      </w:tr>
    </w:tbl>
    <w:p>
      <w:pPr>
        <w:spacing w:after="240"/>
      </w:pPr>
      <w:r>
        <w:t xml:space="preserve"/>
      </w:r>
    </w:p>
    <w:p>
      <w:pPr>
        <w:pStyle w:val="Heading2"/>
      </w:pPr>
      <w:r>
        <w:t xml:space="preserve">TABLE 2: KEY DATES &amp; DEADLINES</w:t>
      </w:r>
    </w:p>
    <w:p>
      <w:pPr>
        <w:spacing w:after="120"/>
      </w:pPr>
      <w:r>
        <w:t xml:space="preserve">Critical dates and timeline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00000" w:sz="6"/>
              <w:left w:val="single" w:color="000000" w:sz="6"/>
              <w:bottom w:val="single" w:color="000000" w:sz="6"/>
              <w:right w:val="single" w:color="000000" w:sz="6"/>
            </w:tcBorders>
            <w:shd w:fill="2E75B6" w:val="clear"/>
            <w:tcMar>
              <w:top w:type="dxa" w:w="80"/>
              <w:left w:type="dxa" w:w="120"/>
              <w:bottom w:type="dxa" w:w="80"/>
              <w:right w:type="dxa" w:w="120"/>
            </w:tcMar>
          </w:tcPr>
          <w:p>
            <w:r>
              <w:rPr>
                <w:b/>
                <w:bCs/>
                <w:color w:val="FFFFFF"/>
                <w:sz w:val="22"/>
                <w:szCs w:val="22"/>
              </w:rPr>
              <w:t xml:space="preserve">Date Event</w:t>
            </w:r>
          </w:p>
        </w:tc>
        <w:tc>
          <w:tcPr>
            <w:tcBorders>
              <w:top w:val="single" w:color="000000" w:sz="6"/>
              <w:left w:val="single" w:color="000000" w:sz="6"/>
              <w:bottom w:val="single" w:color="000000" w:sz="6"/>
              <w:right w:val="single" w:color="000000" w:sz="6"/>
            </w:tcBorders>
            <w:shd w:fill="2E75B6" w:val="clear"/>
            <w:tcMar>
              <w:top w:type="dxa" w:w="80"/>
              <w:left w:type="dxa" w:w="120"/>
              <w:bottom w:type="dxa" w:w="80"/>
              <w:right w:type="dxa" w:w="120"/>
            </w:tcMar>
          </w:tcPr>
          <w:p>
            <w:r>
              <w:rPr>
                <w:b/>
                <w:bCs/>
                <w:color w:val="FFFFFF"/>
                <w:sz w:val="22"/>
                <w:szCs w:val="22"/>
              </w:rPr>
              <w:t xml:space="preserve">Specific Date</w:t>
            </w:r>
          </w:p>
        </w:tc>
        <w:tc>
          <w:tcPr>
            <w:tcBorders>
              <w:top w:val="single" w:color="000000" w:sz="6"/>
              <w:left w:val="single" w:color="000000" w:sz="6"/>
              <w:bottom w:val="single" w:color="000000" w:sz="6"/>
              <w:right w:val="single" w:color="000000" w:sz="6"/>
            </w:tcBorders>
            <w:shd w:fill="2E75B6" w:val="clear"/>
            <w:tcMar>
              <w:top w:type="dxa" w:w="80"/>
              <w:left w:type="dxa" w:w="120"/>
              <w:bottom w:type="dxa" w:w="80"/>
              <w:right w:type="dxa" w:w="120"/>
            </w:tcMar>
          </w:tcPr>
          <w:p>
            <w:r>
              <w:rPr>
                <w:b/>
                <w:bCs/>
                <w:color w:val="FFFFFF"/>
                <w:sz w:val="22"/>
                <w:szCs w:val="22"/>
              </w:rPr>
              <w:t xml:space="preserve">Details</w:t>
            </w:r>
          </w:p>
        </w:tc>
        <w:tc>
          <w:tcPr>
            <w:tcBorders>
              <w:top w:val="single" w:color="000000" w:sz="6"/>
              <w:left w:val="single" w:color="000000" w:sz="6"/>
              <w:bottom w:val="single" w:color="000000" w:sz="6"/>
              <w:right w:val="single" w:color="000000" w:sz="6"/>
            </w:tcBorders>
            <w:shd w:fill="2E75B6" w:val="clear"/>
            <w:tcMar>
              <w:top w:type="dxa" w:w="80"/>
              <w:left w:type="dxa" w:w="120"/>
              <w:bottom w:type="dxa" w:w="80"/>
              <w:right w:type="dxa" w:w="120"/>
            </w:tcMar>
          </w:tcPr>
          <w:p>
            <w:r>
              <w:rPr>
                <w:b/>
                <w:bCs/>
                <w:color w:val="FFFFFF"/>
                <w:sz w:val="22"/>
                <w:szCs w:val="22"/>
              </w:rPr>
              <w:t xml:space="preserve">Source</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First Promissory Notes Executed</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2015</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TMI executed first two promissory notes with AEB (including two U.S. Small Business Administration loans)</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411,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Second Promissory Notes Executed</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2017</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TMI executed additional two promissory notes with AEB; combined total principal balance of all four notes: $4,715,150</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411,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Guaranties Executed</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2015 and 2017</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Luke G. Topp and Ria N. Topp executed four unconditional guaranties to secure TMI's promissory notes</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411,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Trust Deeds Executed</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2015 and 2017</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Topps executed two deeds of trust conveying three real properties to trustee; each trust deed named AEB as beneficiary</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411,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TMI Chapter 11 Bankruptcy Filing</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2021</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TMI filed for chapter 11 bankruptcy after defaulting on AEB loans</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411,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AEB's Claim Amount for TMI</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January 15, 2021</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AEB claimed TMI was indebted in amount of $3,757,067.76 as of this date</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412,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Topps Chapter 12 Bankruptcy Filing</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2022</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Luke G. Topp and Ria N. Topp filed for chapter 12 bankruptcy</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412,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AEB's Claim Amount for Topps</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September 6, 2022</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AEB claimed Topps were indebted in amount of $3,313,835.38 as of this date</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412,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TMI Foreclosure Proceedings</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October 2022 - February 2023</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Through judicial foreclosure, AEB sold three parcels of TMI real estate; AEB purchased all three for total of $162,600</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412,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Topps' Trustee Sales Conducted</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November 2023</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AEB conducted trustee sales of the Topps' three properties; AEB purchased properties for $310,000</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412,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Property Assessment Values Determined</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2023</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2023 assessed values for Topps' properties showed total assessed value of $1,253,071</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413,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TMI Properties Resold</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April 2024</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AEB resold all three TMI parcels (originally purchased for $162,600) for total of $945,000</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412,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Deficiency Action Filed</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November 2023</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AEB brought instant action against Topps for deficiency judgment under four guaranties</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412,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Deficiency Judgment Amount Claimed</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November 14, 2023</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AEB sought total of $3,051,200.27 as of this specific date, plus daily interest</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412,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Supreme Court Decision Issued</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May 15, 2026</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Court issued opinion reversing and remanding case for further proceedings</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409, Case Caption</w:t>
            </w:r>
          </w:p>
        </w:tc>
      </w:tr>
    </w:tbl>
    <w:p>
      <w:pPr>
        <w:spacing w:after="240"/>
      </w:pPr>
      <w:r>
        <w:t xml:space="preserve"/>
      </w:r>
    </w:p>
    <w:p>
      <w:r>
        <w:br w:type="page"/>
      </w:r>
    </w:p>
    <w:p>
      <w:pPr>
        <w:pStyle w:val="Heading2"/>
      </w:pPr>
      <w:r>
        <w:t xml:space="preserve">TABLE 3: STAKEHOLDERS &amp; PARTIES</w:t>
      </w:r>
    </w:p>
    <w:p>
      <w:pPr>
        <w:spacing w:after="120"/>
      </w:pPr>
      <w:r>
        <w:t xml:space="preserve">Key parties, judges, and legal professionals involved in the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000000" w:sz="6"/>
              <w:left w:val="single" w:color="000000" w:sz="6"/>
              <w:bottom w:val="single" w:color="000000" w:sz="6"/>
              <w:right w:val="single" w:color="000000" w:sz="6"/>
            </w:tcBorders>
            <w:shd w:fill="2E75B6" w:val="clear"/>
            <w:tcMar>
              <w:top w:type="dxa" w:w="80"/>
              <w:left w:type="dxa" w:w="120"/>
              <w:bottom w:type="dxa" w:w="80"/>
              <w:right w:type="dxa" w:w="120"/>
            </w:tcMar>
          </w:tcPr>
          <w:p>
            <w:r>
              <w:rPr>
                <w:b/>
                <w:bCs/>
                <w:color w:val="FFFFFF"/>
                <w:sz w:val="22"/>
                <w:szCs w:val="22"/>
              </w:rPr>
              <w:t xml:space="preserve">Party Name</w:t>
            </w:r>
          </w:p>
        </w:tc>
        <w:tc>
          <w:tcPr>
            <w:tcBorders>
              <w:top w:val="single" w:color="000000" w:sz="6"/>
              <w:left w:val="single" w:color="000000" w:sz="6"/>
              <w:bottom w:val="single" w:color="000000" w:sz="6"/>
              <w:right w:val="single" w:color="000000" w:sz="6"/>
            </w:tcBorders>
            <w:shd w:fill="2E75B6" w:val="clear"/>
            <w:tcMar>
              <w:top w:type="dxa" w:w="80"/>
              <w:left w:type="dxa" w:w="120"/>
              <w:bottom w:type="dxa" w:w="80"/>
              <w:right w:type="dxa" w:w="120"/>
            </w:tcMar>
          </w:tcPr>
          <w:p>
            <w:r>
              <w:rPr>
                <w:b/>
                <w:bCs/>
                <w:color w:val="FFFFFF"/>
                <w:sz w:val="22"/>
                <w:szCs w:val="22"/>
              </w:rPr>
              <w:t xml:space="preserve">Role/Description</w:t>
            </w:r>
          </w:p>
        </w:tc>
        <w:tc>
          <w:tcPr>
            <w:tcBorders>
              <w:top w:val="single" w:color="000000" w:sz="6"/>
              <w:left w:val="single" w:color="000000" w:sz="6"/>
              <w:bottom w:val="single" w:color="000000" w:sz="6"/>
              <w:right w:val="single" w:color="000000" w:sz="6"/>
            </w:tcBorders>
            <w:shd w:fill="2E75B6" w:val="clear"/>
            <w:tcMar>
              <w:top w:type="dxa" w:w="80"/>
              <w:left w:type="dxa" w:w="120"/>
              <w:bottom w:type="dxa" w:w="80"/>
              <w:right w:type="dxa" w:w="120"/>
            </w:tcMar>
          </w:tcPr>
          <w:p>
            <w:r>
              <w:rPr>
                <w:b/>
                <w:bCs/>
                <w:color w:val="FFFFFF"/>
                <w:sz w:val="22"/>
                <w:szCs w:val="22"/>
              </w:rPr>
              <w:t xml:space="preserve">Source</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American Exchange Bank (AEB)</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Appellee/Creditor-Lender; made loans to TMI, received guaranties from Topps, conducted foreclosure and trustee sales, sought deficiency judgment</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409, Caption; Pages 411-414,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Luke G. Topp</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Appellant/Co-Guarantor; executed four unconditional guaranties to secure TMI loans; owned real property conveyed by trust deeds; filed chapter 12 bankruptcy in 2022</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409, Caption; Page 411,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Ria N. Topp</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Appellant/Co-Guarantor; executed four unconditional guaranties to secure TMI loans; owned real property conveyed by trust deeds; filed chapter 12 bankruptcy in 2022</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409, Caption; Page 411,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Topp's Mechanical, Inc. (TMI)</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Primary Borrower/Debtor; executed four promissory notes with AEB for $4,715,150 total principal; filed chapter 11 bankruptcy in 2021; defaulted on loans</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411, Background</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Trustee</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Secured party under trust deeds; person to whom title to Topps' real property was conveyed; conducted trustee sale of Topps' three properties in November 2023</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411, Background; Neb. Rev. Stat. § 76-1001(4)</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Ricky A. Schreiner</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District Court Judge for Johnson County; granted summary judgment in favor of AEB; denied Topps' motion for reconsideration</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410, Appeal Information</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Sarah E. Cavanagh &amp; Justin D. Eichmann</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Attorneys/Counsel for Appellants; represent Luke G. Topp and Ria N. Topp; with Houghton Bradford Whitted, P.C., L.L.O.</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410, Counsel Listing</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Trev E. Peterson &amp; Robert J. Drust III</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Attorneys/Counsel for Appellee; represent American Exchange Bank; with Knudsen, Berkheimer, Richardson &amp; Endacott, L.L.P.</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410, Counsel Listing</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Bergevin, J.</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Majority Opinion Author; Nebraska Supreme Court Justice; wrote court's principal opinion on antideficiency and waiver enforceability</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410, Panel; Opinion Attribution</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Papik, J.</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Associate Justice, Nebraska Supreme Court; wrote dissenting opinion disagreeing with majority's public policy analysis</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410, Panel; Pages 423-426, Dissent</w:t>
            </w:r>
          </w:p>
        </w:tc>
      </w:tr>
      <w:tr>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Other Justices (Funke C.J., Cassel, Stacy, Freudenberg, Vaughn)</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Associate Justices, Nebraska Supreme Court; participated in majority decision</w:t>
            </w:r>
          </w:p>
        </w:tc>
        <w:tc>
          <w:tcPr>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sz w:val="20"/>
                <w:szCs w:val="20"/>
              </w:rPr>
              <w:t xml:space="preserve">Page 410, Judicial Panel</w:t>
            </w:r>
          </w:p>
        </w:tc>
      </w:tr>
    </w:tbl>
    <w:p>
      <w:pPr>
        <w:spacing w:after="240"/>
      </w:pPr>
      <w:r>
        <w:t xml:space="preserve"/>
      </w:r>
    </w:p>
    <w:p>
      <w:pPr>
        <w:pStyle w:val="Heading2"/>
      </w:pPr>
      <w:r>
        <w:t xml:space="preserve">Critical Legal Holdings</w:t>
      </w:r>
    </w:p>
    <w:p>
      <w:pPr>
        <w:pStyle w:val="Heading2"/>
        <w:spacing w:after="100" w:before="120"/>
      </w:pPr>
      <w:r>
        <w:rPr>
          <w:sz w:val="26"/>
          <w:szCs w:val="26"/>
        </w:rPr>
        <w:t xml:space="preserve">Issue 1: Applicability of Antideficiency Statute to Guarantors</w:t>
      </w:r>
    </w:p>
    <w:p>
      <w:pPr>
        <w:spacing w:after="200"/>
      </w:pPr>
      <w:r>
        <w:t xml:space="preserve">Neb. Rev. Stat. § 76-1013 plainly applies to guarantor obligations when the trust deed was given as security for those obligations. Unlike Mutual of Omaha Bank v. Murante, where the guaranty was not secured by the deed of trust, here the Topps' guaranty obligation was directly secured by the trust deeds. [Pages 416-417, Analysis Section]</w:t>
      </w:r>
    </w:p>
    <w:p>
      <w:pPr>
        <w:pStyle w:val="Heading2"/>
        <w:spacing w:after="100" w:before="120"/>
      </w:pPr>
      <w:r>
        <w:rPr>
          <w:sz w:val="26"/>
          <w:szCs w:val="26"/>
        </w:rPr>
        <w:t xml:space="preserve">Issue 2: Enforceability of Waiver Provision</w:t>
      </w:r>
    </w:p>
    <w:p>
      <w:pPr>
        <w:spacing w:after="200"/>
      </w:pPr>
      <w:r>
        <w:t xml:space="preserve">A waiver of the limitation on deficiency judgments in § 76-1013 is unenforceable as a matter of public policy when a trust deed is given to secure an obligation, the power of sale is exercised, and a deficiency judgment is sought. The Legislature's use of the mandatory word 'shall' in the statute means courts cannot waive this legislative mandate. [Pages 418-420, Analysis Section; Page 410, Holding #8]</w:t>
      </w:r>
    </w:p>
    <w:p>
      <w:pPr>
        <w:pStyle w:val="Heading2"/>
        <w:spacing w:after="100" w:before="120"/>
      </w:pPr>
      <w:r>
        <w:rPr>
          <w:sz w:val="26"/>
          <w:szCs w:val="26"/>
        </w:rPr>
        <w:t xml:space="preserve">Issue 3: Genuine Issue of Material Fact</w:t>
      </w:r>
    </w:p>
    <w:p>
      <w:pPr>
        <w:spacing w:after="200"/>
      </w:pPr>
      <w:r>
        <w:t xml:space="preserve">A genuine issue of material fact remained as to the trust properties' fair market value at the time of trustee sales. Assessed values and prior appraisals constituted circumstantial evidence sufficient to contradict AEB's claimed fair market values, requiring submission to a fact finder. Summary judgment was therefore improper. [Pages 420-423, Analysis Section]</w:t>
      </w:r>
    </w:p>
    <w:p>
      <w:pPr>
        <w:pStyle w:val="Heading2"/>
        <w:spacing w:after="100" w:before="120"/>
      </w:pPr>
      <w:r>
        <w:rPr>
          <w:sz w:val="26"/>
          <w:szCs w:val="26"/>
        </w:rPr>
        <w:t xml:space="preserve">Public Policy Foundation</w:t>
      </w:r>
    </w:p>
    <w:p>
      <w:pPr>
        <w:spacing w:after="200"/>
      </w:pPr>
      <w:r>
        <w:t xml:space="preserve">'Allowing a beneficiary to proceed with a trustee sale and simultaneously avoid the limitations of the antideficiency statute, Neb. Rev. Stat. § 76-1013 (Reissue 2018), is a violation of public policy.' [Page 410, Holding #7; Page 420, Analysis]</w:t>
      </w:r>
    </w:p>
    <w:p>
      <w:pPr>
        <w:pStyle w:val="Heading2"/>
        <w:spacing w:after="100" w:before="240"/>
      </w:pPr>
      <w:r>
        <w:t xml:space="preserve">Dissenting Opinion (Justice Papik)</w:t>
      </w:r>
    </w:p>
    <w:p>
      <w:pPr>
        <w:spacing w:after="200"/>
      </w:pPr>
      <w:r>
        <w:t xml:space="preserve">Justice Papik argued that absent express antiwaiver language in the statute (unlike UCC § 9-602 and other statutes explicitly prohibiting waivers), freedom of contract should prevail and the waiver should be enforceable. The dissent noted that other courts have concluded that where such protections are not accompanied by express antiwaiver language, freedom of contract should prevail. [Pages 423-426, Dissenting Opinion]</w:t>
      </w:r>
    </w:p>
    <w:p>
      <w:pPr>
        <w:pStyle w:val="Heading2"/>
        <w:spacing w:after="100" w:before="240"/>
      </w:pPr>
      <w:r>
        <w:t xml:space="preserve">Case Outcome</w:t>
      </w:r>
    </w:p>
    <w:p>
      <w:pPr>
        <w:spacing w:after="200"/>
      </w:pPr>
      <w:r>
        <w:t xml:space="preserve">The Nebraska Supreme Court reversed the district court's grant of summary judgment and remanded the case for further proceedings. The Topps are entitled to credit for the fair market values of the trust properties at the time of the trustee sales under § 76-1013, and a genuine issue of material fact remains regarding those values. [Page 423, Conclusion Section]</w:t>
      </w:r>
    </w:p>
    <w:p>
      <w:pPr>
        <w:spacing w:before="240"/>
      </w:pPr>
      <w:r>
        <w:rPr>
          <w:i/>
          <w:iCs/>
          <w:color w:val="666666"/>
          <w:sz w:val="20"/>
          <w:szCs w:val="20"/>
        </w:rPr>
        <w:t xml:space="preserve">Document Generated: Legal Analysis of American Exchange Bank v. Topp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2026-05-30T07:53:58.036Z</dcterms:created>
  <dcterms:modified xsi:type="dcterms:W3CDTF">2026-05-30T07:53:58.037Z</dcterms:modified>
</cp:coreProperties>
</file>

<file path=docProps/custom.xml><?xml version="1.0" encoding="utf-8"?>
<Properties xmlns="http://schemas.openxmlformats.org/officeDocument/2006/custom-properties" xmlns:vt="http://schemas.openxmlformats.org/officeDocument/2006/docPropsVTypes"/>
</file>