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EE379D">
      <w:r>
        <w:rPr>
          <w:rFonts w:ascii="Segoe UI" w:hAnsi="Segoe UI" w:cs="Segoe UI"/>
          <w:sz w:val="21"/>
          <w:szCs w:val="21"/>
          <w:shd w:val="clear" w:color="auto" w:fill="FFFFFF"/>
        </w:rPr>
        <w:t>If your SQL queries are SLOW...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Follow this 3 step workflow↓↓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80% of slow queries come down to basics: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1️⃣ Reduce dataset size early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Filter with WHERE as soon as possible.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Use LIMIT when exploring.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Pre-filter in CTEs before JOINs.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2️⃣ Remove extra processing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Ditch SELECT *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Skip DISTINCT when you don't need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Replace correlated subqueries with a CTE.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Use UNION ALL when duplicates aren't a concern.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3️⃣ Use your indexes properly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Filter on indexed columns.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Never wrap them in functions.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Prefer IN over repeated OR.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Small changes, massive difference.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Queries can go from minutes to seconds with basics.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F1D"/>
    <w:rsid w:val="002D6A40"/>
    <w:rsid w:val="003E6F9A"/>
    <w:rsid w:val="00AA6E8F"/>
    <w:rsid w:val="00BD6F1D"/>
    <w:rsid w:val="00D33068"/>
    <w:rsid w:val="00EE379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EE379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EE3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2026-07-24T18:41:00Z</dcterms:created>
  <dcterms:modified xsi:type="dcterms:W3CDTF">2026-07-24T18:41:00Z</dcterms:modified>
</cp:coreProperties>
</file>