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9E392" w14:textId="77777777" w:rsidR="00A50181" w:rsidRPr="000F7E1F" w:rsidRDefault="00A50181" w:rsidP="00A50181">
      <w:pPr>
        <w:shd w:val="clear" w:color="auto" w:fill="DBE5F1" w:themeFill="accent1" w:themeFillTint="33"/>
        <w:rPr>
          <w:b/>
        </w:rPr>
      </w:pPr>
      <w:r>
        <w:rPr>
          <w:b/>
        </w:rPr>
        <w:t>Purpose</w:t>
      </w:r>
    </w:p>
    <w:p w14:paraId="44DC26F0" w14:textId="7B61B344" w:rsidR="00A50181" w:rsidRPr="007C32D8" w:rsidRDefault="00DF4F42" w:rsidP="00A50181">
      <w:r>
        <w:t>Operational</w:t>
      </w:r>
      <w:r w:rsidR="000C5187" w:rsidRPr="007C32D8">
        <w:t xml:space="preserve"> workflow for sup</w:t>
      </w:r>
      <w:r>
        <w:t>porting charge Interface issues.</w:t>
      </w:r>
    </w:p>
    <w:p w14:paraId="4CCEA94B" w14:textId="77777777" w:rsidR="00A50181" w:rsidRPr="001C209F" w:rsidRDefault="00D153CA" w:rsidP="00A50181">
      <w:pPr>
        <w:shd w:val="clear" w:color="auto" w:fill="DBE5F1" w:themeFill="accent1" w:themeFillTint="33"/>
        <w:rPr>
          <w:b/>
        </w:rPr>
      </w:pPr>
      <w:r>
        <w:rPr>
          <w:b/>
        </w:rPr>
        <w:t>Identifying the Issue</w:t>
      </w:r>
    </w:p>
    <w:p w14:paraId="628F6CC1" w14:textId="334C18A8" w:rsidR="008E0616" w:rsidRPr="00D153CA" w:rsidRDefault="007D2B71" w:rsidP="007C32D8">
      <w:p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Please see noted below the various ways that charge interface</w:t>
      </w:r>
      <w:r w:rsidR="000C5187" w:rsidRPr="00D153CA">
        <w:rPr>
          <w:sz w:val="20"/>
          <w:szCs w:val="20"/>
        </w:rPr>
        <w:t xml:space="preserve"> issue</w:t>
      </w:r>
      <w:r w:rsidRPr="00D153CA">
        <w:rPr>
          <w:sz w:val="20"/>
          <w:szCs w:val="20"/>
        </w:rPr>
        <w:t>s</w:t>
      </w:r>
      <w:r w:rsidR="000C5187" w:rsidRPr="00D153CA">
        <w:rPr>
          <w:sz w:val="20"/>
          <w:szCs w:val="20"/>
        </w:rPr>
        <w:t xml:space="preserve"> can be identified.</w:t>
      </w:r>
    </w:p>
    <w:p w14:paraId="7C5F3F63" w14:textId="1BE779B4" w:rsidR="000C5187" w:rsidRPr="00D153CA" w:rsidRDefault="000C5187" w:rsidP="001B30E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b/>
          <w:sz w:val="20"/>
          <w:szCs w:val="20"/>
        </w:rPr>
      </w:pPr>
      <w:r w:rsidRPr="00D153CA">
        <w:rPr>
          <w:b/>
          <w:sz w:val="20"/>
          <w:szCs w:val="20"/>
        </w:rPr>
        <w:t>R</w:t>
      </w:r>
      <w:r w:rsidR="00BD434D">
        <w:rPr>
          <w:b/>
          <w:sz w:val="20"/>
          <w:szCs w:val="20"/>
        </w:rPr>
        <w:t>evenue Integrity Operations (RIO)</w:t>
      </w:r>
      <w:r w:rsidRPr="00D153CA">
        <w:rPr>
          <w:b/>
          <w:sz w:val="20"/>
          <w:szCs w:val="20"/>
        </w:rPr>
        <w:t xml:space="preserve"> team identifies issue through </w:t>
      </w:r>
      <w:r w:rsidR="006F6E82" w:rsidRPr="00D153CA">
        <w:rPr>
          <w:b/>
          <w:sz w:val="20"/>
          <w:szCs w:val="20"/>
        </w:rPr>
        <w:t>Daily Charge Summary Report</w:t>
      </w:r>
    </w:p>
    <w:p w14:paraId="6D0FBA83" w14:textId="77777777" w:rsidR="000C5187" w:rsidRPr="00D153CA" w:rsidRDefault="000C5187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No batch</w:t>
      </w:r>
    </w:p>
    <w:p w14:paraId="0F73360B" w14:textId="77777777" w:rsidR="00EA38AB" w:rsidRPr="00D153CA" w:rsidRDefault="006F6E82" w:rsidP="001B30E7">
      <w:pPr>
        <w:pStyle w:val="ListParagraph"/>
        <w:numPr>
          <w:ilvl w:val="3"/>
          <w:numId w:val="7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Check for EAI email notification</w:t>
      </w:r>
    </w:p>
    <w:p w14:paraId="51ED009D" w14:textId="77777777" w:rsidR="006F6E82" w:rsidRPr="00D153CA" w:rsidRDefault="006F6E82" w:rsidP="001B30E7">
      <w:pPr>
        <w:pStyle w:val="ListParagraph"/>
        <w:numPr>
          <w:ilvl w:val="4"/>
          <w:numId w:val="7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If email sent – </w:t>
      </w:r>
      <w:r w:rsidR="00443CAE" w:rsidRPr="00D153CA">
        <w:rPr>
          <w:sz w:val="20"/>
          <w:szCs w:val="20"/>
        </w:rPr>
        <w:t xml:space="preserve">RIO will </w:t>
      </w:r>
      <w:r w:rsidR="00484524" w:rsidRPr="00D153CA">
        <w:rPr>
          <w:sz w:val="20"/>
          <w:szCs w:val="20"/>
        </w:rPr>
        <w:t>a</w:t>
      </w:r>
      <w:r w:rsidRPr="00D153CA">
        <w:rPr>
          <w:sz w:val="20"/>
          <w:szCs w:val="20"/>
        </w:rPr>
        <w:t>dd to daily email that issue exists and has been flagged</w:t>
      </w:r>
    </w:p>
    <w:p w14:paraId="0C3D5EDB" w14:textId="77777777" w:rsidR="006F6E82" w:rsidRPr="00D153CA" w:rsidRDefault="006F6E82" w:rsidP="001B30E7">
      <w:pPr>
        <w:pStyle w:val="ListParagraph"/>
        <w:numPr>
          <w:ilvl w:val="4"/>
          <w:numId w:val="7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No email sent – </w:t>
      </w:r>
      <w:r w:rsidR="00443CAE" w:rsidRPr="00D153CA">
        <w:rPr>
          <w:sz w:val="20"/>
          <w:szCs w:val="20"/>
        </w:rPr>
        <w:t xml:space="preserve">RIO will </w:t>
      </w:r>
      <w:r w:rsidRPr="00D153CA">
        <w:rPr>
          <w:sz w:val="20"/>
          <w:szCs w:val="20"/>
        </w:rPr>
        <w:t xml:space="preserve">email site reconciliation contact to check to see if any charges are </w:t>
      </w:r>
      <w:r w:rsidR="00484524" w:rsidRPr="00D153CA">
        <w:rPr>
          <w:sz w:val="20"/>
          <w:szCs w:val="20"/>
        </w:rPr>
        <w:t>on the ancillary charge reports</w:t>
      </w:r>
      <w:r w:rsidRPr="00D153CA">
        <w:rPr>
          <w:sz w:val="20"/>
          <w:szCs w:val="20"/>
        </w:rPr>
        <w:t xml:space="preserve"> </w:t>
      </w:r>
    </w:p>
    <w:p w14:paraId="296CA68A" w14:textId="530DCFCD" w:rsidR="006F6E82" w:rsidRPr="00D153CA" w:rsidRDefault="006F6E82" w:rsidP="001B30E7">
      <w:pPr>
        <w:pStyle w:val="ListParagraph"/>
        <w:numPr>
          <w:ilvl w:val="3"/>
          <w:numId w:val="7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If charges </w:t>
      </w:r>
      <w:r w:rsidR="0080377E" w:rsidRPr="00D153CA">
        <w:rPr>
          <w:sz w:val="20"/>
          <w:szCs w:val="20"/>
        </w:rPr>
        <w:t xml:space="preserve">exist </w:t>
      </w:r>
      <w:r w:rsidRPr="00D153CA">
        <w:rPr>
          <w:sz w:val="20"/>
          <w:szCs w:val="20"/>
        </w:rPr>
        <w:t xml:space="preserve">on the </w:t>
      </w:r>
      <w:r w:rsidR="00386A9B" w:rsidRPr="00D153CA">
        <w:rPr>
          <w:sz w:val="20"/>
          <w:szCs w:val="20"/>
        </w:rPr>
        <w:t>a</w:t>
      </w:r>
      <w:r w:rsidRPr="00D153CA">
        <w:rPr>
          <w:sz w:val="20"/>
          <w:szCs w:val="20"/>
        </w:rPr>
        <w:t xml:space="preserve">ncillary </w:t>
      </w:r>
      <w:r w:rsidR="00386A9B" w:rsidRPr="00D153CA">
        <w:rPr>
          <w:sz w:val="20"/>
          <w:szCs w:val="20"/>
        </w:rPr>
        <w:t>c</w:t>
      </w:r>
      <w:r w:rsidRPr="00D153CA">
        <w:rPr>
          <w:sz w:val="20"/>
          <w:szCs w:val="20"/>
        </w:rPr>
        <w:t xml:space="preserve">harge reports – </w:t>
      </w:r>
      <w:r w:rsidR="00443CAE" w:rsidRPr="00D153CA">
        <w:rPr>
          <w:sz w:val="20"/>
          <w:szCs w:val="20"/>
        </w:rPr>
        <w:t xml:space="preserve">RIO will </w:t>
      </w:r>
      <w:r w:rsidRPr="00D153CA">
        <w:rPr>
          <w:sz w:val="20"/>
          <w:szCs w:val="20"/>
        </w:rPr>
        <w:t xml:space="preserve">open ticket with </w:t>
      </w:r>
      <w:r w:rsidR="008A1CEC" w:rsidRPr="00BE2DC7">
        <w:rPr>
          <w:i/>
          <w:sz w:val="20"/>
          <w:szCs w:val="20"/>
        </w:rPr>
        <w:t>Project Access – App Integration</w:t>
      </w:r>
    </w:p>
    <w:p w14:paraId="483DD1B3" w14:textId="77777777" w:rsidR="000C5187" w:rsidRPr="00D153CA" w:rsidRDefault="000C5187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Volume trend</w:t>
      </w:r>
    </w:p>
    <w:p w14:paraId="06A2AA81" w14:textId="77777777" w:rsidR="006A7D2F" w:rsidRPr="00D153CA" w:rsidRDefault="0080377E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RIO w</w:t>
      </w:r>
      <w:r w:rsidR="00386A9B" w:rsidRPr="00D153CA">
        <w:rPr>
          <w:sz w:val="20"/>
          <w:szCs w:val="20"/>
        </w:rPr>
        <w:t>ill assess the volume trend by doing a</w:t>
      </w:r>
      <w:r w:rsidR="006F6E82" w:rsidRPr="00D153CA">
        <w:rPr>
          <w:sz w:val="20"/>
          <w:szCs w:val="20"/>
        </w:rPr>
        <w:t xml:space="preserve"> </w:t>
      </w:r>
      <w:r w:rsidR="00386A9B" w:rsidRPr="00D153CA">
        <w:rPr>
          <w:sz w:val="20"/>
          <w:szCs w:val="20"/>
        </w:rPr>
        <w:t>p</w:t>
      </w:r>
      <w:r w:rsidR="006F6E82" w:rsidRPr="00D153CA">
        <w:rPr>
          <w:sz w:val="20"/>
          <w:szCs w:val="20"/>
        </w:rPr>
        <w:t xml:space="preserve">ivot </w:t>
      </w:r>
      <w:r w:rsidR="00386A9B" w:rsidRPr="00D153CA">
        <w:rPr>
          <w:sz w:val="20"/>
          <w:szCs w:val="20"/>
        </w:rPr>
        <w:t>from</w:t>
      </w:r>
      <w:r w:rsidR="006F6E82" w:rsidRPr="00D153CA">
        <w:rPr>
          <w:sz w:val="20"/>
          <w:szCs w:val="20"/>
        </w:rPr>
        <w:t xml:space="preserve"> </w:t>
      </w:r>
      <w:r w:rsidR="00386A9B" w:rsidRPr="00D153CA">
        <w:rPr>
          <w:sz w:val="20"/>
          <w:szCs w:val="20"/>
        </w:rPr>
        <w:t xml:space="preserve">the Daily Charge Summary report. This will include </w:t>
      </w:r>
      <w:r w:rsidR="006F6E82" w:rsidRPr="00D153CA">
        <w:rPr>
          <w:sz w:val="20"/>
          <w:szCs w:val="20"/>
        </w:rPr>
        <w:t>daily averages</w:t>
      </w:r>
      <w:r w:rsidR="003D5CBE" w:rsidRPr="00D153CA">
        <w:rPr>
          <w:sz w:val="20"/>
          <w:szCs w:val="20"/>
        </w:rPr>
        <w:t xml:space="preserve"> for each ancillary with an alert based on a set +/-. </w:t>
      </w:r>
    </w:p>
    <w:p w14:paraId="2973CE9D" w14:textId="77777777" w:rsidR="006F6E82" w:rsidRPr="00D153CA" w:rsidRDefault="006F6E82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Check for EAI email notification</w:t>
      </w:r>
    </w:p>
    <w:p w14:paraId="5ACA15E8" w14:textId="77777777" w:rsidR="0080377E" w:rsidRPr="00D153CA" w:rsidRDefault="0080377E" w:rsidP="001B30E7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If email sent – RIO will add to daily email that issue exists and has been flagged</w:t>
      </w:r>
    </w:p>
    <w:p w14:paraId="15B739F4" w14:textId="77777777" w:rsidR="006F6E82" w:rsidRPr="00D153CA" w:rsidRDefault="006F6E82" w:rsidP="001B30E7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No email sent – </w:t>
      </w:r>
      <w:r w:rsidR="0080377E" w:rsidRPr="00D153CA">
        <w:rPr>
          <w:sz w:val="20"/>
          <w:szCs w:val="20"/>
        </w:rPr>
        <w:t xml:space="preserve">RIO will </w:t>
      </w:r>
      <w:r w:rsidRPr="00D153CA">
        <w:rPr>
          <w:sz w:val="20"/>
          <w:szCs w:val="20"/>
        </w:rPr>
        <w:t>email site reconciliation contact to check to see if any charges are on the ancillary cha</w:t>
      </w:r>
      <w:r w:rsidR="003D5CBE" w:rsidRPr="00D153CA">
        <w:rPr>
          <w:sz w:val="20"/>
          <w:szCs w:val="20"/>
        </w:rPr>
        <w:t>rge reports that do not exist in Soarian</w:t>
      </w:r>
      <w:r w:rsidRPr="00D153CA">
        <w:rPr>
          <w:sz w:val="20"/>
          <w:szCs w:val="20"/>
        </w:rPr>
        <w:t xml:space="preserve"> </w:t>
      </w:r>
    </w:p>
    <w:p w14:paraId="313702DC" w14:textId="47E80966" w:rsidR="006F6E82" w:rsidRPr="00D153CA" w:rsidRDefault="006F6E82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If there are charges on the </w:t>
      </w:r>
      <w:r w:rsidR="00386A9B" w:rsidRPr="00D153CA">
        <w:rPr>
          <w:sz w:val="20"/>
          <w:szCs w:val="20"/>
        </w:rPr>
        <w:t>a</w:t>
      </w:r>
      <w:r w:rsidRPr="00D153CA">
        <w:rPr>
          <w:sz w:val="20"/>
          <w:szCs w:val="20"/>
        </w:rPr>
        <w:t xml:space="preserve">ncillary </w:t>
      </w:r>
      <w:r w:rsidR="00386A9B" w:rsidRPr="00D153CA">
        <w:rPr>
          <w:sz w:val="20"/>
          <w:szCs w:val="20"/>
        </w:rPr>
        <w:t>c</w:t>
      </w:r>
      <w:r w:rsidRPr="00D153CA">
        <w:rPr>
          <w:sz w:val="20"/>
          <w:szCs w:val="20"/>
        </w:rPr>
        <w:t xml:space="preserve">harge reports that do not exist in Soarian – open ticket with </w:t>
      </w:r>
      <w:r w:rsidR="00BE2DC7" w:rsidRPr="00BE2DC7">
        <w:rPr>
          <w:i/>
          <w:sz w:val="20"/>
          <w:szCs w:val="20"/>
        </w:rPr>
        <w:t>Project Access – App Integration</w:t>
      </w:r>
    </w:p>
    <w:p w14:paraId="267574C3" w14:textId="77777777" w:rsidR="004F32B2" w:rsidRPr="00D153CA" w:rsidRDefault="004F32B2" w:rsidP="004F32B2">
      <w:pPr>
        <w:pStyle w:val="ListParagraph"/>
        <w:spacing w:after="160" w:line="259" w:lineRule="auto"/>
        <w:ind w:left="2160"/>
        <w:rPr>
          <w:sz w:val="20"/>
          <w:szCs w:val="20"/>
        </w:rPr>
      </w:pPr>
    </w:p>
    <w:p w14:paraId="030D1138" w14:textId="77777777" w:rsidR="000C5187" w:rsidRPr="00D153CA" w:rsidRDefault="0047000A" w:rsidP="000C5187">
      <w:pPr>
        <w:pStyle w:val="ListParagraph"/>
        <w:numPr>
          <w:ilvl w:val="1"/>
          <w:numId w:val="4"/>
        </w:numPr>
        <w:spacing w:after="160" w:line="259" w:lineRule="auto"/>
        <w:rPr>
          <w:b/>
          <w:sz w:val="20"/>
          <w:szCs w:val="20"/>
        </w:rPr>
      </w:pPr>
      <w:r w:rsidRPr="00D153CA">
        <w:rPr>
          <w:b/>
          <w:sz w:val="20"/>
          <w:szCs w:val="20"/>
        </w:rPr>
        <w:t>Site/</w:t>
      </w:r>
      <w:proofErr w:type="spellStart"/>
      <w:r w:rsidR="000C5187" w:rsidRPr="00D153CA">
        <w:rPr>
          <w:b/>
          <w:sz w:val="20"/>
          <w:szCs w:val="20"/>
        </w:rPr>
        <w:t>Dept</w:t>
      </w:r>
      <w:proofErr w:type="spellEnd"/>
      <w:r w:rsidRPr="00D153CA">
        <w:rPr>
          <w:b/>
          <w:sz w:val="20"/>
          <w:szCs w:val="20"/>
        </w:rPr>
        <w:t xml:space="preserve"> resources</w:t>
      </w:r>
      <w:r w:rsidR="000C5187" w:rsidRPr="00D153CA">
        <w:rPr>
          <w:b/>
          <w:sz w:val="20"/>
          <w:szCs w:val="20"/>
        </w:rPr>
        <w:t xml:space="preserve"> </w:t>
      </w:r>
      <w:r w:rsidRPr="00D153CA">
        <w:rPr>
          <w:b/>
          <w:sz w:val="20"/>
          <w:szCs w:val="20"/>
        </w:rPr>
        <w:t>identifies issue through</w:t>
      </w:r>
      <w:r w:rsidR="00E505FB" w:rsidRPr="00D153CA">
        <w:rPr>
          <w:b/>
          <w:sz w:val="20"/>
          <w:szCs w:val="20"/>
        </w:rPr>
        <w:t xml:space="preserve"> </w:t>
      </w:r>
      <w:r w:rsidR="002643E6" w:rsidRPr="00D153CA">
        <w:rPr>
          <w:b/>
          <w:sz w:val="20"/>
          <w:szCs w:val="20"/>
        </w:rPr>
        <w:t>Daily Charge R</w:t>
      </w:r>
      <w:r w:rsidR="000C5187" w:rsidRPr="00D153CA">
        <w:rPr>
          <w:b/>
          <w:sz w:val="20"/>
          <w:szCs w:val="20"/>
        </w:rPr>
        <w:t>econciliation</w:t>
      </w:r>
      <w:r w:rsidRPr="00D153CA">
        <w:rPr>
          <w:b/>
          <w:sz w:val="20"/>
          <w:szCs w:val="20"/>
        </w:rPr>
        <w:t xml:space="preserve"> review</w:t>
      </w:r>
    </w:p>
    <w:p w14:paraId="275A438C" w14:textId="77777777" w:rsidR="000C5187" w:rsidRPr="00D153CA" w:rsidRDefault="000C5187" w:rsidP="000C5187">
      <w:pPr>
        <w:pStyle w:val="ListParagraph"/>
        <w:numPr>
          <w:ilvl w:val="2"/>
          <w:numId w:val="4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No batch</w:t>
      </w:r>
    </w:p>
    <w:p w14:paraId="4CDE2029" w14:textId="77777777" w:rsidR="003D5CBE" w:rsidRPr="00D153CA" w:rsidRDefault="00443CAE" w:rsidP="00BB248A">
      <w:pPr>
        <w:pStyle w:val="ListParagraph"/>
        <w:numPr>
          <w:ilvl w:val="3"/>
          <w:numId w:val="4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Notify the RIO t</w:t>
      </w:r>
      <w:r w:rsidR="00E505FB" w:rsidRPr="00D153CA">
        <w:rPr>
          <w:sz w:val="20"/>
          <w:szCs w:val="20"/>
        </w:rPr>
        <w:t>eam and they will</w:t>
      </w:r>
      <w:r w:rsidRPr="00D153CA">
        <w:rPr>
          <w:sz w:val="20"/>
          <w:szCs w:val="20"/>
        </w:rPr>
        <w:t xml:space="preserve"> follow the process noted above</w:t>
      </w:r>
    </w:p>
    <w:p w14:paraId="0084AE9F" w14:textId="77777777" w:rsidR="000C5187" w:rsidRPr="00D153CA" w:rsidRDefault="000C5187" w:rsidP="000C5187">
      <w:pPr>
        <w:pStyle w:val="ListParagraph"/>
        <w:numPr>
          <w:ilvl w:val="2"/>
          <w:numId w:val="4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Discrepancy between #s sent from </w:t>
      </w:r>
      <w:r w:rsidR="00E505FB" w:rsidRPr="00D153CA">
        <w:rPr>
          <w:sz w:val="20"/>
          <w:szCs w:val="20"/>
        </w:rPr>
        <w:t>a</w:t>
      </w:r>
      <w:r w:rsidRPr="00D153CA">
        <w:rPr>
          <w:sz w:val="20"/>
          <w:szCs w:val="20"/>
        </w:rPr>
        <w:t>ncillary vs #s received in Soarian</w:t>
      </w:r>
    </w:p>
    <w:p w14:paraId="7D2BC88C" w14:textId="77777777" w:rsidR="00E505FB" w:rsidRPr="00D153CA" w:rsidRDefault="0047000A" w:rsidP="003D5CBE">
      <w:pPr>
        <w:pStyle w:val="ListParagraph"/>
        <w:numPr>
          <w:ilvl w:val="3"/>
          <w:numId w:val="4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The site/</w:t>
      </w:r>
      <w:proofErr w:type="spellStart"/>
      <w:r w:rsidRPr="00D153CA">
        <w:rPr>
          <w:sz w:val="20"/>
          <w:szCs w:val="20"/>
        </w:rPr>
        <w:t>dept</w:t>
      </w:r>
      <w:proofErr w:type="spellEnd"/>
      <w:r w:rsidR="00443CAE" w:rsidRPr="00D153CA">
        <w:rPr>
          <w:sz w:val="20"/>
          <w:szCs w:val="20"/>
        </w:rPr>
        <w:t xml:space="preserve"> to confirm they </w:t>
      </w:r>
      <w:r w:rsidR="00E505FB" w:rsidRPr="00D153CA">
        <w:rPr>
          <w:sz w:val="20"/>
          <w:szCs w:val="20"/>
        </w:rPr>
        <w:t>correctly</w:t>
      </w:r>
      <w:r w:rsidR="003D5CBE" w:rsidRPr="00D153CA">
        <w:rPr>
          <w:sz w:val="20"/>
          <w:szCs w:val="20"/>
        </w:rPr>
        <w:t xml:space="preserve"> pulled their reports and batch times </w:t>
      </w:r>
      <w:r w:rsidRPr="00D153CA">
        <w:rPr>
          <w:sz w:val="20"/>
          <w:szCs w:val="20"/>
        </w:rPr>
        <w:t>are correct</w:t>
      </w:r>
    </w:p>
    <w:p w14:paraId="73332A7B" w14:textId="022A5195" w:rsidR="00FB2FCD" w:rsidRPr="00FB2FCD" w:rsidRDefault="00443CAE" w:rsidP="00FB2FCD">
      <w:pPr>
        <w:pStyle w:val="ListParagraph"/>
        <w:numPr>
          <w:ilvl w:val="3"/>
          <w:numId w:val="4"/>
        </w:numPr>
        <w:spacing w:after="160" w:line="259" w:lineRule="auto"/>
        <w:rPr>
          <w:i/>
          <w:sz w:val="20"/>
          <w:szCs w:val="20"/>
        </w:rPr>
      </w:pPr>
      <w:r w:rsidRPr="00FB2FCD">
        <w:rPr>
          <w:sz w:val="20"/>
          <w:szCs w:val="20"/>
        </w:rPr>
        <w:t>Notify the RIO t</w:t>
      </w:r>
      <w:r w:rsidR="00E505FB" w:rsidRPr="00FB2FCD">
        <w:rPr>
          <w:sz w:val="20"/>
          <w:szCs w:val="20"/>
        </w:rPr>
        <w:t xml:space="preserve">eam and </w:t>
      </w:r>
      <w:r w:rsidR="00B80ABC" w:rsidRPr="00FB2FCD">
        <w:rPr>
          <w:sz w:val="20"/>
          <w:szCs w:val="20"/>
        </w:rPr>
        <w:t>RIO will f</w:t>
      </w:r>
      <w:r w:rsidRPr="00FB2FCD">
        <w:rPr>
          <w:sz w:val="20"/>
          <w:szCs w:val="20"/>
        </w:rPr>
        <w:t>ollow the process noted</w:t>
      </w:r>
      <w:r w:rsidR="00FB2FCD">
        <w:rPr>
          <w:sz w:val="20"/>
          <w:szCs w:val="20"/>
        </w:rPr>
        <w:t>, where they c</w:t>
      </w:r>
      <w:r w:rsidR="00FB2FCD" w:rsidRPr="00FB2FCD">
        <w:rPr>
          <w:sz w:val="20"/>
          <w:szCs w:val="20"/>
        </w:rPr>
        <w:t>heck for EAI email notification</w:t>
      </w:r>
      <w:r w:rsidR="00FB2FCD">
        <w:rPr>
          <w:sz w:val="20"/>
          <w:szCs w:val="20"/>
        </w:rPr>
        <w:t>:</w:t>
      </w:r>
    </w:p>
    <w:p w14:paraId="0CF193E4" w14:textId="565795B2" w:rsidR="00FB2FCD" w:rsidRPr="00D153CA" w:rsidRDefault="00FB2FCD" w:rsidP="00FB2FCD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FB2FCD">
        <w:rPr>
          <w:sz w:val="20"/>
          <w:szCs w:val="20"/>
        </w:rPr>
        <w:t>If email sent – RIO will add to daily email that</w:t>
      </w:r>
      <w:r w:rsidRPr="00D153CA">
        <w:rPr>
          <w:sz w:val="20"/>
          <w:szCs w:val="20"/>
        </w:rPr>
        <w:t xml:space="preserve"> issue exists and has been flagged</w:t>
      </w:r>
      <w:r>
        <w:rPr>
          <w:sz w:val="20"/>
          <w:szCs w:val="20"/>
        </w:rPr>
        <w:t xml:space="preserve">. RIO </w:t>
      </w:r>
      <w:r w:rsidRPr="00FB2FCD">
        <w:rPr>
          <w:sz w:val="20"/>
          <w:szCs w:val="20"/>
          <w:u w:val="single"/>
        </w:rPr>
        <w:t>will not</w:t>
      </w:r>
      <w:r>
        <w:rPr>
          <w:sz w:val="20"/>
          <w:szCs w:val="20"/>
        </w:rPr>
        <w:t xml:space="preserve"> open a duplicate ticket if they already know the issue was identified.</w:t>
      </w:r>
    </w:p>
    <w:p w14:paraId="231AF26B" w14:textId="4B4BD3D6" w:rsidR="00FB2FCD" w:rsidRPr="00FB2FCD" w:rsidRDefault="00FB2FCD" w:rsidP="00FB2FCD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No email sent – RIO will </w:t>
      </w:r>
      <w:r>
        <w:rPr>
          <w:sz w:val="20"/>
          <w:szCs w:val="20"/>
        </w:rPr>
        <w:t>verify the discrepancies noted by the s</w:t>
      </w:r>
      <w:r w:rsidRPr="00D153CA">
        <w:rPr>
          <w:sz w:val="20"/>
          <w:szCs w:val="20"/>
        </w:rPr>
        <w:t>ite reconciliation contact</w:t>
      </w:r>
      <w:r>
        <w:rPr>
          <w:sz w:val="20"/>
          <w:szCs w:val="20"/>
        </w:rPr>
        <w:t xml:space="preserve">s. </w:t>
      </w:r>
      <w:r w:rsidRPr="00FB2FCD">
        <w:rPr>
          <w:sz w:val="20"/>
          <w:szCs w:val="20"/>
        </w:rPr>
        <w:t xml:space="preserve">If there are charges on the ancillary charge reports that do not exist in Soarian – open ticket with </w:t>
      </w:r>
      <w:r w:rsidR="008A1CEC" w:rsidRPr="00BE2DC7">
        <w:rPr>
          <w:i/>
          <w:sz w:val="20"/>
          <w:szCs w:val="20"/>
        </w:rPr>
        <w:t>Project Access – App Integration</w:t>
      </w:r>
      <w:r>
        <w:rPr>
          <w:sz w:val="20"/>
          <w:szCs w:val="20"/>
        </w:rPr>
        <w:t>.</w:t>
      </w:r>
    </w:p>
    <w:p w14:paraId="46A41B95" w14:textId="77777777" w:rsidR="00FB2FCD" w:rsidRPr="00FB2FCD" w:rsidRDefault="00FB2FCD" w:rsidP="00FB2FCD">
      <w:pPr>
        <w:pStyle w:val="ListParagraph"/>
        <w:spacing w:after="160" w:line="259" w:lineRule="auto"/>
        <w:ind w:left="3600"/>
        <w:rPr>
          <w:sz w:val="20"/>
          <w:szCs w:val="20"/>
        </w:rPr>
      </w:pPr>
    </w:p>
    <w:p w14:paraId="3CE7705D" w14:textId="349C8109" w:rsidR="000C5187" w:rsidRPr="00D153CA" w:rsidRDefault="000C5187" w:rsidP="00E50C7D">
      <w:pPr>
        <w:pStyle w:val="ListParagraph"/>
        <w:numPr>
          <w:ilvl w:val="1"/>
          <w:numId w:val="4"/>
        </w:numPr>
        <w:spacing w:after="160" w:line="259" w:lineRule="auto"/>
        <w:rPr>
          <w:b/>
          <w:sz w:val="20"/>
          <w:szCs w:val="20"/>
        </w:rPr>
      </w:pPr>
      <w:r w:rsidRPr="00D153CA">
        <w:rPr>
          <w:b/>
          <w:sz w:val="20"/>
          <w:szCs w:val="20"/>
        </w:rPr>
        <w:t>E</w:t>
      </w:r>
      <w:r w:rsidR="00E50C7D" w:rsidRPr="00D153CA">
        <w:rPr>
          <w:b/>
          <w:sz w:val="20"/>
          <w:szCs w:val="20"/>
        </w:rPr>
        <w:t>AI team</w:t>
      </w:r>
      <w:r w:rsidR="00687FED" w:rsidRPr="00D153CA">
        <w:rPr>
          <w:b/>
          <w:sz w:val="20"/>
          <w:szCs w:val="20"/>
        </w:rPr>
        <w:t xml:space="preserve"> sends out a</w:t>
      </w:r>
      <w:r w:rsidR="00E50C7D" w:rsidRPr="00D153CA">
        <w:rPr>
          <w:b/>
          <w:sz w:val="20"/>
          <w:szCs w:val="20"/>
        </w:rPr>
        <w:t xml:space="preserve"> </w:t>
      </w:r>
      <w:r w:rsidR="00687FED" w:rsidRPr="00D153CA">
        <w:rPr>
          <w:b/>
          <w:sz w:val="20"/>
          <w:szCs w:val="20"/>
          <w:u w:val="single"/>
        </w:rPr>
        <w:t>‘</w:t>
      </w:r>
      <w:r w:rsidR="00E50C7D" w:rsidRPr="00D153CA">
        <w:rPr>
          <w:b/>
          <w:sz w:val="20"/>
          <w:szCs w:val="20"/>
          <w:u w:val="single"/>
        </w:rPr>
        <w:t>No DFT Activity alert</w:t>
      </w:r>
      <w:r w:rsidR="00687FED" w:rsidRPr="00D153CA">
        <w:rPr>
          <w:b/>
          <w:sz w:val="20"/>
          <w:szCs w:val="20"/>
          <w:u w:val="single"/>
        </w:rPr>
        <w:t xml:space="preserve">’ email </w:t>
      </w:r>
      <w:r w:rsidR="00B37486" w:rsidRPr="00D153CA">
        <w:rPr>
          <w:b/>
          <w:sz w:val="20"/>
          <w:szCs w:val="20"/>
          <w:u w:val="single"/>
        </w:rPr>
        <w:t>(Ancillary</w:t>
      </w:r>
      <w:r w:rsidR="00B37486" w:rsidRPr="00D153CA">
        <w:rPr>
          <w:b/>
          <w:sz w:val="20"/>
          <w:szCs w:val="20"/>
          <w:u w:val="single"/>
        </w:rPr>
        <w:sym w:font="Wingdings" w:char="F0E0"/>
      </w:r>
      <w:r w:rsidR="00B37486" w:rsidRPr="00D153CA">
        <w:rPr>
          <w:b/>
          <w:sz w:val="20"/>
          <w:szCs w:val="20"/>
          <w:u w:val="single"/>
        </w:rPr>
        <w:t>Ensemble)</w:t>
      </w:r>
    </w:p>
    <w:p w14:paraId="2DCEF8C8" w14:textId="27CB9F6E" w:rsidR="000A0C5E" w:rsidRPr="00A17E97" w:rsidRDefault="000A0C5E" w:rsidP="00A17E9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 w:rsidRPr="007F7FCD">
        <w:rPr>
          <w:sz w:val="20"/>
          <w:szCs w:val="20"/>
        </w:rPr>
        <w:t xml:space="preserve">EAI Team has implemented a "NO DFT Activity" Alert for each ancillary to notify when no DFT messages have been </w:t>
      </w:r>
      <w:r w:rsidR="00395689" w:rsidRPr="007F7FCD">
        <w:rPr>
          <w:sz w:val="20"/>
          <w:szCs w:val="20"/>
        </w:rPr>
        <w:t>processed</w:t>
      </w:r>
      <w:r w:rsidRPr="007F7FCD">
        <w:rPr>
          <w:sz w:val="20"/>
          <w:szCs w:val="20"/>
        </w:rPr>
        <w:t xml:space="preserve"> by Ensemble within a 24hr period for that respective ancillary. </w:t>
      </w:r>
      <w:r w:rsidRPr="00A17E97">
        <w:rPr>
          <w:sz w:val="20"/>
          <w:szCs w:val="20"/>
        </w:rPr>
        <w:t xml:space="preserve">EAI Team sends "NO DFT Activity" emails to distribution lists, not to </w:t>
      </w:r>
      <w:r w:rsidR="00BA2F6C">
        <w:rPr>
          <w:sz w:val="20"/>
          <w:szCs w:val="20"/>
        </w:rPr>
        <w:t>individuals and will open up an incident ticket for the respective ancillary to investigate.</w:t>
      </w:r>
    </w:p>
    <w:p w14:paraId="6D8261F1" w14:textId="77777777" w:rsidR="008E0616" w:rsidRPr="00BF78AA" w:rsidRDefault="008E0616" w:rsidP="00BF78AA">
      <w:pPr>
        <w:spacing w:after="160" w:line="259" w:lineRule="auto"/>
        <w:rPr>
          <w:sz w:val="20"/>
          <w:szCs w:val="20"/>
        </w:rPr>
      </w:pPr>
    </w:p>
    <w:p w14:paraId="1FC9235A" w14:textId="613781FC" w:rsidR="00443CAE" w:rsidRPr="00E713F5" w:rsidRDefault="00BA2F6C" w:rsidP="001211CF">
      <w:pPr>
        <w:pStyle w:val="ListParagraph"/>
        <w:numPr>
          <w:ilvl w:val="1"/>
          <w:numId w:val="4"/>
        </w:num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EAI DFT Activity alerts or Record Count Functionality (</w:t>
      </w:r>
      <w:r w:rsidR="00D04217" w:rsidRPr="00E713F5">
        <w:rPr>
          <w:b/>
          <w:sz w:val="20"/>
          <w:szCs w:val="20"/>
        </w:rPr>
        <w:t>Ensemble</w:t>
      </w:r>
      <w:r w:rsidR="00D04217" w:rsidRPr="00E713F5">
        <w:rPr>
          <w:b/>
          <w:sz w:val="20"/>
          <w:szCs w:val="20"/>
        </w:rPr>
        <w:sym w:font="Wingdings" w:char="F0E0"/>
      </w:r>
      <w:r w:rsidR="00D04217" w:rsidRPr="00E713F5">
        <w:rPr>
          <w:b/>
          <w:sz w:val="20"/>
          <w:szCs w:val="20"/>
        </w:rPr>
        <w:t xml:space="preserve"> </w:t>
      </w:r>
      <w:proofErr w:type="spellStart"/>
      <w:r w:rsidR="00D04217" w:rsidRPr="00E713F5">
        <w:rPr>
          <w:b/>
          <w:sz w:val="20"/>
          <w:szCs w:val="20"/>
        </w:rPr>
        <w:t>Openlink</w:t>
      </w:r>
      <w:proofErr w:type="spellEnd"/>
      <w:r>
        <w:rPr>
          <w:b/>
          <w:sz w:val="20"/>
          <w:szCs w:val="20"/>
        </w:rPr>
        <w:t>)</w:t>
      </w:r>
    </w:p>
    <w:p w14:paraId="025E0213" w14:textId="3CC0C20C" w:rsidR="00D12ABD" w:rsidRPr="008E4A81" w:rsidRDefault="00D12ABD" w:rsidP="004D3703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 xml:space="preserve">EAI </w:t>
      </w:r>
      <w:r w:rsidR="00340095">
        <w:rPr>
          <w:sz w:val="20"/>
          <w:szCs w:val="20"/>
        </w:rPr>
        <w:t xml:space="preserve">has modified </w:t>
      </w:r>
      <w:r w:rsidRPr="008E4A81">
        <w:rPr>
          <w:sz w:val="20"/>
          <w:szCs w:val="20"/>
        </w:rPr>
        <w:t xml:space="preserve">existing location of alerts to accommodate Ensemble -&gt; </w:t>
      </w:r>
      <w:proofErr w:type="spellStart"/>
      <w:r w:rsidRPr="008E4A81">
        <w:rPr>
          <w:sz w:val="20"/>
          <w:szCs w:val="20"/>
        </w:rPr>
        <w:t>OPENLink</w:t>
      </w:r>
      <w:proofErr w:type="spellEnd"/>
      <w:r w:rsidRPr="008E4A81">
        <w:rPr>
          <w:sz w:val="20"/>
          <w:szCs w:val="20"/>
        </w:rPr>
        <w:t xml:space="preserve"> m</w:t>
      </w:r>
      <w:r w:rsidR="00765BE9" w:rsidRPr="008E4A81">
        <w:rPr>
          <w:sz w:val="20"/>
          <w:szCs w:val="20"/>
        </w:rPr>
        <w:t>essage flow</w:t>
      </w:r>
      <w:r w:rsidR="00FB481A" w:rsidRPr="008E4A81">
        <w:rPr>
          <w:sz w:val="20"/>
          <w:szCs w:val="20"/>
        </w:rPr>
        <w:t xml:space="preserve">  </w:t>
      </w:r>
      <w:r w:rsidRPr="008E4A81">
        <w:rPr>
          <w:sz w:val="20"/>
          <w:szCs w:val="20"/>
        </w:rPr>
        <w:t xml:space="preserve">  </w:t>
      </w:r>
    </w:p>
    <w:p w14:paraId="6B82463A" w14:textId="77777777" w:rsidR="00D12ABD" w:rsidRPr="008E4A81" w:rsidRDefault="00D12ABD" w:rsidP="004D3703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>No DFT activity will be monitored when Scheduled Task to create batch is initiated</w:t>
      </w:r>
    </w:p>
    <w:p w14:paraId="7FCD092B" w14:textId="62488148" w:rsidR="00D12ABD" w:rsidRPr="008E4A81" w:rsidRDefault="00D12ABD" w:rsidP="004D3703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>If N</w:t>
      </w:r>
      <w:r w:rsidR="004D3703">
        <w:rPr>
          <w:sz w:val="20"/>
          <w:szCs w:val="20"/>
        </w:rPr>
        <w:t>o</w:t>
      </w:r>
      <w:r w:rsidRPr="008E4A81">
        <w:rPr>
          <w:sz w:val="20"/>
          <w:szCs w:val="20"/>
        </w:rPr>
        <w:t xml:space="preserve"> DFT activity is identified, GMS team will follow same process today as described above 3</w:t>
      </w:r>
      <w:r w:rsidR="00E621FD" w:rsidRPr="008E4A81">
        <w:rPr>
          <w:sz w:val="20"/>
          <w:szCs w:val="20"/>
        </w:rPr>
        <w:t>a</w:t>
      </w:r>
      <w:r w:rsidRPr="008E4A81">
        <w:rPr>
          <w:sz w:val="20"/>
          <w:szCs w:val="20"/>
        </w:rPr>
        <w:t>.</w:t>
      </w:r>
    </w:p>
    <w:p w14:paraId="77E5AF54" w14:textId="6A38F95C" w:rsidR="00D12ABD" w:rsidRPr="008E4A81" w:rsidRDefault="00765BE9" w:rsidP="004D3703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>If DFT activity is identified</w:t>
      </w:r>
      <w:r w:rsidR="00E713F5">
        <w:rPr>
          <w:sz w:val="20"/>
          <w:szCs w:val="20"/>
        </w:rPr>
        <w:t xml:space="preserve">, then EAI will </w:t>
      </w:r>
      <w:r w:rsidR="004D3703">
        <w:rPr>
          <w:sz w:val="20"/>
          <w:szCs w:val="20"/>
        </w:rPr>
        <w:t xml:space="preserve">proceed by checking </w:t>
      </w:r>
      <w:r w:rsidR="00E713F5" w:rsidRPr="004D3703">
        <w:rPr>
          <w:i/>
          <w:sz w:val="20"/>
          <w:szCs w:val="20"/>
        </w:rPr>
        <w:t>Record Count Functionality</w:t>
      </w:r>
    </w:p>
    <w:p w14:paraId="41841B55" w14:textId="640A494A" w:rsidR="00D12ABD" w:rsidRPr="008E4A81" w:rsidRDefault="004D3703" w:rsidP="004D3703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 Record count functionality p</w:t>
      </w:r>
      <w:r w:rsidR="00E713F5">
        <w:rPr>
          <w:sz w:val="20"/>
          <w:szCs w:val="20"/>
        </w:rPr>
        <w:t>r</w:t>
      </w:r>
      <w:r w:rsidR="00FB481A" w:rsidRPr="008E4A81">
        <w:rPr>
          <w:sz w:val="20"/>
          <w:szCs w:val="20"/>
        </w:rPr>
        <w:t>ocess</w:t>
      </w:r>
      <w:r w:rsidR="00D12ABD" w:rsidRPr="008E4A81">
        <w:rPr>
          <w:sz w:val="20"/>
          <w:szCs w:val="20"/>
        </w:rPr>
        <w:t xml:space="preserve"> </w:t>
      </w:r>
      <w:r>
        <w:rPr>
          <w:sz w:val="20"/>
          <w:szCs w:val="20"/>
        </w:rPr>
        <w:t>will confirm</w:t>
      </w:r>
      <w:r w:rsidR="00D12ABD" w:rsidRPr="008E4A81">
        <w:rPr>
          <w:sz w:val="20"/>
          <w:szCs w:val="20"/>
        </w:rPr>
        <w:t xml:space="preserve"> Scheduled Task ran correctly and identify number of records</w:t>
      </w:r>
      <w:r w:rsidR="00FB481A" w:rsidRPr="008E4A81">
        <w:rPr>
          <w:sz w:val="20"/>
          <w:szCs w:val="20"/>
        </w:rPr>
        <w:t xml:space="preserve"> to be </w:t>
      </w:r>
      <w:r w:rsidR="00395689" w:rsidRPr="008E4A81">
        <w:rPr>
          <w:sz w:val="20"/>
          <w:szCs w:val="20"/>
        </w:rPr>
        <w:t>sent</w:t>
      </w:r>
      <w:r>
        <w:rPr>
          <w:sz w:val="20"/>
          <w:szCs w:val="20"/>
        </w:rPr>
        <w:t xml:space="preserve"> in the batch to Soarian.</w:t>
      </w:r>
    </w:p>
    <w:p w14:paraId="6941F69C" w14:textId="6A4DC28C" w:rsidR="005B34EF" w:rsidRPr="004D3703" w:rsidRDefault="004D3703" w:rsidP="004D3703">
      <w:pPr>
        <w:pStyle w:val="ListParagraph"/>
        <w:numPr>
          <w:ilvl w:val="4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4D3703">
        <w:rPr>
          <w:sz w:val="20"/>
          <w:szCs w:val="20"/>
        </w:rPr>
        <w:t>An alert will generate to our GMS team when there is</w:t>
      </w:r>
      <w:proofErr w:type="gramStart"/>
      <w:r w:rsidRPr="004D3703">
        <w:rPr>
          <w:sz w:val="20"/>
          <w:szCs w:val="20"/>
        </w:rPr>
        <w:t>  a</w:t>
      </w:r>
      <w:proofErr w:type="gramEnd"/>
      <w:r w:rsidRPr="004D3703">
        <w:rPr>
          <w:sz w:val="20"/>
          <w:szCs w:val="20"/>
        </w:rPr>
        <w:t xml:space="preserve"> mismatch of records.  EAI team created code to compare the number of records processed when the job ran against the number of records sent in the batch to Soarian.</w:t>
      </w:r>
      <w:r>
        <w:rPr>
          <w:sz w:val="20"/>
          <w:szCs w:val="20"/>
        </w:rPr>
        <w:t xml:space="preserve"> </w:t>
      </w:r>
      <w:r w:rsidRPr="004D3703">
        <w:rPr>
          <w:sz w:val="20"/>
          <w:szCs w:val="20"/>
        </w:rPr>
        <w:t xml:space="preserve">When this alert triggers, GMS will have </w:t>
      </w:r>
      <w:r>
        <w:rPr>
          <w:sz w:val="20"/>
          <w:szCs w:val="20"/>
        </w:rPr>
        <w:t>their</w:t>
      </w:r>
      <w:r w:rsidRPr="004D3703">
        <w:rPr>
          <w:sz w:val="20"/>
          <w:szCs w:val="20"/>
        </w:rPr>
        <w:t xml:space="preserve"> level 2 on call developer reach out to </w:t>
      </w:r>
      <w:r w:rsidR="00BF78AA" w:rsidRPr="00BE2DC7">
        <w:rPr>
          <w:i/>
          <w:sz w:val="20"/>
          <w:szCs w:val="20"/>
        </w:rPr>
        <w:t>Project Access – App Integration</w:t>
      </w:r>
      <w:r w:rsidR="00BF78AA" w:rsidRPr="004D3703">
        <w:rPr>
          <w:sz w:val="20"/>
          <w:szCs w:val="20"/>
        </w:rPr>
        <w:t xml:space="preserve"> </w:t>
      </w:r>
      <w:r w:rsidRPr="004D3703">
        <w:rPr>
          <w:sz w:val="20"/>
          <w:szCs w:val="20"/>
        </w:rPr>
        <w:t xml:space="preserve">the following business day (around 8am) to discuss next steps around resending the missing transactions.  </w:t>
      </w:r>
    </w:p>
    <w:p w14:paraId="66352DC4" w14:textId="77777777" w:rsidR="004D3703" w:rsidRPr="005B34EF" w:rsidRDefault="004D3703" w:rsidP="004D3703">
      <w:pPr>
        <w:pStyle w:val="ListParagraph"/>
        <w:spacing w:after="160" w:line="259" w:lineRule="auto"/>
        <w:ind w:left="3600"/>
        <w:rPr>
          <w:color w:val="FF0000"/>
          <w:sz w:val="20"/>
          <w:szCs w:val="20"/>
        </w:rPr>
      </w:pPr>
    </w:p>
    <w:p w14:paraId="73B794E1" w14:textId="645EFAF5" w:rsidR="00F303D9" w:rsidRPr="004D3703" w:rsidRDefault="008A1CEC" w:rsidP="001B30E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b/>
          <w:sz w:val="20"/>
          <w:szCs w:val="20"/>
        </w:rPr>
      </w:pPr>
      <w:r w:rsidRPr="00671A29">
        <w:rPr>
          <w:b/>
          <w:sz w:val="20"/>
          <w:szCs w:val="20"/>
        </w:rPr>
        <w:t>Project Access – App Integration</w:t>
      </w:r>
      <w:r w:rsidRPr="00671A29">
        <w:rPr>
          <w:b/>
          <w:sz w:val="20"/>
          <w:szCs w:val="20"/>
        </w:rPr>
        <w:t xml:space="preserve"> </w:t>
      </w:r>
      <w:r w:rsidR="00B947DD" w:rsidRPr="00671A29">
        <w:rPr>
          <w:b/>
          <w:sz w:val="20"/>
          <w:szCs w:val="20"/>
        </w:rPr>
        <w:t>is</w:t>
      </w:r>
      <w:r w:rsidR="00B947DD" w:rsidRPr="008A1CEC">
        <w:rPr>
          <w:b/>
          <w:sz w:val="20"/>
          <w:szCs w:val="20"/>
        </w:rPr>
        <w:t xml:space="preserve"> </w:t>
      </w:r>
      <w:r w:rsidR="000E3711" w:rsidRPr="008A1CEC">
        <w:rPr>
          <w:b/>
          <w:sz w:val="20"/>
          <w:szCs w:val="20"/>
        </w:rPr>
        <w:t xml:space="preserve">receiving </w:t>
      </w:r>
      <w:r w:rsidR="00B37486" w:rsidRPr="008A1CEC">
        <w:rPr>
          <w:b/>
          <w:sz w:val="20"/>
          <w:szCs w:val="20"/>
        </w:rPr>
        <w:t>alert</w:t>
      </w:r>
      <w:r w:rsidR="00B37486" w:rsidRPr="004D3703">
        <w:rPr>
          <w:b/>
          <w:sz w:val="20"/>
          <w:szCs w:val="20"/>
        </w:rPr>
        <w:t xml:space="preserve"> notification</w:t>
      </w:r>
      <w:r w:rsidR="000E3711" w:rsidRPr="004D3703">
        <w:rPr>
          <w:b/>
          <w:sz w:val="20"/>
          <w:szCs w:val="20"/>
        </w:rPr>
        <w:t xml:space="preserve"> for STREAM issues</w:t>
      </w:r>
    </w:p>
    <w:p w14:paraId="64D77E09" w14:textId="77777777" w:rsidR="00652307" w:rsidRPr="00D153CA" w:rsidRDefault="00652307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Backlog</w:t>
      </w:r>
    </w:p>
    <w:p w14:paraId="3A0B1AAD" w14:textId="74038C98" w:rsidR="00666488" w:rsidRPr="00D153CA" w:rsidRDefault="004D3703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652307" w:rsidRPr="00D153CA">
        <w:rPr>
          <w:sz w:val="20"/>
          <w:szCs w:val="20"/>
        </w:rPr>
        <w:t>T</w:t>
      </w:r>
      <w:r w:rsidR="00666488" w:rsidRPr="00D153CA">
        <w:rPr>
          <w:sz w:val="20"/>
          <w:szCs w:val="20"/>
        </w:rPr>
        <w:t xml:space="preserve">ransaction </w:t>
      </w:r>
      <w:r>
        <w:rPr>
          <w:sz w:val="20"/>
          <w:szCs w:val="20"/>
        </w:rPr>
        <w:t xml:space="preserve">gets </w:t>
      </w:r>
      <w:r w:rsidR="00666488" w:rsidRPr="00D153CA">
        <w:rPr>
          <w:sz w:val="20"/>
          <w:szCs w:val="20"/>
        </w:rPr>
        <w:t xml:space="preserve">stuck in stream, </w:t>
      </w:r>
      <w:r w:rsidR="00652307" w:rsidRPr="00D153CA">
        <w:rPr>
          <w:sz w:val="20"/>
          <w:szCs w:val="20"/>
        </w:rPr>
        <w:t>App I</w:t>
      </w:r>
      <w:r w:rsidR="00BF78AA">
        <w:rPr>
          <w:sz w:val="20"/>
          <w:szCs w:val="20"/>
        </w:rPr>
        <w:t>NT</w:t>
      </w:r>
      <w:r w:rsidR="00652307" w:rsidRPr="00D153CA">
        <w:rPr>
          <w:sz w:val="20"/>
          <w:szCs w:val="20"/>
        </w:rPr>
        <w:t xml:space="preserve"> </w:t>
      </w:r>
      <w:r w:rsidR="00666488" w:rsidRPr="00D153CA">
        <w:rPr>
          <w:sz w:val="20"/>
          <w:szCs w:val="20"/>
        </w:rPr>
        <w:t>will get alerted if backlog is over 100</w:t>
      </w:r>
    </w:p>
    <w:p w14:paraId="570B3EE8" w14:textId="70330B27" w:rsidR="00652307" w:rsidRPr="00D153CA" w:rsidRDefault="00652307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App</w:t>
      </w:r>
      <w:r w:rsidR="00666488" w:rsidRPr="00D153CA">
        <w:rPr>
          <w:sz w:val="20"/>
          <w:szCs w:val="20"/>
        </w:rPr>
        <w:t xml:space="preserve"> INT can skip that </w:t>
      </w:r>
      <w:r w:rsidR="004D3703">
        <w:rPr>
          <w:sz w:val="20"/>
          <w:szCs w:val="20"/>
        </w:rPr>
        <w:t xml:space="preserve">message </w:t>
      </w:r>
      <w:r w:rsidR="00666488" w:rsidRPr="00D153CA">
        <w:rPr>
          <w:sz w:val="20"/>
          <w:szCs w:val="20"/>
        </w:rPr>
        <w:t xml:space="preserve">and </w:t>
      </w:r>
      <w:r w:rsidR="004D3703">
        <w:rPr>
          <w:sz w:val="20"/>
          <w:szCs w:val="20"/>
        </w:rPr>
        <w:t>inform ancillary of the skipped message to</w:t>
      </w:r>
      <w:r w:rsidR="00666488" w:rsidRPr="00D153CA">
        <w:rPr>
          <w:sz w:val="20"/>
          <w:szCs w:val="20"/>
        </w:rPr>
        <w:t xml:space="preserve"> re-send</w:t>
      </w:r>
    </w:p>
    <w:p w14:paraId="65791EE0" w14:textId="28C02D2A" w:rsidR="00652307" w:rsidRPr="00D153CA" w:rsidRDefault="00652307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EAI-GMS sees a backlog in </w:t>
      </w:r>
      <w:proofErr w:type="spellStart"/>
      <w:r w:rsidRPr="00D153CA">
        <w:rPr>
          <w:sz w:val="20"/>
          <w:szCs w:val="20"/>
        </w:rPr>
        <w:t>openlink</w:t>
      </w:r>
      <w:proofErr w:type="spellEnd"/>
      <w:r w:rsidRPr="00D153CA">
        <w:rPr>
          <w:sz w:val="20"/>
          <w:szCs w:val="20"/>
        </w:rPr>
        <w:t xml:space="preserve"> to Soarian the</w:t>
      </w:r>
      <w:r w:rsidR="004D3703">
        <w:rPr>
          <w:sz w:val="20"/>
          <w:szCs w:val="20"/>
        </w:rPr>
        <w:t>y will open up a ticket for App INT</w:t>
      </w:r>
    </w:p>
    <w:p w14:paraId="72A253FC" w14:textId="77777777" w:rsidR="00652307" w:rsidRPr="00D153CA" w:rsidRDefault="00652307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Interfaced stopped</w:t>
      </w:r>
    </w:p>
    <w:p w14:paraId="587CD7DE" w14:textId="16268A02" w:rsidR="00666488" w:rsidRPr="00D153CA" w:rsidRDefault="00652307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If</w:t>
      </w:r>
      <w:r w:rsidR="00666488" w:rsidRPr="00D153CA">
        <w:rPr>
          <w:sz w:val="20"/>
          <w:szCs w:val="20"/>
        </w:rPr>
        <w:t xml:space="preserve"> interface is stopped</w:t>
      </w:r>
      <w:r w:rsidR="004D3703">
        <w:rPr>
          <w:sz w:val="20"/>
          <w:szCs w:val="20"/>
        </w:rPr>
        <w:t xml:space="preserve">, App INT </w:t>
      </w:r>
      <w:r w:rsidRPr="00D153CA">
        <w:rPr>
          <w:sz w:val="20"/>
          <w:szCs w:val="20"/>
        </w:rPr>
        <w:t>wo</w:t>
      </w:r>
      <w:r w:rsidR="00666488" w:rsidRPr="00D153CA">
        <w:rPr>
          <w:sz w:val="20"/>
          <w:szCs w:val="20"/>
        </w:rPr>
        <w:t xml:space="preserve">uld contact </w:t>
      </w:r>
      <w:r w:rsidR="000E3711" w:rsidRPr="00D153CA">
        <w:rPr>
          <w:sz w:val="20"/>
          <w:szCs w:val="20"/>
        </w:rPr>
        <w:t>C</w:t>
      </w:r>
      <w:r w:rsidR="00666488" w:rsidRPr="00D153CA">
        <w:rPr>
          <w:sz w:val="20"/>
          <w:szCs w:val="20"/>
        </w:rPr>
        <w:t xml:space="preserve">erner </w:t>
      </w:r>
      <w:r w:rsidR="004D3703">
        <w:rPr>
          <w:sz w:val="20"/>
          <w:szCs w:val="20"/>
        </w:rPr>
        <w:t>to recycle the interface</w:t>
      </w:r>
    </w:p>
    <w:p w14:paraId="48723A16" w14:textId="77777777" w:rsidR="00F2718A" w:rsidRPr="008E4A81" w:rsidRDefault="00F2718A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>Communication will need to go out to impacted teams</w:t>
      </w:r>
    </w:p>
    <w:p w14:paraId="612B410C" w14:textId="77777777" w:rsidR="00B8218E" w:rsidRPr="00D153CA" w:rsidRDefault="00B8218E" w:rsidP="001B30E7">
      <w:pPr>
        <w:pStyle w:val="ListParagraph"/>
        <w:spacing w:after="160" w:line="259" w:lineRule="auto"/>
        <w:ind w:left="1440"/>
        <w:jc w:val="both"/>
        <w:rPr>
          <w:sz w:val="20"/>
          <w:szCs w:val="20"/>
        </w:rPr>
      </w:pPr>
    </w:p>
    <w:p w14:paraId="536B4825" w14:textId="51A331E5" w:rsidR="000E3711" w:rsidRPr="004D3703" w:rsidRDefault="008A1CEC" w:rsidP="001B30E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b/>
          <w:sz w:val="20"/>
          <w:szCs w:val="20"/>
        </w:rPr>
      </w:pPr>
      <w:r w:rsidRPr="00671A29">
        <w:rPr>
          <w:b/>
          <w:sz w:val="20"/>
          <w:szCs w:val="20"/>
        </w:rPr>
        <w:t>Project Access – App Integration</w:t>
      </w:r>
      <w:r w:rsidRPr="00671A29">
        <w:rPr>
          <w:b/>
          <w:sz w:val="20"/>
          <w:szCs w:val="20"/>
        </w:rPr>
        <w:t xml:space="preserve"> </w:t>
      </w:r>
      <w:r w:rsidR="000E3711" w:rsidRPr="00671A29">
        <w:rPr>
          <w:b/>
          <w:sz w:val="20"/>
          <w:szCs w:val="20"/>
        </w:rPr>
        <w:t>is receiving</w:t>
      </w:r>
      <w:r w:rsidR="000E3711" w:rsidRPr="004D3703">
        <w:rPr>
          <w:b/>
          <w:sz w:val="20"/>
          <w:szCs w:val="20"/>
        </w:rPr>
        <w:t xml:space="preserve"> alert notification for </w:t>
      </w:r>
      <w:proofErr w:type="spellStart"/>
      <w:r w:rsidR="000E3711" w:rsidRPr="004D3703">
        <w:rPr>
          <w:b/>
          <w:sz w:val="20"/>
          <w:szCs w:val="20"/>
        </w:rPr>
        <w:t>Openlink</w:t>
      </w:r>
      <w:proofErr w:type="spellEnd"/>
      <w:r w:rsidR="000E3711" w:rsidRPr="004D3703">
        <w:rPr>
          <w:b/>
          <w:sz w:val="20"/>
          <w:szCs w:val="20"/>
        </w:rPr>
        <w:t xml:space="preserve"> issues</w:t>
      </w:r>
    </w:p>
    <w:p w14:paraId="55BB84AA" w14:textId="77777777" w:rsidR="000E3711" w:rsidRPr="00D153CA" w:rsidRDefault="000E3711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Backlog</w:t>
      </w:r>
    </w:p>
    <w:p w14:paraId="15DD43B4" w14:textId="77777777" w:rsidR="00666488" w:rsidRPr="00D153CA" w:rsidRDefault="000E3711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If Backlog issue in </w:t>
      </w:r>
      <w:proofErr w:type="spellStart"/>
      <w:r w:rsidRPr="00D153CA">
        <w:rPr>
          <w:sz w:val="20"/>
          <w:szCs w:val="20"/>
        </w:rPr>
        <w:t>O</w:t>
      </w:r>
      <w:r w:rsidR="00F303D9" w:rsidRPr="00D153CA">
        <w:rPr>
          <w:sz w:val="20"/>
          <w:szCs w:val="20"/>
        </w:rPr>
        <w:t>penlink</w:t>
      </w:r>
      <w:proofErr w:type="spellEnd"/>
      <w:r w:rsidR="00B8218E" w:rsidRPr="00D153CA">
        <w:rPr>
          <w:sz w:val="20"/>
          <w:szCs w:val="20"/>
        </w:rPr>
        <w:t xml:space="preserve"> App</w:t>
      </w:r>
      <w:r w:rsidRPr="00D153CA">
        <w:rPr>
          <w:sz w:val="20"/>
          <w:szCs w:val="20"/>
        </w:rPr>
        <w:t>, then App INT gets notified</w:t>
      </w:r>
    </w:p>
    <w:p w14:paraId="647B10FA" w14:textId="77777777" w:rsidR="000E3711" w:rsidRPr="00D153CA" w:rsidRDefault="000E3711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Connection issue between </w:t>
      </w:r>
      <w:proofErr w:type="spellStart"/>
      <w:r w:rsidRPr="00D153CA">
        <w:rPr>
          <w:sz w:val="20"/>
          <w:szCs w:val="20"/>
        </w:rPr>
        <w:t>Openlink</w:t>
      </w:r>
      <w:proofErr w:type="spellEnd"/>
      <w:r w:rsidRPr="00D153CA">
        <w:rPr>
          <w:sz w:val="20"/>
          <w:szCs w:val="20"/>
        </w:rPr>
        <w:sym w:font="Wingdings" w:char="F0E0"/>
      </w:r>
      <w:r w:rsidRPr="00D153CA">
        <w:rPr>
          <w:sz w:val="20"/>
          <w:szCs w:val="20"/>
        </w:rPr>
        <w:t xml:space="preserve">STREAM </w:t>
      </w:r>
    </w:p>
    <w:p w14:paraId="604736B0" w14:textId="77777777" w:rsidR="00666488" w:rsidRPr="00D153CA" w:rsidRDefault="000E3711" w:rsidP="001B30E7">
      <w:pPr>
        <w:pStyle w:val="ListParagraph"/>
        <w:numPr>
          <w:ilvl w:val="3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App INT gets notified and works</w:t>
      </w:r>
      <w:r w:rsidR="00666488" w:rsidRPr="00D153CA">
        <w:rPr>
          <w:sz w:val="20"/>
          <w:szCs w:val="20"/>
        </w:rPr>
        <w:t xml:space="preserve"> with Cerner and </w:t>
      </w:r>
      <w:proofErr w:type="spellStart"/>
      <w:r w:rsidR="00666488" w:rsidRPr="00D153CA">
        <w:rPr>
          <w:sz w:val="20"/>
          <w:szCs w:val="20"/>
        </w:rPr>
        <w:t>Openlink</w:t>
      </w:r>
      <w:proofErr w:type="spellEnd"/>
      <w:r w:rsidR="00666488" w:rsidRPr="00D153CA">
        <w:rPr>
          <w:sz w:val="20"/>
          <w:szCs w:val="20"/>
        </w:rPr>
        <w:t xml:space="preserve"> team to resolve</w:t>
      </w:r>
    </w:p>
    <w:p w14:paraId="2709DF0C" w14:textId="77777777" w:rsidR="00666488" w:rsidRPr="008E4A81" w:rsidRDefault="00666488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8E4A81">
        <w:rPr>
          <w:sz w:val="20"/>
          <w:szCs w:val="20"/>
        </w:rPr>
        <w:t>Communication will n</w:t>
      </w:r>
      <w:r w:rsidR="000E3711" w:rsidRPr="008E4A81">
        <w:rPr>
          <w:sz w:val="20"/>
          <w:szCs w:val="20"/>
        </w:rPr>
        <w:t>eed to go out to impacted teams</w:t>
      </w:r>
    </w:p>
    <w:p w14:paraId="40BE926C" w14:textId="77777777" w:rsidR="00834BA8" w:rsidRDefault="000E3711" w:rsidP="001B30E7">
      <w:pPr>
        <w:pStyle w:val="ListParagraph"/>
        <w:numPr>
          <w:ilvl w:val="2"/>
          <w:numId w:val="4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Currently these do go out as part of </w:t>
      </w:r>
      <w:r w:rsidR="00666488" w:rsidRPr="00D153CA">
        <w:rPr>
          <w:sz w:val="20"/>
          <w:szCs w:val="20"/>
        </w:rPr>
        <w:t>High Impact out</w:t>
      </w:r>
      <w:r w:rsidRPr="00D153CA">
        <w:rPr>
          <w:sz w:val="20"/>
          <w:szCs w:val="20"/>
        </w:rPr>
        <w:t>age notices</w:t>
      </w:r>
    </w:p>
    <w:p w14:paraId="7C0F700C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7DE1893F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505B247B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5393606B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57E6CBA0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5F893EF9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2F41C4E7" w14:textId="77777777" w:rsid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4C1EA266" w14:textId="77777777" w:rsidR="004D3703" w:rsidRPr="004D3703" w:rsidRDefault="004D3703" w:rsidP="004D3703">
      <w:pPr>
        <w:spacing w:after="160" w:line="259" w:lineRule="auto"/>
        <w:jc w:val="both"/>
        <w:rPr>
          <w:sz w:val="20"/>
          <w:szCs w:val="20"/>
        </w:rPr>
      </w:pPr>
    </w:p>
    <w:p w14:paraId="6A040283" w14:textId="77777777" w:rsidR="00A50181" w:rsidRPr="00D153CA" w:rsidRDefault="00D153CA" w:rsidP="007C32D8">
      <w:pPr>
        <w:shd w:val="clear" w:color="auto" w:fill="DBE5F1" w:themeFill="accent1" w:themeFillTint="33"/>
        <w:rPr>
          <w:b/>
        </w:rPr>
      </w:pPr>
      <w:r w:rsidRPr="00D153CA">
        <w:rPr>
          <w:b/>
        </w:rPr>
        <w:lastRenderedPageBreak/>
        <w:t>Tracking the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27257" w:rsidRPr="00D153CA" w14:paraId="5AF03629" w14:textId="77777777" w:rsidTr="00A27257">
        <w:trPr>
          <w:trHeight w:val="521"/>
        </w:trPr>
        <w:tc>
          <w:tcPr>
            <w:tcW w:w="10070" w:type="dxa"/>
            <w:shd w:val="clear" w:color="auto" w:fill="EEECE1" w:themeFill="background2"/>
          </w:tcPr>
          <w:p w14:paraId="36E14E28" w14:textId="567F746B" w:rsidR="00A27257" w:rsidRPr="00D153CA" w:rsidRDefault="00A27257" w:rsidP="00A27257">
            <w:pPr>
              <w:rPr>
                <w:b/>
                <w:i/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>RIO team identifies issue through Daily Charge</w:t>
            </w:r>
            <w:r w:rsidR="008E4A81">
              <w:rPr>
                <w:b/>
                <w:i/>
                <w:sz w:val="20"/>
                <w:szCs w:val="20"/>
              </w:rPr>
              <w:t xml:space="preserve"> Posting</w:t>
            </w:r>
            <w:r w:rsidRPr="00D153CA">
              <w:rPr>
                <w:b/>
                <w:i/>
                <w:sz w:val="20"/>
                <w:szCs w:val="20"/>
              </w:rPr>
              <w:t xml:space="preserve"> Summary Report</w:t>
            </w:r>
          </w:p>
          <w:p w14:paraId="7C8023F4" w14:textId="77777777" w:rsidR="00A27257" w:rsidRPr="00D153CA" w:rsidRDefault="00A27257" w:rsidP="00A27257">
            <w:pPr>
              <w:rPr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>Site/</w:t>
            </w:r>
            <w:proofErr w:type="spellStart"/>
            <w:r w:rsidRPr="00D153CA">
              <w:rPr>
                <w:b/>
                <w:i/>
                <w:sz w:val="20"/>
                <w:szCs w:val="20"/>
              </w:rPr>
              <w:t>Dept</w:t>
            </w:r>
            <w:proofErr w:type="spellEnd"/>
            <w:r w:rsidRPr="00D153CA">
              <w:rPr>
                <w:b/>
                <w:i/>
                <w:sz w:val="20"/>
                <w:szCs w:val="20"/>
              </w:rPr>
              <w:t xml:space="preserve"> resources identifies issue through Daily Charge Reconciliation review</w:t>
            </w:r>
          </w:p>
        </w:tc>
      </w:tr>
    </w:tbl>
    <w:p w14:paraId="4C5A99BC" w14:textId="77777777" w:rsidR="00A27257" w:rsidRPr="00D153CA" w:rsidRDefault="00A27257" w:rsidP="00A27257">
      <w:pPr>
        <w:spacing w:after="0" w:line="240" w:lineRule="auto"/>
        <w:rPr>
          <w:sz w:val="20"/>
          <w:szCs w:val="20"/>
        </w:rPr>
      </w:pPr>
    </w:p>
    <w:p w14:paraId="4AC8AF24" w14:textId="551FFBA3" w:rsidR="00A50181" w:rsidRPr="00D153CA" w:rsidRDefault="00A27257" w:rsidP="001B30E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RIO team to o</w:t>
      </w:r>
      <w:r w:rsidR="008E4A81">
        <w:rPr>
          <w:sz w:val="20"/>
          <w:szCs w:val="20"/>
        </w:rPr>
        <w:t xml:space="preserve">pen CA </w:t>
      </w:r>
      <w:r w:rsidR="009A3233">
        <w:rPr>
          <w:sz w:val="20"/>
          <w:szCs w:val="20"/>
        </w:rPr>
        <w:t>s</w:t>
      </w:r>
      <w:r w:rsidR="008E4A81">
        <w:rPr>
          <w:sz w:val="20"/>
          <w:szCs w:val="20"/>
        </w:rPr>
        <w:t xml:space="preserve">ervice desk </w:t>
      </w:r>
      <w:r w:rsidR="008E4A81" w:rsidRPr="009A3233">
        <w:rPr>
          <w:sz w:val="20"/>
          <w:szCs w:val="20"/>
          <w:u w:val="single"/>
        </w:rPr>
        <w:t>P3 Incident ticket</w:t>
      </w:r>
      <w:r w:rsidR="008E4A81">
        <w:rPr>
          <w:sz w:val="20"/>
          <w:szCs w:val="20"/>
        </w:rPr>
        <w:t xml:space="preserve"> </w:t>
      </w:r>
      <w:r w:rsidR="00A50181" w:rsidRPr="00D153CA">
        <w:rPr>
          <w:sz w:val="20"/>
          <w:szCs w:val="20"/>
        </w:rPr>
        <w:t xml:space="preserve">with </w:t>
      </w:r>
      <w:r w:rsidR="008A1CEC" w:rsidRPr="00BE2DC7">
        <w:rPr>
          <w:i/>
          <w:sz w:val="20"/>
          <w:szCs w:val="20"/>
        </w:rPr>
        <w:t>Project Access – App Integration</w:t>
      </w:r>
    </w:p>
    <w:p w14:paraId="0FF3DCDC" w14:textId="1C4F6227" w:rsidR="007C32D8" w:rsidRPr="00D153CA" w:rsidRDefault="00BF78AA" w:rsidP="001B30E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BE2DC7">
        <w:rPr>
          <w:i/>
          <w:sz w:val="20"/>
          <w:szCs w:val="20"/>
        </w:rPr>
        <w:t>Project Access – App Integration</w:t>
      </w:r>
      <w:r w:rsidRPr="00D153CA">
        <w:rPr>
          <w:sz w:val="20"/>
          <w:szCs w:val="20"/>
        </w:rPr>
        <w:t xml:space="preserve"> </w:t>
      </w:r>
      <w:r w:rsidR="00B8218E" w:rsidRPr="00D153CA">
        <w:rPr>
          <w:sz w:val="20"/>
          <w:szCs w:val="20"/>
        </w:rPr>
        <w:t>team will validate stream</w:t>
      </w:r>
    </w:p>
    <w:p w14:paraId="196CA32A" w14:textId="77777777" w:rsidR="007C32D8" w:rsidRPr="00D153CA" w:rsidRDefault="007C32D8" w:rsidP="001B30E7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No batches, check stream to validate no batches came through</w:t>
      </w:r>
    </w:p>
    <w:p w14:paraId="77BC416B" w14:textId="290DBC32" w:rsidR="007C32D8" w:rsidRPr="00D153CA" w:rsidRDefault="007C32D8" w:rsidP="001B30E7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Partial</w:t>
      </w:r>
      <w:r w:rsidR="00791109" w:rsidRPr="00D153CA">
        <w:rPr>
          <w:sz w:val="20"/>
          <w:szCs w:val="20"/>
        </w:rPr>
        <w:t xml:space="preserve"> batches or batch discrepancies</w:t>
      </w:r>
      <w:r w:rsidRPr="00D153CA">
        <w:rPr>
          <w:sz w:val="20"/>
          <w:szCs w:val="20"/>
        </w:rPr>
        <w:t>?</w:t>
      </w:r>
      <w:r w:rsidR="00B8218E" w:rsidRPr="00D153CA">
        <w:rPr>
          <w:sz w:val="20"/>
          <w:szCs w:val="20"/>
        </w:rPr>
        <w:t xml:space="preserve"> Can review further o</w:t>
      </w:r>
      <w:r w:rsidR="00791109" w:rsidRPr="00D153CA">
        <w:rPr>
          <w:sz w:val="20"/>
          <w:szCs w:val="20"/>
        </w:rPr>
        <w:t>nly</w:t>
      </w:r>
      <w:r w:rsidR="00B8218E" w:rsidRPr="00D153CA">
        <w:rPr>
          <w:sz w:val="20"/>
          <w:szCs w:val="20"/>
        </w:rPr>
        <w:t xml:space="preserve"> if requester provides</w:t>
      </w:r>
      <w:r w:rsidR="007F43B3">
        <w:rPr>
          <w:sz w:val="20"/>
          <w:szCs w:val="20"/>
        </w:rPr>
        <w:t xml:space="preserve"> examples</w:t>
      </w:r>
    </w:p>
    <w:p w14:paraId="0C26AACC" w14:textId="26D10AF3" w:rsidR="00B8218E" w:rsidRPr="00D153CA" w:rsidRDefault="008A1CEC" w:rsidP="001B30E7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BE2DC7">
        <w:rPr>
          <w:i/>
          <w:sz w:val="20"/>
          <w:szCs w:val="20"/>
        </w:rPr>
        <w:t>Project Access – App Integration</w:t>
      </w:r>
      <w:r w:rsidRPr="00D153CA">
        <w:rPr>
          <w:sz w:val="20"/>
          <w:szCs w:val="20"/>
        </w:rPr>
        <w:t xml:space="preserve"> </w:t>
      </w:r>
      <w:r w:rsidR="00B8218E" w:rsidRPr="00D153CA">
        <w:rPr>
          <w:sz w:val="20"/>
          <w:szCs w:val="20"/>
        </w:rPr>
        <w:t>will c</w:t>
      </w:r>
      <w:r w:rsidR="00791109" w:rsidRPr="00D153CA">
        <w:rPr>
          <w:sz w:val="20"/>
          <w:szCs w:val="20"/>
        </w:rPr>
        <w:t xml:space="preserve">ontact </w:t>
      </w:r>
      <w:r w:rsidR="00B8218E" w:rsidRPr="00D153CA">
        <w:rPr>
          <w:sz w:val="20"/>
          <w:szCs w:val="20"/>
        </w:rPr>
        <w:t xml:space="preserve">the app </w:t>
      </w:r>
      <w:r w:rsidR="00791109" w:rsidRPr="00D153CA">
        <w:rPr>
          <w:sz w:val="20"/>
          <w:szCs w:val="20"/>
        </w:rPr>
        <w:t>owner</w:t>
      </w:r>
      <w:r w:rsidR="00B8218E" w:rsidRPr="00D153CA">
        <w:rPr>
          <w:sz w:val="20"/>
          <w:szCs w:val="20"/>
        </w:rPr>
        <w:t>(</w:t>
      </w:r>
      <w:r w:rsidR="007F43B3">
        <w:rPr>
          <w:sz w:val="20"/>
          <w:szCs w:val="20"/>
        </w:rPr>
        <w:t>s</w:t>
      </w:r>
      <w:r w:rsidR="00B8218E" w:rsidRPr="00D153CA">
        <w:rPr>
          <w:sz w:val="20"/>
          <w:szCs w:val="20"/>
        </w:rPr>
        <w:t>)</w:t>
      </w:r>
      <w:r w:rsidR="00791109" w:rsidRPr="00D153CA">
        <w:rPr>
          <w:sz w:val="20"/>
          <w:szCs w:val="20"/>
        </w:rPr>
        <w:t xml:space="preserve"> regarding issue </w:t>
      </w:r>
      <w:r>
        <w:rPr>
          <w:sz w:val="20"/>
          <w:szCs w:val="20"/>
        </w:rPr>
        <w:t>for investigation</w:t>
      </w:r>
    </w:p>
    <w:p w14:paraId="42731094" w14:textId="77777777" w:rsidR="00B8218E" w:rsidRPr="00D153CA" w:rsidRDefault="00791109" w:rsidP="001B30E7">
      <w:pPr>
        <w:pStyle w:val="ListParagraph"/>
        <w:numPr>
          <w:ilvl w:val="2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 xml:space="preserve">If </w:t>
      </w:r>
      <w:r w:rsidR="00B8218E" w:rsidRPr="00D153CA">
        <w:rPr>
          <w:sz w:val="20"/>
          <w:szCs w:val="20"/>
        </w:rPr>
        <w:t>ancillary</w:t>
      </w:r>
      <w:r w:rsidRPr="00D153CA">
        <w:rPr>
          <w:sz w:val="20"/>
          <w:szCs w:val="20"/>
        </w:rPr>
        <w:t xml:space="preserve"> validate</w:t>
      </w:r>
      <w:r w:rsidR="00B8218E" w:rsidRPr="00D153CA">
        <w:rPr>
          <w:sz w:val="20"/>
          <w:szCs w:val="20"/>
        </w:rPr>
        <w:t>s</w:t>
      </w:r>
      <w:r w:rsidRPr="00D153CA">
        <w:rPr>
          <w:sz w:val="20"/>
          <w:szCs w:val="20"/>
        </w:rPr>
        <w:t xml:space="preserve"> </w:t>
      </w:r>
      <w:r w:rsidR="00B8218E" w:rsidRPr="00D153CA">
        <w:rPr>
          <w:sz w:val="20"/>
          <w:szCs w:val="20"/>
        </w:rPr>
        <w:t>charges sent</w:t>
      </w:r>
      <w:r w:rsidRPr="00D153CA">
        <w:rPr>
          <w:sz w:val="20"/>
          <w:szCs w:val="20"/>
        </w:rPr>
        <w:t xml:space="preserve"> then </w:t>
      </w:r>
      <w:r w:rsidR="00B8218E" w:rsidRPr="00D153CA">
        <w:rPr>
          <w:sz w:val="20"/>
          <w:szCs w:val="20"/>
        </w:rPr>
        <w:t>ticket will be opened for</w:t>
      </w:r>
      <w:r w:rsidR="00F2718A" w:rsidRPr="00D153CA">
        <w:rPr>
          <w:sz w:val="20"/>
          <w:szCs w:val="20"/>
        </w:rPr>
        <w:t xml:space="preserve"> IS Ensemble</w:t>
      </w:r>
    </w:p>
    <w:p w14:paraId="534FC7A5" w14:textId="77777777" w:rsidR="00791109" w:rsidRPr="00D153CA" w:rsidRDefault="00B8218E" w:rsidP="001B30E7">
      <w:pPr>
        <w:pStyle w:val="ListParagraph"/>
        <w:numPr>
          <w:ilvl w:val="2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D153CA">
        <w:rPr>
          <w:sz w:val="20"/>
          <w:szCs w:val="20"/>
        </w:rPr>
        <w:t>If ancillary did not send ba</w:t>
      </w:r>
      <w:r w:rsidR="004A23E1" w:rsidRPr="00D153CA">
        <w:rPr>
          <w:sz w:val="20"/>
          <w:szCs w:val="20"/>
        </w:rPr>
        <w:t>t</w:t>
      </w:r>
      <w:r w:rsidRPr="00D153CA">
        <w:rPr>
          <w:sz w:val="20"/>
          <w:szCs w:val="20"/>
        </w:rPr>
        <w:t>ch</w:t>
      </w:r>
      <w:r w:rsidR="00F2718A" w:rsidRPr="00D153CA">
        <w:rPr>
          <w:sz w:val="20"/>
          <w:szCs w:val="20"/>
        </w:rPr>
        <w:t>, then it is an ancillary issue</w:t>
      </w:r>
    </w:p>
    <w:p w14:paraId="5E60BBD7" w14:textId="01ECB91F" w:rsidR="00462B80" w:rsidRDefault="00462B80" w:rsidP="00462B80">
      <w:pPr>
        <w:pStyle w:val="ListParagraph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Awareness: </w:t>
      </w:r>
      <w:r w:rsidR="00471388">
        <w:rPr>
          <w:sz w:val="20"/>
          <w:szCs w:val="20"/>
        </w:rPr>
        <w:t xml:space="preserve">RIO, </w:t>
      </w:r>
      <w:r>
        <w:rPr>
          <w:sz w:val="20"/>
          <w:szCs w:val="20"/>
        </w:rPr>
        <w:t>Patient Accounting &amp; other project teams</w:t>
      </w:r>
    </w:p>
    <w:p w14:paraId="32C4A3FB" w14:textId="77777777" w:rsidR="00C214BE" w:rsidRPr="00C214BE" w:rsidRDefault="00C214BE" w:rsidP="00C214BE">
      <w:pPr>
        <w:pStyle w:val="ListParagraph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462B80">
        <w:rPr>
          <w:sz w:val="20"/>
          <w:szCs w:val="20"/>
        </w:rPr>
        <w:t xml:space="preserve">Communication: App INT to coordinate </w:t>
      </w:r>
      <w:r>
        <w:rPr>
          <w:sz w:val="20"/>
          <w:szCs w:val="20"/>
        </w:rPr>
        <w:t xml:space="preserve">meeting </w:t>
      </w:r>
      <w:r w:rsidRPr="00462B80">
        <w:rPr>
          <w:sz w:val="20"/>
          <w:szCs w:val="20"/>
        </w:rPr>
        <w:t>with all affected teams (Ancillary/RIO/</w:t>
      </w:r>
      <w:r>
        <w:rPr>
          <w:sz w:val="20"/>
          <w:szCs w:val="20"/>
        </w:rPr>
        <w:t xml:space="preserve">EAI). </w:t>
      </w:r>
      <w:r w:rsidRPr="00462B80">
        <w:rPr>
          <w:sz w:val="20"/>
          <w:szCs w:val="20"/>
        </w:rPr>
        <w:t>Will provide oversight to ensure a resolution is met and communicate issue and resolution to site and various stakeholders.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E47B7" w:rsidRPr="00D153CA" w14:paraId="3D84B8F5" w14:textId="77777777" w:rsidTr="004E47B7">
        <w:trPr>
          <w:trHeight w:val="251"/>
        </w:trPr>
        <w:tc>
          <w:tcPr>
            <w:tcW w:w="10070" w:type="dxa"/>
            <w:shd w:val="clear" w:color="auto" w:fill="EEECE1" w:themeFill="background2"/>
          </w:tcPr>
          <w:p w14:paraId="055F8BD9" w14:textId="1FFC3806" w:rsidR="004E47B7" w:rsidRPr="00395689" w:rsidRDefault="004E47B7" w:rsidP="00520957">
            <w:pPr>
              <w:rPr>
                <w:color w:val="FF0000"/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>If i</w:t>
            </w:r>
            <w:r w:rsidR="00B9239B">
              <w:rPr>
                <w:b/>
                <w:i/>
                <w:sz w:val="20"/>
                <w:szCs w:val="20"/>
              </w:rPr>
              <w:t xml:space="preserve">ssue identified via EAI team </w:t>
            </w:r>
            <w:r w:rsidRPr="00D153CA">
              <w:rPr>
                <w:b/>
                <w:i/>
                <w:sz w:val="20"/>
                <w:szCs w:val="20"/>
              </w:rPr>
              <w:t>DFT Activity alert (</w:t>
            </w:r>
            <w:r w:rsidR="00520957">
              <w:rPr>
                <w:b/>
                <w:i/>
                <w:sz w:val="20"/>
                <w:szCs w:val="20"/>
              </w:rPr>
              <w:t xml:space="preserve">Ancillary </w:t>
            </w:r>
            <w:r w:rsidR="00520957" w:rsidRPr="00520957">
              <w:rPr>
                <w:b/>
                <w:i/>
                <w:sz w:val="20"/>
                <w:szCs w:val="20"/>
              </w:rPr>
              <w:sym w:font="Wingdings" w:char="F0E0"/>
            </w:r>
            <w:r w:rsidR="00520957">
              <w:rPr>
                <w:b/>
                <w:i/>
                <w:sz w:val="20"/>
                <w:szCs w:val="20"/>
              </w:rPr>
              <w:t xml:space="preserve"> Ensemble</w:t>
            </w:r>
            <w:r w:rsidRPr="00D153CA">
              <w:rPr>
                <w:b/>
                <w:i/>
                <w:sz w:val="20"/>
                <w:szCs w:val="20"/>
              </w:rPr>
              <w:t>)</w:t>
            </w:r>
            <w:r w:rsidR="00395689">
              <w:rPr>
                <w:b/>
                <w:i/>
                <w:sz w:val="20"/>
                <w:szCs w:val="20"/>
              </w:rPr>
              <w:t xml:space="preserve">   </w:t>
            </w:r>
            <w:r w:rsidR="001211CF">
              <w:rPr>
                <w:color w:val="FF0000"/>
              </w:rPr>
              <w:t xml:space="preserve"> </w:t>
            </w:r>
          </w:p>
        </w:tc>
      </w:tr>
    </w:tbl>
    <w:p w14:paraId="27B86087" w14:textId="77777777" w:rsidR="00B5029B" w:rsidRPr="00D153CA" w:rsidRDefault="00B5029B" w:rsidP="004E47B7">
      <w:pPr>
        <w:spacing w:after="0" w:line="240" w:lineRule="auto"/>
        <w:rPr>
          <w:color w:val="FF0000"/>
          <w:sz w:val="20"/>
          <w:szCs w:val="20"/>
        </w:rPr>
      </w:pPr>
    </w:p>
    <w:p w14:paraId="675BE67E" w14:textId="77777777" w:rsidR="00B5029B" w:rsidRPr="00D153CA" w:rsidRDefault="007C573F" w:rsidP="00B5029B">
      <w:pPr>
        <w:pStyle w:val="ListParagraph"/>
        <w:numPr>
          <w:ilvl w:val="0"/>
          <w:numId w:val="1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Ticket</w:t>
      </w:r>
      <w:r w:rsidR="00B5029B" w:rsidRPr="00D153CA">
        <w:rPr>
          <w:sz w:val="20"/>
          <w:szCs w:val="20"/>
        </w:rPr>
        <w:t xml:space="preserve">: </w:t>
      </w:r>
      <w:r w:rsidRPr="00D153CA">
        <w:rPr>
          <w:sz w:val="20"/>
          <w:szCs w:val="20"/>
        </w:rPr>
        <w:t>EAI team o</w:t>
      </w:r>
      <w:r w:rsidR="00B5029B" w:rsidRPr="00D153CA">
        <w:rPr>
          <w:sz w:val="20"/>
          <w:szCs w:val="20"/>
        </w:rPr>
        <w:t>pens incident ticket and assigns to the ancillary</w:t>
      </w:r>
    </w:p>
    <w:p w14:paraId="4BA66C9B" w14:textId="77777777" w:rsidR="00B5029B" w:rsidRPr="00D153CA" w:rsidRDefault="00B5029B" w:rsidP="00B5029B">
      <w:pPr>
        <w:pStyle w:val="ListParagraph"/>
        <w:numPr>
          <w:ilvl w:val="0"/>
          <w:numId w:val="1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Ownership: Ancillary Teams</w:t>
      </w:r>
    </w:p>
    <w:p w14:paraId="4AA14150" w14:textId="28B0EDD6" w:rsidR="00CA3EAE" w:rsidRPr="00D153CA" w:rsidRDefault="00B5029B" w:rsidP="00B5029B">
      <w:pPr>
        <w:pStyle w:val="ListParagraph"/>
        <w:numPr>
          <w:ilvl w:val="0"/>
          <w:numId w:val="1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Action plan: To review email on a daily basis and if any errors, Ancillaries will need to</w:t>
      </w:r>
      <w:bookmarkStart w:id="0" w:name="_GoBack"/>
      <w:bookmarkEnd w:id="0"/>
      <w:r w:rsidRPr="00D153CA">
        <w:rPr>
          <w:sz w:val="20"/>
          <w:szCs w:val="20"/>
        </w:rPr>
        <w:t xml:space="preserve"> investigate from their end since these messa</w:t>
      </w:r>
      <w:r w:rsidR="00BA2F6C">
        <w:rPr>
          <w:sz w:val="20"/>
          <w:szCs w:val="20"/>
        </w:rPr>
        <w:t>ges didn’t reach ensemble</w:t>
      </w:r>
    </w:p>
    <w:p w14:paraId="468CA25C" w14:textId="03BA6DD8" w:rsidR="00B5029B" w:rsidRDefault="00CA3EAE" w:rsidP="00F12E38">
      <w:pPr>
        <w:pStyle w:val="ListParagraph"/>
        <w:numPr>
          <w:ilvl w:val="0"/>
          <w:numId w:val="1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Communication: Ancillary teams to communicate to all relevant parties the issue and resolution via </w:t>
      </w:r>
      <w:r w:rsidR="00BA2F6C">
        <w:rPr>
          <w:sz w:val="20"/>
          <w:szCs w:val="20"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20957" w:rsidRPr="00D153CA" w14:paraId="3CA2F915" w14:textId="77777777" w:rsidTr="007A6625">
        <w:trPr>
          <w:trHeight w:val="251"/>
        </w:trPr>
        <w:tc>
          <w:tcPr>
            <w:tcW w:w="10070" w:type="dxa"/>
            <w:shd w:val="clear" w:color="auto" w:fill="EEECE1" w:themeFill="background2"/>
          </w:tcPr>
          <w:p w14:paraId="558A7B24" w14:textId="799678A5" w:rsidR="00520957" w:rsidRPr="00395689" w:rsidRDefault="00520957" w:rsidP="00B9239B">
            <w:pPr>
              <w:rPr>
                <w:color w:val="FF0000"/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>If i</w:t>
            </w:r>
            <w:r w:rsidR="00B9239B">
              <w:rPr>
                <w:b/>
                <w:i/>
                <w:sz w:val="20"/>
                <w:szCs w:val="20"/>
              </w:rPr>
              <w:t xml:space="preserve">ssue identified via EAI team </w:t>
            </w:r>
            <w:r w:rsidRPr="00D153CA">
              <w:rPr>
                <w:b/>
                <w:i/>
                <w:sz w:val="20"/>
                <w:szCs w:val="20"/>
              </w:rPr>
              <w:t>DFT Activity alert</w:t>
            </w:r>
            <w:r w:rsidR="00BA2F6C">
              <w:rPr>
                <w:b/>
                <w:i/>
                <w:sz w:val="20"/>
                <w:szCs w:val="20"/>
              </w:rPr>
              <w:t xml:space="preserve"> or Record Count Functionality</w:t>
            </w:r>
            <w:r w:rsidRPr="00D153CA">
              <w:rPr>
                <w:b/>
                <w:i/>
                <w:sz w:val="20"/>
                <w:szCs w:val="20"/>
              </w:rPr>
              <w:t xml:space="preserve"> (</w:t>
            </w:r>
            <w:r>
              <w:rPr>
                <w:b/>
                <w:i/>
                <w:sz w:val="20"/>
                <w:szCs w:val="20"/>
              </w:rPr>
              <w:t>Ensemble</w:t>
            </w:r>
            <w:r w:rsidRPr="00D153CA">
              <w:rPr>
                <w:sz w:val="20"/>
                <w:szCs w:val="20"/>
              </w:rPr>
              <w:sym w:font="Wingdings" w:char="F0E0"/>
            </w:r>
            <w:proofErr w:type="spellStart"/>
            <w:r w:rsidRPr="001211CF">
              <w:rPr>
                <w:b/>
                <w:i/>
                <w:sz w:val="20"/>
                <w:szCs w:val="20"/>
              </w:rPr>
              <w:t>O</w:t>
            </w:r>
            <w:r w:rsidR="00B9239B">
              <w:rPr>
                <w:b/>
                <w:i/>
                <w:sz w:val="20"/>
                <w:szCs w:val="20"/>
              </w:rPr>
              <w:t>penl</w:t>
            </w:r>
            <w:r w:rsidRPr="001211CF">
              <w:rPr>
                <w:b/>
                <w:i/>
                <w:sz w:val="20"/>
                <w:szCs w:val="20"/>
              </w:rPr>
              <w:t>ink</w:t>
            </w:r>
            <w:proofErr w:type="spellEnd"/>
            <w:r w:rsidRPr="00D153CA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>
              <w:rPr>
                <w:color w:val="FF0000"/>
              </w:rPr>
              <w:t xml:space="preserve"> </w:t>
            </w:r>
          </w:p>
        </w:tc>
      </w:tr>
    </w:tbl>
    <w:p w14:paraId="533A6EC6" w14:textId="77777777" w:rsidR="00520957" w:rsidRPr="00D153CA" w:rsidRDefault="00520957" w:rsidP="00520957">
      <w:pPr>
        <w:spacing w:after="0" w:line="240" w:lineRule="auto"/>
        <w:rPr>
          <w:color w:val="FF0000"/>
          <w:sz w:val="20"/>
          <w:szCs w:val="20"/>
        </w:rPr>
      </w:pPr>
    </w:p>
    <w:p w14:paraId="03B87B19" w14:textId="6E72477F" w:rsidR="00520957" w:rsidRDefault="00520957" w:rsidP="00520957">
      <w:pPr>
        <w:pStyle w:val="ListParagraph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Ticket: EAI team opens incident ticket and assigns to </w:t>
      </w:r>
      <w:r w:rsidR="00BF78AA" w:rsidRPr="00BE2DC7">
        <w:rPr>
          <w:i/>
          <w:sz w:val="20"/>
          <w:szCs w:val="20"/>
        </w:rPr>
        <w:t>Project Access – App Integration</w:t>
      </w:r>
    </w:p>
    <w:p w14:paraId="57572767" w14:textId="714A602B" w:rsidR="00520957" w:rsidRPr="006C51EA" w:rsidRDefault="00520957" w:rsidP="00B03435">
      <w:pPr>
        <w:pStyle w:val="ListParagraph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6C51EA">
        <w:rPr>
          <w:sz w:val="20"/>
          <w:szCs w:val="20"/>
        </w:rPr>
        <w:t>Ownership</w:t>
      </w:r>
      <w:r w:rsidR="003E61BE" w:rsidRPr="006C51EA">
        <w:rPr>
          <w:sz w:val="20"/>
          <w:szCs w:val="20"/>
        </w:rPr>
        <w:t>: EAI</w:t>
      </w:r>
    </w:p>
    <w:p w14:paraId="0F192041" w14:textId="2A29707F" w:rsidR="003E61BE" w:rsidRDefault="003E61BE" w:rsidP="00520957">
      <w:pPr>
        <w:pStyle w:val="ListParagraph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Decision makers: RIO and Ancillary teams</w:t>
      </w:r>
    </w:p>
    <w:p w14:paraId="4D381BE9" w14:textId="5DBABF53" w:rsidR="00520957" w:rsidRDefault="003E61BE" w:rsidP="003E61BE">
      <w:pPr>
        <w:pStyle w:val="ListParagraph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Awareness: Patient Accounting &amp; other project teams</w:t>
      </w:r>
    </w:p>
    <w:p w14:paraId="67DA6A5B" w14:textId="7A3C5B3E" w:rsidR="00C214BE" w:rsidRPr="00C214BE" w:rsidRDefault="00C214BE" w:rsidP="00C214BE">
      <w:pPr>
        <w:pStyle w:val="ListParagraph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462B80">
        <w:rPr>
          <w:sz w:val="20"/>
          <w:szCs w:val="20"/>
        </w:rPr>
        <w:t xml:space="preserve">Communication: App INT to coordinate </w:t>
      </w:r>
      <w:r>
        <w:rPr>
          <w:sz w:val="20"/>
          <w:szCs w:val="20"/>
        </w:rPr>
        <w:t xml:space="preserve">meeting </w:t>
      </w:r>
      <w:r w:rsidRPr="00462B80">
        <w:rPr>
          <w:sz w:val="20"/>
          <w:szCs w:val="20"/>
        </w:rPr>
        <w:t>with all affected teams (Ancillary/RIO/</w:t>
      </w:r>
      <w:r>
        <w:rPr>
          <w:sz w:val="20"/>
          <w:szCs w:val="20"/>
        </w:rPr>
        <w:t xml:space="preserve">EAI). </w:t>
      </w:r>
      <w:r w:rsidRPr="00462B80">
        <w:rPr>
          <w:sz w:val="20"/>
          <w:szCs w:val="20"/>
        </w:rPr>
        <w:t>Will provide oversight to ensure a resolution is met and communicate issue and resolution t</w:t>
      </w:r>
      <w:r w:rsidR="00BF78AA">
        <w:rPr>
          <w:sz w:val="20"/>
          <w:szCs w:val="20"/>
        </w:rPr>
        <w:t>o site and various stakeholders.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E47B7" w:rsidRPr="00D153CA" w14:paraId="7C9F74A8" w14:textId="77777777" w:rsidTr="00E4606B">
        <w:trPr>
          <w:trHeight w:val="251"/>
        </w:trPr>
        <w:tc>
          <w:tcPr>
            <w:tcW w:w="10070" w:type="dxa"/>
            <w:shd w:val="clear" w:color="auto" w:fill="EEECE1" w:themeFill="background2"/>
          </w:tcPr>
          <w:p w14:paraId="1C3D7432" w14:textId="77777777" w:rsidR="004E47B7" w:rsidRPr="00D153CA" w:rsidRDefault="004E47B7" w:rsidP="004E47B7">
            <w:pPr>
              <w:rPr>
                <w:color w:val="FF0000"/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>If issue identified via STREAM Alert notification</w:t>
            </w:r>
          </w:p>
        </w:tc>
      </w:tr>
    </w:tbl>
    <w:p w14:paraId="0C4B50B6" w14:textId="77777777" w:rsidR="007C573F" w:rsidRPr="00D153CA" w:rsidRDefault="007C573F" w:rsidP="007C573F">
      <w:pPr>
        <w:pStyle w:val="ListParagraph"/>
        <w:spacing w:after="160" w:line="259" w:lineRule="auto"/>
        <w:ind w:left="1080"/>
        <w:rPr>
          <w:sz w:val="20"/>
          <w:szCs w:val="20"/>
        </w:rPr>
      </w:pPr>
    </w:p>
    <w:p w14:paraId="40641D60" w14:textId="77777777" w:rsidR="007C573F" w:rsidRPr="00D153CA" w:rsidRDefault="007C573F" w:rsidP="007C573F">
      <w:pPr>
        <w:pStyle w:val="ListParagraph"/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Ticket: N/A</w:t>
      </w:r>
    </w:p>
    <w:p w14:paraId="5BC7BBBF" w14:textId="3988B1FF" w:rsidR="007C573F" w:rsidRPr="00D153CA" w:rsidRDefault="007C573F" w:rsidP="007C573F">
      <w:pPr>
        <w:pStyle w:val="ListParagraph"/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Ownership: </w:t>
      </w:r>
      <w:r w:rsidR="008A1CEC" w:rsidRPr="00BE2DC7">
        <w:rPr>
          <w:i/>
          <w:sz w:val="20"/>
          <w:szCs w:val="20"/>
        </w:rPr>
        <w:t>Project Access – App Integration</w:t>
      </w:r>
    </w:p>
    <w:p w14:paraId="187A805B" w14:textId="679A53FE" w:rsidR="00CA3EAE" w:rsidRPr="00D153CA" w:rsidRDefault="007C573F" w:rsidP="007C573F">
      <w:pPr>
        <w:pStyle w:val="ListParagraph"/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Action plan: </w:t>
      </w:r>
      <w:r w:rsidR="00F61678" w:rsidRPr="00D153CA">
        <w:rPr>
          <w:sz w:val="20"/>
          <w:szCs w:val="20"/>
        </w:rPr>
        <w:t>App INT review</w:t>
      </w:r>
      <w:r w:rsidR="00C214BE">
        <w:rPr>
          <w:sz w:val="20"/>
          <w:szCs w:val="20"/>
        </w:rPr>
        <w:t>s</w:t>
      </w:r>
      <w:r w:rsidR="00F61678" w:rsidRPr="00D153CA">
        <w:rPr>
          <w:sz w:val="20"/>
          <w:szCs w:val="20"/>
        </w:rPr>
        <w:t xml:space="preserve"> alert </w:t>
      </w:r>
      <w:r w:rsidR="00C214BE">
        <w:rPr>
          <w:sz w:val="20"/>
          <w:szCs w:val="20"/>
        </w:rPr>
        <w:t xml:space="preserve">for </w:t>
      </w:r>
      <w:r w:rsidR="00F61678" w:rsidRPr="00D153CA">
        <w:rPr>
          <w:sz w:val="20"/>
          <w:szCs w:val="20"/>
        </w:rPr>
        <w:t>backlog/connection issue and work</w:t>
      </w:r>
      <w:r w:rsidR="00C214BE">
        <w:rPr>
          <w:sz w:val="20"/>
          <w:szCs w:val="20"/>
        </w:rPr>
        <w:t>s</w:t>
      </w:r>
      <w:r w:rsidR="00F61678" w:rsidRPr="00D153CA">
        <w:rPr>
          <w:sz w:val="20"/>
          <w:szCs w:val="20"/>
        </w:rPr>
        <w:t xml:space="preserve"> with ancillary </w:t>
      </w:r>
      <w:r w:rsidR="00C214BE">
        <w:rPr>
          <w:sz w:val="20"/>
          <w:szCs w:val="20"/>
        </w:rPr>
        <w:t xml:space="preserve">or </w:t>
      </w:r>
      <w:r w:rsidR="00F61678" w:rsidRPr="00D153CA">
        <w:rPr>
          <w:sz w:val="20"/>
          <w:szCs w:val="20"/>
        </w:rPr>
        <w:t>Cerner to resolve</w:t>
      </w:r>
    </w:p>
    <w:p w14:paraId="2E9AE11A" w14:textId="40792ECD" w:rsidR="007C573F" w:rsidRPr="00D153CA" w:rsidRDefault="00CA3EAE" w:rsidP="007C573F">
      <w:pPr>
        <w:pStyle w:val="ListParagraph"/>
        <w:numPr>
          <w:ilvl w:val="0"/>
          <w:numId w:val="25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Communication: </w:t>
      </w:r>
      <w:r w:rsidR="00F61678" w:rsidRPr="00D153CA">
        <w:rPr>
          <w:sz w:val="20"/>
          <w:szCs w:val="20"/>
        </w:rPr>
        <w:t xml:space="preserve">App INT team to </w:t>
      </w:r>
      <w:r w:rsidRPr="00D153CA">
        <w:rPr>
          <w:sz w:val="20"/>
          <w:szCs w:val="20"/>
        </w:rPr>
        <w:t xml:space="preserve">communicate to </w:t>
      </w:r>
      <w:r w:rsidR="00F61678" w:rsidRPr="00D153CA">
        <w:rPr>
          <w:sz w:val="20"/>
          <w:szCs w:val="20"/>
        </w:rPr>
        <w:t xml:space="preserve">all relevant parties </w:t>
      </w:r>
      <w:r w:rsidRPr="00D153CA">
        <w:rPr>
          <w:sz w:val="20"/>
          <w:szCs w:val="20"/>
        </w:rPr>
        <w:t xml:space="preserve">the </w:t>
      </w:r>
      <w:r w:rsidR="00C214BE">
        <w:rPr>
          <w:sz w:val="20"/>
          <w:szCs w:val="20"/>
        </w:rPr>
        <w:t>issue and resolution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E47B7" w:rsidRPr="00D153CA" w14:paraId="37C97606" w14:textId="77777777" w:rsidTr="00E4606B">
        <w:trPr>
          <w:trHeight w:val="251"/>
        </w:trPr>
        <w:tc>
          <w:tcPr>
            <w:tcW w:w="10070" w:type="dxa"/>
            <w:shd w:val="clear" w:color="auto" w:fill="EEECE1" w:themeFill="background2"/>
          </w:tcPr>
          <w:p w14:paraId="06BA6536" w14:textId="77777777" w:rsidR="004E47B7" w:rsidRPr="00D153CA" w:rsidRDefault="004E47B7" w:rsidP="004E47B7">
            <w:pPr>
              <w:rPr>
                <w:color w:val="FF0000"/>
                <w:sz w:val="20"/>
                <w:szCs w:val="20"/>
              </w:rPr>
            </w:pPr>
            <w:r w:rsidRPr="00D153CA">
              <w:rPr>
                <w:b/>
                <w:i/>
                <w:sz w:val="20"/>
                <w:szCs w:val="20"/>
              </w:rPr>
              <w:t xml:space="preserve">If issue identified via </w:t>
            </w:r>
            <w:proofErr w:type="spellStart"/>
            <w:r w:rsidRPr="00D153CA">
              <w:rPr>
                <w:b/>
                <w:i/>
                <w:sz w:val="20"/>
                <w:szCs w:val="20"/>
              </w:rPr>
              <w:t>Openlink</w:t>
            </w:r>
            <w:proofErr w:type="spellEnd"/>
            <w:r w:rsidRPr="00D153CA">
              <w:rPr>
                <w:b/>
                <w:i/>
                <w:sz w:val="20"/>
                <w:szCs w:val="20"/>
              </w:rPr>
              <w:t xml:space="preserve"> Alert notification</w:t>
            </w:r>
          </w:p>
        </w:tc>
      </w:tr>
    </w:tbl>
    <w:p w14:paraId="46C1A0DE" w14:textId="77777777" w:rsidR="007C573F" w:rsidRPr="00D153CA" w:rsidRDefault="007C573F" w:rsidP="007C573F">
      <w:pPr>
        <w:pStyle w:val="ListParagraph"/>
        <w:spacing w:after="160" w:line="259" w:lineRule="auto"/>
        <w:ind w:left="1080"/>
        <w:rPr>
          <w:sz w:val="20"/>
          <w:szCs w:val="20"/>
        </w:rPr>
      </w:pPr>
    </w:p>
    <w:p w14:paraId="0D453294" w14:textId="77777777" w:rsidR="007C573F" w:rsidRPr="00D153CA" w:rsidRDefault="007C573F" w:rsidP="007C573F">
      <w:pPr>
        <w:pStyle w:val="ListParagraph"/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>Ticket: N/A</w:t>
      </w:r>
    </w:p>
    <w:p w14:paraId="6BD11531" w14:textId="77777777" w:rsidR="00C214BE" w:rsidRDefault="007C573F" w:rsidP="00C214BE">
      <w:pPr>
        <w:pStyle w:val="ListParagraph"/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D153CA">
        <w:rPr>
          <w:sz w:val="20"/>
          <w:szCs w:val="20"/>
        </w:rPr>
        <w:t xml:space="preserve">Ownership: </w:t>
      </w:r>
      <w:proofErr w:type="spellStart"/>
      <w:r w:rsidRPr="00D153CA">
        <w:rPr>
          <w:sz w:val="20"/>
          <w:szCs w:val="20"/>
        </w:rPr>
        <w:t>Openlink</w:t>
      </w:r>
      <w:proofErr w:type="spellEnd"/>
    </w:p>
    <w:p w14:paraId="4A631D3D" w14:textId="77777777" w:rsidR="00C214BE" w:rsidRDefault="007C573F" w:rsidP="00C214BE">
      <w:pPr>
        <w:pStyle w:val="ListParagraph"/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C214BE">
        <w:rPr>
          <w:sz w:val="20"/>
          <w:szCs w:val="20"/>
        </w:rPr>
        <w:t xml:space="preserve">Action plan: </w:t>
      </w:r>
      <w:r w:rsidR="00C214BE" w:rsidRPr="00C214BE">
        <w:rPr>
          <w:sz w:val="20"/>
          <w:szCs w:val="20"/>
        </w:rPr>
        <w:t xml:space="preserve">App INT reviews alert for backlog/connection issue and works with </w:t>
      </w:r>
      <w:proofErr w:type="spellStart"/>
      <w:r w:rsidR="00C214BE" w:rsidRPr="00C214BE">
        <w:rPr>
          <w:sz w:val="20"/>
          <w:szCs w:val="20"/>
        </w:rPr>
        <w:t>openlink</w:t>
      </w:r>
      <w:proofErr w:type="spellEnd"/>
      <w:r w:rsidR="00C214BE" w:rsidRPr="00C214BE">
        <w:rPr>
          <w:sz w:val="20"/>
          <w:szCs w:val="20"/>
        </w:rPr>
        <w:t xml:space="preserve"> or Cerner to resolve</w:t>
      </w:r>
    </w:p>
    <w:p w14:paraId="05C18870" w14:textId="1A0E50BE" w:rsidR="00A10267" w:rsidRPr="00C214BE" w:rsidRDefault="00CA3EAE" w:rsidP="00C214BE">
      <w:pPr>
        <w:pStyle w:val="ListParagraph"/>
        <w:numPr>
          <w:ilvl w:val="0"/>
          <w:numId w:val="26"/>
        </w:numPr>
        <w:spacing w:after="160" w:line="259" w:lineRule="auto"/>
        <w:rPr>
          <w:sz w:val="20"/>
          <w:szCs w:val="20"/>
        </w:rPr>
      </w:pPr>
      <w:r w:rsidRPr="00C214BE">
        <w:rPr>
          <w:sz w:val="20"/>
          <w:szCs w:val="20"/>
        </w:rPr>
        <w:t>Communication: App INT team to communicate to all relevant p</w:t>
      </w:r>
      <w:r w:rsidR="00BF78AA">
        <w:rPr>
          <w:sz w:val="20"/>
          <w:szCs w:val="20"/>
        </w:rPr>
        <w:t>arties the issue and resolution</w:t>
      </w:r>
    </w:p>
    <w:p w14:paraId="2B7E5643" w14:textId="6060B088" w:rsidR="00A874A6" w:rsidRPr="00A874A6" w:rsidRDefault="00A874A6" w:rsidP="00A874A6">
      <w:pPr>
        <w:shd w:val="clear" w:color="auto" w:fill="DBE5F1" w:themeFill="accent1" w:themeFillTint="33"/>
        <w:rPr>
          <w:b/>
        </w:rPr>
      </w:pPr>
      <w:r>
        <w:rPr>
          <w:b/>
        </w:rPr>
        <w:lastRenderedPageBreak/>
        <w:t>Stakeholders</w:t>
      </w:r>
    </w:p>
    <w:p w14:paraId="47C4C534" w14:textId="7F3254DD" w:rsidR="003F77FA" w:rsidRDefault="003E61BE" w:rsidP="00585D16">
      <w:pPr>
        <w:jc w:val="both"/>
        <w:rPr>
          <w:b/>
          <w:sz w:val="20"/>
          <w:szCs w:val="20"/>
        </w:rPr>
      </w:pPr>
      <w:r w:rsidRPr="00A874A6">
        <w:rPr>
          <w:b/>
          <w:sz w:val="20"/>
          <w:szCs w:val="20"/>
        </w:rPr>
        <w:t xml:space="preserve">Charge issues </w:t>
      </w:r>
      <w:r w:rsidR="00A874A6" w:rsidRPr="00A874A6">
        <w:rPr>
          <w:b/>
          <w:sz w:val="20"/>
          <w:szCs w:val="20"/>
        </w:rPr>
        <w:t xml:space="preserve">can impact several teams. </w:t>
      </w:r>
      <w:r w:rsidR="00585D16" w:rsidRPr="00585D16">
        <w:rPr>
          <w:b/>
          <w:sz w:val="20"/>
          <w:szCs w:val="20"/>
        </w:rPr>
        <w:t>If the issue is affecting a single app</w:t>
      </w:r>
      <w:r w:rsidR="00585D16">
        <w:rPr>
          <w:b/>
          <w:sz w:val="20"/>
          <w:szCs w:val="20"/>
        </w:rPr>
        <w:t>lication</w:t>
      </w:r>
      <w:r w:rsidR="00585D16" w:rsidRPr="00585D16">
        <w:rPr>
          <w:b/>
          <w:sz w:val="20"/>
          <w:szCs w:val="20"/>
        </w:rPr>
        <w:t xml:space="preserve">, </w:t>
      </w:r>
      <w:r w:rsidR="008A1CEC" w:rsidRPr="008A1CEC">
        <w:rPr>
          <w:b/>
          <w:i/>
          <w:sz w:val="20"/>
          <w:szCs w:val="20"/>
        </w:rPr>
        <w:t>Project Access – App Integration</w:t>
      </w:r>
      <w:r w:rsidR="008A1CEC" w:rsidRPr="008A1CEC">
        <w:rPr>
          <w:b/>
          <w:sz w:val="20"/>
          <w:szCs w:val="20"/>
        </w:rPr>
        <w:t xml:space="preserve"> </w:t>
      </w:r>
      <w:r w:rsidR="00585D16" w:rsidRPr="008A1CEC">
        <w:rPr>
          <w:b/>
          <w:sz w:val="20"/>
          <w:szCs w:val="20"/>
        </w:rPr>
        <w:t>will</w:t>
      </w:r>
      <w:r w:rsidR="00585D16" w:rsidRPr="00585D16">
        <w:rPr>
          <w:b/>
          <w:sz w:val="20"/>
          <w:szCs w:val="20"/>
        </w:rPr>
        <w:t xml:space="preserve"> work with that </w:t>
      </w:r>
      <w:r w:rsidR="00585D16">
        <w:rPr>
          <w:b/>
          <w:sz w:val="20"/>
          <w:szCs w:val="20"/>
        </w:rPr>
        <w:t>Ancillary</w:t>
      </w:r>
      <w:r w:rsidR="00EF16D2">
        <w:rPr>
          <w:b/>
          <w:sz w:val="20"/>
          <w:szCs w:val="20"/>
        </w:rPr>
        <w:t xml:space="preserve"> Application along with </w:t>
      </w:r>
      <w:r w:rsidR="006D109F">
        <w:rPr>
          <w:b/>
          <w:sz w:val="20"/>
          <w:szCs w:val="20"/>
        </w:rPr>
        <w:t>E</w:t>
      </w:r>
      <w:r w:rsidR="00EF16D2">
        <w:rPr>
          <w:b/>
          <w:sz w:val="20"/>
          <w:szCs w:val="20"/>
        </w:rPr>
        <w:t xml:space="preserve">AI &amp; </w:t>
      </w:r>
      <w:r w:rsidR="00585D16" w:rsidRPr="00585D16">
        <w:rPr>
          <w:b/>
          <w:sz w:val="20"/>
          <w:szCs w:val="20"/>
        </w:rPr>
        <w:t>RIO directly</w:t>
      </w:r>
      <w:r w:rsidR="00EF16D2">
        <w:rPr>
          <w:b/>
          <w:sz w:val="20"/>
          <w:szCs w:val="20"/>
        </w:rPr>
        <w:t xml:space="preserve">, no meeting </w:t>
      </w:r>
      <w:r w:rsidR="00585D16" w:rsidRPr="00585D16">
        <w:rPr>
          <w:b/>
          <w:sz w:val="20"/>
          <w:szCs w:val="20"/>
        </w:rPr>
        <w:t>required. If it is affecting multiple app</w:t>
      </w:r>
      <w:r w:rsidR="00585D16">
        <w:rPr>
          <w:b/>
          <w:sz w:val="20"/>
          <w:szCs w:val="20"/>
        </w:rPr>
        <w:t>lications</w:t>
      </w:r>
      <w:r w:rsidR="00585D16" w:rsidRPr="00585D16">
        <w:rPr>
          <w:b/>
          <w:sz w:val="20"/>
          <w:szCs w:val="20"/>
        </w:rPr>
        <w:t xml:space="preserve"> the process is different and </w:t>
      </w:r>
      <w:r w:rsidR="00585D16">
        <w:rPr>
          <w:b/>
          <w:sz w:val="20"/>
          <w:szCs w:val="20"/>
        </w:rPr>
        <w:t>more coordination</w:t>
      </w:r>
      <w:r w:rsidR="00EF16D2">
        <w:rPr>
          <w:b/>
          <w:sz w:val="20"/>
          <w:szCs w:val="20"/>
        </w:rPr>
        <w:t>/meeting</w:t>
      </w:r>
      <w:r w:rsidR="00585D16">
        <w:rPr>
          <w:b/>
          <w:sz w:val="20"/>
          <w:szCs w:val="20"/>
        </w:rPr>
        <w:t xml:space="preserve"> is required. </w:t>
      </w:r>
      <w:r w:rsidR="00A874A6" w:rsidRPr="00A874A6">
        <w:rPr>
          <w:b/>
          <w:sz w:val="20"/>
          <w:szCs w:val="20"/>
        </w:rPr>
        <w:t>The following Enterprise Contacts need to be kept in the loop for any, and all, charge interface issues:</w:t>
      </w:r>
    </w:p>
    <w:tbl>
      <w:tblPr>
        <w:tblW w:w="7920" w:type="dxa"/>
        <w:tblInd w:w="-5" w:type="dxa"/>
        <w:tblLook w:val="04A0" w:firstRow="1" w:lastRow="0" w:firstColumn="1" w:lastColumn="0" w:noHBand="0" w:noVBand="1"/>
      </w:tblPr>
      <w:tblGrid>
        <w:gridCol w:w="3330"/>
        <w:gridCol w:w="4590"/>
      </w:tblGrid>
      <w:tr w:rsidR="003F77FA" w:rsidRPr="003F77FA" w14:paraId="195521FA" w14:textId="77777777" w:rsidTr="00BF78AA">
        <w:trPr>
          <w:trHeight w:val="39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942F8F1" w14:textId="77777777" w:rsidR="003F77FA" w:rsidRPr="003F77FA" w:rsidRDefault="003F77FA" w:rsidP="00DF4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3F77FA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Enterprise Contacts</w:t>
            </w:r>
          </w:p>
        </w:tc>
      </w:tr>
      <w:tr w:rsidR="003F77FA" w:rsidRPr="003F77FA" w14:paraId="487CC4E1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2100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EAI team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EB25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ISIntegrationSupportGroup@northwell.edu</w:t>
              </w:r>
            </w:hyperlink>
          </w:p>
        </w:tc>
      </w:tr>
      <w:tr w:rsidR="003F77FA" w:rsidRPr="003F77FA" w14:paraId="7BAFD2B3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CECA" w14:textId="3AC67CDD" w:rsidR="003F77FA" w:rsidRPr="00745EBC" w:rsidRDefault="00BF78A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Project Access – App </w:t>
            </w:r>
            <w:r w:rsidR="008A1CEC" w:rsidRPr="008A1CEC">
              <w:rPr>
                <w:rFonts w:ascii="Calibri" w:eastAsia="Times New Roman" w:hAnsi="Calibri" w:cs="Calibri"/>
                <w:color w:val="000000"/>
              </w:rPr>
              <w:t>Integration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2088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ISProjectAccessAppIntegration@northwell.edu</w:t>
              </w:r>
            </w:hyperlink>
          </w:p>
        </w:tc>
      </w:tr>
      <w:tr w:rsidR="003F77FA" w:rsidRPr="003F77FA" w14:paraId="54D704B7" w14:textId="77777777" w:rsidTr="00BF78AA">
        <w:trPr>
          <w:trHeight w:val="30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204E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RIO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B0CCD" w14:textId="1880D9C2" w:rsidR="003F77FA" w:rsidRPr="00745EBC" w:rsidRDefault="003F77FA" w:rsidP="00DF4F4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45EBC">
              <w:rPr>
                <w:rFonts w:ascii="Calibri" w:eastAsia="Times New Roman" w:hAnsi="Calibri" w:cs="Calibri"/>
                <w:color w:val="0563C1"/>
                <w:u w:val="single"/>
              </w:rPr>
              <w:t>RIOSoarian</w:t>
            </w:r>
            <w:r w:rsidR="00DF4F42" w:rsidRPr="00745EBC">
              <w:rPr>
                <w:rFonts w:ascii="Calibri" w:eastAsia="Times New Roman" w:hAnsi="Calibri" w:cs="Calibri"/>
                <w:color w:val="0563C1"/>
                <w:u w:val="single"/>
              </w:rPr>
              <w:t>BusinessAnalysts@northwell.edu</w:t>
            </w:r>
          </w:p>
        </w:tc>
      </w:tr>
      <w:tr w:rsidR="003F77FA" w:rsidRPr="003F77FA" w14:paraId="4B2CE392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BE37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TOS IT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26BC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Corp-SoarianCDMTesting@northwell.edu</w:t>
              </w:r>
            </w:hyperlink>
          </w:p>
        </w:tc>
      </w:tr>
      <w:tr w:rsidR="003F77FA" w:rsidRPr="003F77FA" w14:paraId="780A420D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39C0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Project TOS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28D5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45EBC">
              <w:rPr>
                <w:rFonts w:ascii="Calibri" w:eastAsia="Times New Roman" w:hAnsi="Calibri" w:cs="Calibri"/>
                <w:color w:val="0563C1"/>
                <w:u w:val="single"/>
              </w:rPr>
              <w:t>ProjectAccessTOSTeam@northwell.edu</w:t>
            </w:r>
          </w:p>
        </w:tc>
      </w:tr>
      <w:tr w:rsidR="003F77FA" w:rsidRPr="003F77FA" w14:paraId="1474AF5B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E249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Project INT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E436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IS-ProjectAccessIntegration@northwell.edu</w:t>
              </w:r>
            </w:hyperlink>
          </w:p>
        </w:tc>
      </w:tr>
      <w:tr w:rsidR="003F77FA" w:rsidRPr="003F77FA" w14:paraId="65371311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F153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Project RM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F0FE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ProjectAccess-RMTeam@northwell.edu</w:t>
              </w:r>
            </w:hyperlink>
          </w:p>
        </w:tc>
      </w:tr>
      <w:tr w:rsidR="003F77FA" w:rsidRPr="003F77FA" w14:paraId="0888F31C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685E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Project Leads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94ED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ProjectAccessITPRJLeads@northwell.edu</w:t>
              </w:r>
            </w:hyperlink>
          </w:p>
        </w:tc>
      </w:tr>
      <w:tr w:rsidR="003F77FA" w:rsidRPr="003F77FA" w14:paraId="4EDE968F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36B1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Patient Accounting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DCA6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BackRevCycleTechnology@northwell.edu</w:t>
              </w:r>
            </w:hyperlink>
          </w:p>
        </w:tc>
      </w:tr>
      <w:tr w:rsidR="003F77FA" w:rsidRPr="003F77FA" w14:paraId="50D13826" w14:textId="77777777" w:rsidTr="00BF78AA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C603" w14:textId="77777777" w:rsidR="003F77FA" w:rsidRPr="003F77FA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47AB" w14:textId="77777777" w:rsidR="003F77FA" w:rsidRPr="003F77FA" w:rsidRDefault="003F77FA" w:rsidP="003F7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7FA" w:rsidRPr="003F77FA" w14:paraId="628E94B8" w14:textId="77777777" w:rsidTr="00BF78AA">
        <w:trPr>
          <w:trHeight w:val="39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563D928" w14:textId="77777777" w:rsidR="003F77FA" w:rsidRPr="003F77FA" w:rsidRDefault="003F77FA" w:rsidP="003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3F77FA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Ancillary Applications</w:t>
            </w:r>
          </w:p>
        </w:tc>
      </w:tr>
      <w:tr w:rsidR="003F77FA" w:rsidRPr="003F77FA" w14:paraId="56A2C3BF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1BC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Muse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B970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ISCardiacServices@northwell.edu</w:t>
              </w:r>
            </w:hyperlink>
          </w:p>
        </w:tc>
      </w:tr>
      <w:tr w:rsidR="003F77FA" w:rsidRPr="003F77FA" w14:paraId="514F33B5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49DB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HSM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3DBC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IS-HSM_Charge@northwell.edu</w:t>
              </w:r>
            </w:hyperlink>
          </w:p>
        </w:tc>
      </w:tr>
      <w:tr w:rsidR="003F77FA" w:rsidRPr="003F77FA" w14:paraId="10949BA8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7B7F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SMM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A1AF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SCMPharmacy@northwell.edu</w:t>
              </w:r>
            </w:hyperlink>
          </w:p>
        </w:tc>
      </w:tr>
      <w:tr w:rsidR="003F77FA" w:rsidRPr="003F77FA" w14:paraId="27FBDC16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30C8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3DB2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IS-LIS HELPDESK IS-LISHELPDESK@northwell.edu</w:t>
              </w:r>
            </w:hyperlink>
          </w:p>
        </w:tc>
      </w:tr>
      <w:tr w:rsidR="003F77FA" w:rsidRPr="003F77FA" w14:paraId="7972AD8B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0CBD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SCM RESP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72D8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SCMOrders-Results@northwell.edu</w:t>
              </w:r>
            </w:hyperlink>
          </w:p>
        </w:tc>
      </w:tr>
      <w:tr w:rsidR="003F77FA" w:rsidRPr="003F77FA" w14:paraId="2E0C1D8F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AEF9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RIS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5B81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ISRadiology@northwell.edu</w:t>
              </w:r>
            </w:hyperlink>
          </w:p>
        </w:tc>
      </w:tr>
      <w:tr w:rsidR="003F77FA" w:rsidRPr="003F77FA" w14:paraId="1118A922" w14:textId="77777777" w:rsidTr="00BF78AA">
        <w:trPr>
          <w:trHeight w:val="315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CB8C" w14:textId="77777777" w:rsidR="003F77FA" w:rsidRPr="00745EBC" w:rsidRDefault="003F77FA" w:rsidP="003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EBC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701B" w14:textId="77777777" w:rsidR="003F77FA" w:rsidRPr="00745EBC" w:rsidRDefault="00D066F5" w:rsidP="003F77F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3F77FA" w:rsidRPr="00745EBC">
                <w:rPr>
                  <w:rFonts w:ascii="Calibri" w:eastAsia="Times New Roman" w:hAnsi="Calibri" w:cs="Calibri"/>
                  <w:color w:val="0563C1"/>
                  <w:u w:val="single"/>
                </w:rPr>
                <w:t>PKBusRevCycleTeam@northwell.edu</w:t>
              </w:r>
            </w:hyperlink>
          </w:p>
        </w:tc>
      </w:tr>
    </w:tbl>
    <w:p w14:paraId="1BA407BD" w14:textId="19592963" w:rsidR="003F77FA" w:rsidRDefault="003F77FA" w:rsidP="00DF4F42">
      <w:pPr>
        <w:jc w:val="both"/>
        <w:rPr>
          <w:b/>
          <w:i/>
          <w:sz w:val="20"/>
          <w:szCs w:val="20"/>
        </w:rPr>
      </w:pPr>
      <w:r w:rsidRPr="003F77FA">
        <w:rPr>
          <w:b/>
          <w:i/>
          <w:sz w:val="20"/>
          <w:szCs w:val="20"/>
        </w:rPr>
        <w:t>*Only reach out to the affected ancillary application(s)</w:t>
      </w:r>
    </w:p>
    <w:p w14:paraId="0C957C3B" w14:textId="77777777" w:rsidR="00DF4F42" w:rsidRPr="00DF4F42" w:rsidRDefault="00DF4F42" w:rsidP="00DF4F42">
      <w:pPr>
        <w:jc w:val="both"/>
        <w:rPr>
          <w:b/>
          <w:i/>
          <w:sz w:val="20"/>
          <w:szCs w:val="20"/>
        </w:rPr>
      </w:pPr>
    </w:p>
    <w:bookmarkStart w:id="1" w:name="_MON_1655133560"/>
    <w:bookmarkEnd w:id="1"/>
    <w:p w14:paraId="7EC9AC68" w14:textId="68FE2503" w:rsidR="003F77FA" w:rsidRPr="003F77FA" w:rsidRDefault="00BF78AA" w:rsidP="003F77FA">
      <w:pPr>
        <w:rPr>
          <w:sz w:val="20"/>
          <w:szCs w:val="20"/>
        </w:rPr>
      </w:pPr>
      <w:r>
        <w:rPr>
          <w:sz w:val="20"/>
          <w:szCs w:val="20"/>
        </w:rPr>
        <w:object w:dxaOrig="1531" w:dyaOrig="990" w14:anchorId="78DEE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Excel.Sheet.12" ShapeID="_x0000_i1025" DrawAspect="Icon" ObjectID="_1656311889" r:id="rId23"/>
        </w:object>
      </w:r>
    </w:p>
    <w:p w14:paraId="679CCC7A" w14:textId="77777777" w:rsidR="00DF4F42" w:rsidRDefault="00DF4F42" w:rsidP="00E713F5">
      <w:pPr>
        <w:jc w:val="both"/>
        <w:rPr>
          <w:b/>
          <w:sz w:val="20"/>
          <w:szCs w:val="20"/>
        </w:rPr>
      </w:pPr>
    </w:p>
    <w:p w14:paraId="5D4D61BA" w14:textId="00BE93E3" w:rsidR="00E713F5" w:rsidRPr="00BF78AA" w:rsidRDefault="00F61678" w:rsidP="00BF78AA">
      <w:pPr>
        <w:jc w:val="both"/>
        <w:rPr>
          <w:b/>
          <w:sz w:val="20"/>
          <w:szCs w:val="20"/>
        </w:rPr>
      </w:pPr>
      <w:r w:rsidRPr="003F77FA">
        <w:rPr>
          <w:b/>
          <w:sz w:val="20"/>
          <w:szCs w:val="20"/>
        </w:rPr>
        <w:t>RIO will be responsible to contact and keep in the loop the Site/</w:t>
      </w:r>
      <w:proofErr w:type="spellStart"/>
      <w:r w:rsidRPr="003F77FA">
        <w:rPr>
          <w:b/>
          <w:sz w:val="20"/>
          <w:szCs w:val="20"/>
        </w:rPr>
        <w:t>Dept</w:t>
      </w:r>
      <w:proofErr w:type="spellEnd"/>
      <w:r w:rsidRPr="003F77FA">
        <w:rPr>
          <w:b/>
          <w:sz w:val="20"/>
          <w:szCs w:val="20"/>
        </w:rPr>
        <w:t xml:space="preserve"> resources currently performing the daily charge reconciliation review. Site </w:t>
      </w:r>
      <w:r w:rsidR="003F77FA">
        <w:rPr>
          <w:b/>
          <w:sz w:val="20"/>
          <w:szCs w:val="20"/>
        </w:rPr>
        <w:t>r</w:t>
      </w:r>
      <w:r w:rsidRPr="003F77FA">
        <w:rPr>
          <w:b/>
          <w:sz w:val="20"/>
          <w:szCs w:val="20"/>
        </w:rPr>
        <w:t>econciliation resources will conduct the final reconciliatio</w:t>
      </w:r>
      <w:r w:rsidR="00DF4F42">
        <w:rPr>
          <w:b/>
          <w:sz w:val="20"/>
          <w:szCs w:val="20"/>
        </w:rPr>
        <w:t>n validation with RIO oversight.</w:t>
      </w:r>
    </w:p>
    <w:sectPr w:rsidR="00E713F5" w:rsidRPr="00BF78AA" w:rsidSect="00C9567B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09700" w14:textId="77777777" w:rsidR="00D066F5" w:rsidRDefault="00D066F5" w:rsidP="009235B0">
      <w:pPr>
        <w:spacing w:after="0" w:line="240" w:lineRule="auto"/>
      </w:pPr>
      <w:r>
        <w:separator/>
      </w:r>
    </w:p>
  </w:endnote>
  <w:endnote w:type="continuationSeparator" w:id="0">
    <w:p w14:paraId="13800B44" w14:textId="77777777" w:rsidR="00D066F5" w:rsidRDefault="00D066F5" w:rsidP="0092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40534" w14:textId="3B465CB5" w:rsidR="000C5187" w:rsidRDefault="00D066F5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8012760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5187">
          <w:fldChar w:fldCharType="begin"/>
        </w:r>
        <w:r w:rsidR="000C5187">
          <w:instrText xml:space="preserve"> PAGE   \* MERGEFORMAT </w:instrText>
        </w:r>
        <w:r w:rsidR="000C5187">
          <w:fldChar w:fldCharType="separate"/>
        </w:r>
        <w:r w:rsidR="00671A29">
          <w:rPr>
            <w:noProof/>
          </w:rPr>
          <w:t>2</w:t>
        </w:r>
        <w:r w:rsidR="000C5187">
          <w:rPr>
            <w:noProof/>
          </w:rPr>
          <w:fldChar w:fldCharType="end"/>
        </w:r>
        <w:r w:rsidR="000C5187">
          <w:t xml:space="preserve"> | </w:t>
        </w:r>
        <w:r w:rsidR="000C5187">
          <w:rPr>
            <w:color w:val="7F7F7F" w:themeColor="background1" w:themeShade="7F"/>
            <w:spacing w:val="60"/>
          </w:rPr>
          <w:t>Page</w:t>
        </w:r>
      </w:sdtContent>
    </w:sdt>
  </w:p>
  <w:p w14:paraId="12485B82" w14:textId="77777777" w:rsidR="000C5187" w:rsidRDefault="000C5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BA339" w14:textId="00D6A7B9" w:rsidR="00C9567B" w:rsidRDefault="00C9567B" w:rsidP="00C9567B">
    <w:pPr>
      <w:pStyle w:val="Footer"/>
      <w:pBdr>
        <w:top w:val="single" w:sz="4" w:space="1" w:color="D9D9D9" w:themeColor="background1" w:themeShade="D9"/>
      </w:pBdr>
    </w:pPr>
    <w:r>
      <w:t xml:space="preserve">Last Modified </w:t>
    </w:r>
    <w:r>
      <w:fldChar w:fldCharType="begin"/>
    </w:r>
    <w:r>
      <w:instrText xml:space="preserve"> DATE \@ "M/d/yyyy" </w:instrText>
    </w:r>
    <w:r>
      <w:fldChar w:fldCharType="separate"/>
    </w:r>
    <w:r w:rsidR="00BE2DC7">
      <w:rPr>
        <w:noProof/>
      </w:rPr>
      <w:t>7/15/2020</w:t>
    </w:r>
    <w:r>
      <w:fldChar w:fldCharType="end"/>
    </w:r>
    <w:r>
      <w:t xml:space="preserve">                                                                                                                                  </w:t>
    </w:r>
    <w:sdt>
      <w:sdtPr>
        <w:id w:val="102853770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A2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453B238" w14:textId="77777777" w:rsidR="00C9567B" w:rsidRDefault="00C95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B6C6C" w14:textId="77777777" w:rsidR="00D066F5" w:rsidRDefault="00D066F5" w:rsidP="009235B0">
      <w:pPr>
        <w:spacing w:after="0" w:line="240" w:lineRule="auto"/>
      </w:pPr>
      <w:r>
        <w:separator/>
      </w:r>
    </w:p>
  </w:footnote>
  <w:footnote w:type="continuationSeparator" w:id="0">
    <w:p w14:paraId="5412F268" w14:textId="77777777" w:rsidR="00D066F5" w:rsidRDefault="00D066F5" w:rsidP="0092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3720"/>
      <w:gridCol w:w="2850"/>
    </w:tblGrid>
    <w:tr w:rsidR="00040CC3" w:rsidRPr="00F54B84" w14:paraId="7498981D" w14:textId="77777777" w:rsidTr="00040CC3">
      <w:trPr>
        <w:trHeight w:val="1277"/>
        <w:jc w:val="center"/>
      </w:trPr>
      <w:tc>
        <w:tcPr>
          <w:tcW w:w="2970" w:type="dxa"/>
        </w:tcPr>
        <w:p w14:paraId="0406A7BB" w14:textId="77777777" w:rsidR="00040CC3" w:rsidRPr="00F54B84" w:rsidRDefault="00040CC3" w:rsidP="00AB37BD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1A16358C" wp14:editId="6111043D">
                <wp:simplePos x="0" y="0"/>
                <wp:positionH relativeFrom="column">
                  <wp:posOffset>64135</wp:posOffset>
                </wp:positionH>
                <wp:positionV relativeFrom="page">
                  <wp:posOffset>213360</wp:posOffset>
                </wp:positionV>
                <wp:extent cx="1526540" cy="457835"/>
                <wp:effectExtent l="0" t="0" r="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rthwe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540" cy="457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720" w:type="dxa"/>
        </w:tcPr>
        <w:p w14:paraId="0E5D6CE1" w14:textId="77777777" w:rsidR="00040CC3" w:rsidRPr="00F54B84" w:rsidRDefault="00040CC3" w:rsidP="00AB37B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14:paraId="3126B334" w14:textId="77777777" w:rsidR="00040CC3" w:rsidRDefault="00B32399" w:rsidP="00B32399">
          <w:pPr>
            <w:tabs>
              <w:tab w:val="left" w:pos="2556"/>
              <w:tab w:val="center" w:pos="4320"/>
              <w:tab w:val="right" w:pos="8640"/>
            </w:tabs>
            <w:rPr>
              <w:rFonts w:ascii="Tahoma" w:hAnsi="Tahoma" w:cs="Tahoma"/>
              <w:b/>
              <w:bCs/>
              <w:sz w:val="20"/>
            </w:rPr>
          </w:pPr>
          <w:r>
            <w:rPr>
              <w:rFonts w:ascii="Tahoma" w:hAnsi="Tahoma" w:cs="Tahoma"/>
              <w:b/>
              <w:bCs/>
              <w:sz w:val="20"/>
            </w:rPr>
            <w:tab/>
          </w:r>
        </w:p>
        <w:p w14:paraId="34B5A5F6" w14:textId="77777777" w:rsidR="00040CC3" w:rsidRPr="006C00BE" w:rsidRDefault="00040CC3" w:rsidP="00AB37BD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28"/>
              <w:szCs w:val="28"/>
            </w:rPr>
          </w:pPr>
        </w:p>
      </w:tc>
      <w:tc>
        <w:tcPr>
          <w:tcW w:w="2850" w:type="dxa"/>
        </w:tcPr>
        <w:p w14:paraId="37ACA090" w14:textId="77777777" w:rsidR="00040CC3" w:rsidRPr="00F54B84" w:rsidRDefault="00040CC3" w:rsidP="00AB37BD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</w:rPr>
          </w:pPr>
          <w:r w:rsidRPr="00170654">
            <w:rPr>
              <w:rFonts w:ascii="Arial" w:hAnsi="Arial" w:cs="Arial"/>
              <w:noProof/>
              <w:sz w:val="20"/>
            </w:rPr>
            <w:drawing>
              <wp:inline distT="0" distB="0" distL="0" distR="0" wp14:anchorId="64DC83D5" wp14:editId="7ABA5CE4">
                <wp:extent cx="1637731" cy="784333"/>
                <wp:effectExtent l="0" t="0" r="0" b="0"/>
                <wp:docPr id="8" name="Picture 1" descr="Project Access logo 6-26-12 FINAL.pd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9" descr="Project Access logo 6-26-12 FINAL.pd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4192" cy="782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108EA4" w14:textId="77777777" w:rsidR="009235B0" w:rsidRDefault="00040CC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3720"/>
      <w:gridCol w:w="2850"/>
    </w:tblGrid>
    <w:tr w:rsidR="00C9567B" w:rsidRPr="00F54B84" w14:paraId="1B707406" w14:textId="77777777" w:rsidTr="00A10E16">
      <w:trPr>
        <w:trHeight w:val="1277"/>
        <w:jc w:val="center"/>
      </w:trPr>
      <w:tc>
        <w:tcPr>
          <w:tcW w:w="2970" w:type="dxa"/>
        </w:tcPr>
        <w:p w14:paraId="155F62C0" w14:textId="77777777" w:rsidR="00C9567B" w:rsidRPr="00F54B84" w:rsidRDefault="00C9567B" w:rsidP="00C9567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41FC200" wp14:editId="11626035">
                <wp:simplePos x="0" y="0"/>
                <wp:positionH relativeFrom="column">
                  <wp:posOffset>64135</wp:posOffset>
                </wp:positionH>
                <wp:positionV relativeFrom="page">
                  <wp:posOffset>213360</wp:posOffset>
                </wp:positionV>
                <wp:extent cx="1526540" cy="45783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rthwe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540" cy="457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720" w:type="dxa"/>
        </w:tcPr>
        <w:p w14:paraId="075C0ECF" w14:textId="77777777" w:rsidR="00C9567B" w:rsidRPr="00F54B84" w:rsidRDefault="00C9567B" w:rsidP="00C956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14:paraId="71B0D15F" w14:textId="77777777" w:rsidR="00C9567B" w:rsidRDefault="00C9567B" w:rsidP="00C9567B">
          <w:pPr>
            <w:tabs>
              <w:tab w:val="left" w:pos="2556"/>
              <w:tab w:val="center" w:pos="4320"/>
              <w:tab w:val="right" w:pos="8640"/>
            </w:tabs>
            <w:rPr>
              <w:rFonts w:ascii="Tahoma" w:hAnsi="Tahoma" w:cs="Tahoma"/>
              <w:b/>
              <w:bCs/>
              <w:sz w:val="20"/>
            </w:rPr>
          </w:pPr>
          <w:r>
            <w:rPr>
              <w:rFonts w:ascii="Tahoma" w:hAnsi="Tahoma" w:cs="Tahoma"/>
              <w:b/>
              <w:bCs/>
              <w:sz w:val="20"/>
            </w:rPr>
            <w:tab/>
          </w:r>
        </w:p>
        <w:p w14:paraId="275D0FDE" w14:textId="77777777" w:rsidR="00C9567B" w:rsidRPr="006C00BE" w:rsidRDefault="00C9567B" w:rsidP="00C9567B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28"/>
              <w:szCs w:val="28"/>
            </w:rPr>
          </w:pPr>
        </w:p>
      </w:tc>
      <w:tc>
        <w:tcPr>
          <w:tcW w:w="2850" w:type="dxa"/>
        </w:tcPr>
        <w:p w14:paraId="38366FEC" w14:textId="77777777" w:rsidR="00C9567B" w:rsidRPr="00F54B84" w:rsidRDefault="00C9567B" w:rsidP="00C9567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0"/>
            </w:rPr>
          </w:pPr>
          <w:r w:rsidRPr="00170654">
            <w:rPr>
              <w:rFonts w:ascii="Arial" w:hAnsi="Arial" w:cs="Arial"/>
              <w:noProof/>
              <w:sz w:val="20"/>
            </w:rPr>
            <w:drawing>
              <wp:inline distT="0" distB="0" distL="0" distR="0" wp14:anchorId="06117B71" wp14:editId="67B95BA4">
                <wp:extent cx="1637731" cy="784333"/>
                <wp:effectExtent l="0" t="0" r="0" b="0"/>
                <wp:docPr id="2" name="Picture 1" descr="Project Access logo 6-26-12 FINAL.pd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9" descr="Project Access logo 6-26-12 FINAL.pd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4192" cy="782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117985" w14:textId="77777777" w:rsidR="00C9567B" w:rsidRDefault="00C956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DA6"/>
    <w:multiLevelType w:val="hybridMultilevel"/>
    <w:tmpl w:val="82B6172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F54E91"/>
    <w:multiLevelType w:val="hybridMultilevel"/>
    <w:tmpl w:val="C19C0C74"/>
    <w:lvl w:ilvl="0" w:tplc="1CB6CBA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0448"/>
    <w:multiLevelType w:val="multilevel"/>
    <w:tmpl w:val="DF6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04DD4"/>
    <w:multiLevelType w:val="hybridMultilevel"/>
    <w:tmpl w:val="7D8A8E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A16879"/>
    <w:multiLevelType w:val="hybridMultilevel"/>
    <w:tmpl w:val="6DA26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794CD1"/>
    <w:multiLevelType w:val="hybridMultilevel"/>
    <w:tmpl w:val="8CC27886"/>
    <w:lvl w:ilvl="0" w:tplc="1B864B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22B01"/>
    <w:multiLevelType w:val="hybridMultilevel"/>
    <w:tmpl w:val="3342BD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12C27"/>
    <w:multiLevelType w:val="hybridMultilevel"/>
    <w:tmpl w:val="2818961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FDB4328"/>
    <w:multiLevelType w:val="hybridMultilevel"/>
    <w:tmpl w:val="BC10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3129B"/>
    <w:multiLevelType w:val="hybridMultilevel"/>
    <w:tmpl w:val="D6D8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5222F"/>
    <w:multiLevelType w:val="hybridMultilevel"/>
    <w:tmpl w:val="170A519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F533515"/>
    <w:multiLevelType w:val="hybridMultilevel"/>
    <w:tmpl w:val="8CC27886"/>
    <w:lvl w:ilvl="0" w:tplc="1B864B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910AAE"/>
    <w:multiLevelType w:val="multilevel"/>
    <w:tmpl w:val="E816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26425"/>
    <w:multiLevelType w:val="hybridMultilevel"/>
    <w:tmpl w:val="44A0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33479"/>
    <w:multiLevelType w:val="hybridMultilevel"/>
    <w:tmpl w:val="1408F3D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3BDD4E0E"/>
    <w:multiLevelType w:val="hybridMultilevel"/>
    <w:tmpl w:val="6B0E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6CBA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7780F0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25413"/>
    <w:multiLevelType w:val="hybridMultilevel"/>
    <w:tmpl w:val="2EA24C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A27397"/>
    <w:multiLevelType w:val="hybridMultilevel"/>
    <w:tmpl w:val="7298AFC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4134281E"/>
    <w:multiLevelType w:val="hybridMultilevel"/>
    <w:tmpl w:val="654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A7236"/>
    <w:multiLevelType w:val="hybridMultilevel"/>
    <w:tmpl w:val="AC8AD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B45FDE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7780F0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284523"/>
    <w:multiLevelType w:val="hybridMultilevel"/>
    <w:tmpl w:val="8CC27886"/>
    <w:lvl w:ilvl="0" w:tplc="1B864B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AF2F3E"/>
    <w:multiLevelType w:val="hybridMultilevel"/>
    <w:tmpl w:val="29342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C227C0"/>
    <w:multiLevelType w:val="hybridMultilevel"/>
    <w:tmpl w:val="8CC27886"/>
    <w:lvl w:ilvl="0" w:tplc="1B864B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36199B"/>
    <w:multiLevelType w:val="hybridMultilevel"/>
    <w:tmpl w:val="0B08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6CBA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05CE22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  <w:color w:val="auto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E2A9E"/>
    <w:multiLevelType w:val="hybridMultilevel"/>
    <w:tmpl w:val="5B0E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6CBA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05CE22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  <w:color w:val="auto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75361"/>
    <w:multiLevelType w:val="hybridMultilevel"/>
    <w:tmpl w:val="5936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6CBA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D940F3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FF000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B5F91"/>
    <w:multiLevelType w:val="hybridMultilevel"/>
    <w:tmpl w:val="5434B83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425BBA"/>
    <w:multiLevelType w:val="hybridMultilevel"/>
    <w:tmpl w:val="81E8FE94"/>
    <w:lvl w:ilvl="0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8" w15:restartNumberingAfterBreak="0">
    <w:nsid w:val="63586304"/>
    <w:multiLevelType w:val="hybridMultilevel"/>
    <w:tmpl w:val="8CC27886"/>
    <w:lvl w:ilvl="0" w:tplc="1B864B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C23434"/>
    <w:multiLevelType w:val="hybridMultilevel"/>
    <w:tmpl w:val="34142C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CF717B"/>
    <w:multiLevelType w:val="hybridMultilevel"/>
    <w:tmpl w:val="A2E263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C067EC4"/>
    <w:multiLevelType w:val="hybridMultilevel"/>
    <w:tmpl w:val="BFC6A718"/>
    <w:lvl w:ilvl="0" w:tplc="DC60F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27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B2C03"/>
    <w:multiLevelType w:val="hybridMultilevel"/>
    <w:tmpl w:val="6F5E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D3CAD"/>
    <w:multiLevelType w:val="hybridMultilevel"/>
    <w:tmpl w:val="D29E6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44761E"/>
    <w:multiLevelType w:val="hybridMultilevel"/>
    <w:tmpl w:val="398E5930"/>
    <w:lvl w:ilvl="0" w:tplc="1D940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6D24FE"/>
    <w:multiLevelType w:val="hybridMultilevel"/>
    <w:tmpl w:val="5434B83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4"/>
  </w:num>
  <w:num w:numId="5">
    <w:abstractNumId w:val="26"/>
  </w:num>
  <w:num w:numId="6">
    <w:abstractNumId w:val="31"/>
  </w:num>
  <w:num w:numId="7">
    <w:abstractNumId w:val="15"/>
  </w:num>
  <w:num w:numId="8">
    <w:abstractNumId w:val="27"/>
  </w:num>
  <w:num w:numId="9">
    <w:abstractNumId w:val="19"/>
  </w:num>
  <w:num w:numId="10">
    <w:abstractNumId w:val="29"/>
  </w:num>
  <w:num w:numId="11">
    <w:abstractNumId w:val="21"/>
  </w:num>
  <w:num w:numId="12">
    <w:abstractNumId w:val="30"/>
  </w:num>
  <w:num w:numId="13">
    <w:abstractNumId w:val="7"/>
  </w:num>
  <w:num w:numId="14">
    <w:abstractNumId w:val="35"/>
  </w:num>
  <w:num w:numId="15">
    <w:abstractNumId w:val="5"/>
  </w:num>
  <w:num w:numId="16">
    <w:abstractNumId w:val="6"/>
  </w:num>
  <w:num w:numId="17">
    <w:abstractNumId w:val="12"/>
  </w:num>
  <w:num w:numId="18">
    <w:abstractNumId w:val="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5"/>
  </w:num>
  <w:num w:numId="22">
    <w:abstractNumId w:val="34"/>
  </w:num>
  <w:num w:numId="23">
    <w:abstractNumId w:val="1"/>
  </w:num>
  <w:num w:numId="24">
    <w:abstractNumId w:val="20"/>
  </w:num>
  <w:num w:numId="25">
    <w:abstractNumId w:val="22"/>
  </w:num>
  <w:num w:numId="26">
    <w:abstractNumId w:val="11"/>
  </w:num>
  <w:num w:numId="27">
    <w:abstractNumId w:val="17"/>
  </w:num>
  <w:num w:numId="28">
    <w:abstractNumId w:val="16"/>
  </w:num>
  <w:num w:numId="29">
    <w:abstractNumId w:val="0"/>
  </w:num>
  <w:num w:numId="30">
    <w:abstractNumId w:val="4"/>
  </w:num>
  <w:num w:numId="31">
    <w:abstractNumId w:val="10"/>
  </w:num>
  <w:num w:numId="32">
    <w:abstractNumId w:val="23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1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B5"/>
    <w:rsid w:val="000156F5"/>
    <w:rsid w:val="00040CC3"/>
    <w:rsid w:val="00061428"/>
    <w:rsid w:val="00073DD8"/>
    <w:rsid w:val="00082AB1"/>
    <w:rsid w:val="000841FB"/>
    <w:rsid w:val="00085348"/>
    <w:rsid w:val="000950C4"/>
    <w:rsid w:val="000A0C5E"/>
    <w:rsid w:val="000A5DD3"/>
    <w:rsid w:val="000C28A3"/>
    <w:rsid w:val="000C5187"/>
    <w:rsid w:val="000D3491"/>
    <w:rsid w:val="000E3711"/>
    <w:rsid w:val="001033E7"/>
    <w:rsid w:val="001037E9"/>
    <w:rsid w:val="00111011"/>
    <w:rsid w:val="001211CF"/>
    <w:rsid w:val="00140235"/>
    <w:rsid w:val="00182279"/>
    <w:rsid w:val="001B28D4"/>
    <w:rsid w:val="001B30E7"/>
    <w:rsid w:val="001D7E06"/>
    <w:rsid w:val="001E3BA8"/>
    <w:rsid w:val="0020091C"/>
    <w:rsid w:val="00217236"/>
    <w:rsid w:val="002643E6"/>
    <w:rsid w:val="0026702C"/>
    <w:rsid w:val="00282C95"/>
    <w:rsid w:val="00291121"/>
    <w:rsid w:val="00293DD1"/>
    <w:rsid w:val="002C4670"/>
    <w:rsid w:val="002E1319"/>
    <w:rsid w:val="00340095"/>
    <w:rsid w:val="00351E59"/>
    <w:rsid w:val="003828C2"/>
    <w:rsid w:val="00386A9B"/>
    <w:rsid w:val="00395689"/>
    <w:rsid w:val="003A6A17"/>
    <w:rsid w:val="003D5CBE"/>
    <w:rsid w:val="003E1476"/>
    <w:rsid w:val="003E61BE"/>
    <w:rsid w:val="003F0DD8"/>
    <w:rsid w:val="003F77FA"/>
    <w:rsid w:val="00404656"/>
    <w:rsid w:val="00433035"/>
    <w:rsid w:val="00433D6F"/>
    <w:rsid w:val="0043535E"/>
    <w:rsid w:val="00443CAE"/>
    <w:rsid w:val="00462B80"/>
    <w:rsid w:val="0047000A"/>
    <w:rsid w:val="00471388"/>
    <w:rsid w:val="00484524"/>
    <w:rsid w:val="004A23E1"/>
    <w:rsid w:val="004D3703"/>
    <w:rsid w:val="004E3BF3"/>
    <w:rsid w:val="004E47B7"/>
    <w:rsid w:val="004F32B2"/>
    <w:rsid w:val="00511166"/>
    <w:rsid w:val="00520957"/>
    <w:rsid w:val="00521188"/>
    <w:rsid w:val="0057447A"/>
    <w:rsid w:val="005836C6"/>
    <w:rsid w:val="00585D16"/>
    <w:rsid w:val="005B34EF"/>
    <w:rsid w:val="005F08AF"/>
    <w:rsid w:val="00644BEB"/>
    <w:rsid w:val="00652307"/>
    <w:rsid w:val="00664245"/>
    <w:rsid w:val="00666488"/>
    <w:rsid w:val="00671A29"/>
    <w:rsid w:val="0067593B"/>
    <w:rsid w:val="00686B44"/>
    <w:rsid w:val="00687FED"/>
    <w:rsid w:val="006A7D2F"/>
    <w:rsid w:val="006C3659"/>
    <w:rsid w:val="006C51EA"/>
    <w:rsid w:val="006D02C0"/>
    <w:rsid w:val="006D109F"/>
    <w:rsid w:val="006D1725"/>
    <w:rsid w:val="006D3BF8"/>
    <w:rsid w:val="006E3FF5"/>
    <w:rsid w:val="006F6E82"/>
    <w:rsid w:val="00712945"/>
    <w:rsid w:val="00745EBC"/>
    <w:rsid w:val="00765BE9"/>
    <w:rsid w:val="00783461"/>
    <w:rsid w:val="00791109"/>
    <w:rsid w:val="007C32D8"/>
    <w:rsid w:val="007C573F"/>
    <w:rsid w:val="007D2B71"/>
    <w:rsid w:val="007D5583"/>
    <w:rsid w:val="007F2579"/>
    <w:rsid w:val="007F43B3"/>
    <w:rsid w:val="007F7FCD"/>
    <w:rsid w:val="0080377E"/>
    <w:rsid w:val="00831E34"/>
    <w:rsid w:val="00834BA8"/>
    <w:rsid w:val="008753FA"/>
    <w:rsid w:val="008876A0"/>
    <w:rsid w:val="0089071F"/>
    <w:rsid w:val="008A0F0E"/>
    <w:rsid w:val="008A1CEC"/>
    <w:rsid w:val="008A41AD"/>
    <w:rsid w:val="008A5EB6"/>
    <w:rsid w:val="008E0616"/>
    <w:rsid w:val="008E4A81"/>
    <w:rsid w:val="009235B0"/>
    <w:rsid w:val="00925A57"/>
    <w:rsid w:val="009667D1"/>
    <w:rsid w:val="0097405E"/>
    <w:rsid w:val="009747A3"/>
    <w:rsid w:val="00983B41"/>
    <w:rsid w:val="009A3233"/>
    <w:rsid w:val="009B5A66"/>
    <w:rsid w:val="009C4026"/>
    <w:rsid w:val="00A02366"/>
    <w:rsid w:val="00A063DB"/>
    <w:rsid w:val="00A10267"/>
    <w:rsid w:val="00A17E97"/>
    <w:rsid w:val="00A26FB0"/>
    <w:rsid w:val="00A27257"/>
    <w:rsid w:val="00A50181"/>
    <w:rsid w:val="00A80101"/>
    <w:rsid w:val="00A874A6"/>
    <w:rsid w:val="00AA7670"/>
    <w:rsid w:val="00AB7B14"/>
    <w:rsid w:val="00B32399"/>
    <w:rsid w:val="00B37486"/>
    <w:rsid w:val="00B5029B"/>
    <w:rsid w:val="00B52AC4"/>
    <w:rsid w:val="00B80ABC"/>
    <w:rsid w:val="00B8218E"/>
    <w:rsid w:val="00B9239B"/>
    <w:rsid w:val="00B947DD"/>
    <w:rsid w:val="00BA2F6C"/>
    <w:rsid w:val="00BC1AAF"/>
    <w:rsid w:val="00BD434D"/>
    <w:rsid w:val="00BE2DC7"/>
    <w:rsid w:val="00BF78AA"/>
    <w:rsid w:val="00C104CE"/>
    <w:rsid w:val="00C214BE"/>
    <w:rsid w:val="00C9567B"/>
    <w:rsid w:val="00CA3EAE"/>
    <w:rsid w:val="00CD1E41"/>
    <w:rsid w:val="00CE7E88"/>
    <w:rsid w:val="00CF55C6"/>
    <w:rsid w:val="00D04217"/>
    <w:rsid w:val="00D066F5"/>
    <w:rsid w:val="00D06CA0"/>
    <w:rsid w:val="00D12ABD"/>
    <w:rsid w:val="00D13A2B"/>
    <w:rsid w:val="00D153CA"/>
    <w:rsid w:val="00D50BB5"/>
    <w:rsid w:val="00DF4F42"/>
    <w:rsid w:val="00E505FB"/>
    <w:rsid w:val="00E50C7D"/>
    <w:rsid w:val="00E57AEE"/>
    <w:rsid w:val="00E621FD"/>
    <w:rsid w:val="00E713F5"/>
    <w:rsid w:val="00E86E17"/>
    <w:rsid w:val="00EA38AB"/>
    <w:rsid w:val="00EF16D2"/>
    <w:rsid w:val="00F00F3A"/>
    <w:rsid w:val="00F036C8"/>
    <w:rsid w:val="00F0564B"/>
    <w:rsid w:val="00F12E38"/>
    <w:rsid w:val="00F2718A"/>
    <w:rsid w:val="00F303D9"/>
    <w:rsid w:val="00F47AD4"/>
    <w:rsid w:val="00F6121D"/>
    <w:rsid w:val="00F61678"/>
    <w:rsid w:val="00F65A81"/>
    <w:rsid w:val="00F777DC"/>
    <w:rsid w:val="00F934D6"/>
    <w:rsid w:val="00FB2FCD"/>
    <w:rsid w:val="00FB481A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0E7E05F0"/>
  <w15:docId w15:val="{ECFB52AA-96E1-49C8-8708-668D415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B0"/>
  </w:style>
  <w:style w:type="paragraph" w:styleId="Footer">
    <w:name w:val="footer"/>
    <w:basedOn w:val="Normal"/>
    <w:link w:val="FooterChar"/>
    <w:uiPriority w:val="99"/>
    <w:unhideWhenUsed/>
    <w:rsid w:val="0092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B0"/>
  </w:style>
  <w:style w:type="table" w:styleId="TableGrid">
    <w:name w:val="Table Grid"/>
    <w:basedOn w:val="TableNormal"/>
    <w:uiPriority w:val="59"/>
    <w:rsid w:val="00A2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0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C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74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IntegrationSupportGroup@northwell.edu" TargetMode="External"/><Relationship Id="rId13" Type="http://schemas.openxmlformats.org/officeDocument/2006/relationships/hyperlink" Target="mailto:ProjectAccessITPRJLeads@northwell.edu" TargetMode="External"/><Relationship Id="rId18" Type="http://schemas.openxmlformats.org/officeDocument/2006/relationships/hyperlink" Target="mailto:IS-LISHELPDESK@northwell.edu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mailto:PKBusRevCycleTeam@northwell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jectAccess-RMTeam@northwell.edu" TargetMode="External"/><Relationship Id="rId17" Type="http://schemas.openxmlformats.org/officeDocument/2006/relationships/hyperlink" Target="mailto:SCMPharmacy@northwell.edu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IS-HSM_Charge@northwell.edu" TargetMode="External"/><Relationship Id="rId20" Type="http://schemas.openxmlformats.org/officeDocument/2006/relationships/hyperlink" Target="mailto:ISRadiology@northwell.ed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-ProjectAccessIntegration@northwell.edu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ISCardiacServices@northwell.edu" TargetMode="External"/><Relationship Id="rId23" Type="http://schemas.openxmlformats.org/officeDocument/2006/relationships/package" Target="embeddings/Microsoft_Excel_Worksheet1.xlsx"/><Relationship Id="rId28" Type="http://schemas.openxmlformats.org/officeDocument/2006/relationships/fontTable" Target="fontTable.xml"/><Relationship Id="rId10" Type="http://schemas.openxmlformats.org/officeDocument/2006/relationships/hyperlink" Target="mailto:Corp-SoarianCDMTesting@northwell.edu" TargetMode="External"/><Relationship Id="rId19" Type="http://schemas.openxmlformats.org/officeDocument/2006/relationships/hyperlink" Target="mailto:SCMOrders-Results@northwel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ProjectAccessAppIntegration@northwell.edu" TargetMode="External"/><Relationship Id="rId14" Type="http://schemas.openxmlformats.org/officeDocument/2006/relationships/hyperlink" Target="mailto:BackRevCycleTechnology@northwell.edu" TargetMode="External"/><Relationship Id="rId22" Type="http://schemas.openxmlformats.org/officeDocument/2006/relationships/image" Target="media/image1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251D-3BE0-4C33-97E6-8A1D38AA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NSLIJHS</Company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Donovan, Tracey</dc:creator>
  <cp:lastModifiedBy>Sanchez, Arielisa</cp:lastModifiedBy>
  <cp:revision>9</cp:revision>
  <cp:lastPrinted>2020-02-11T23:13:00Z</cp:lastPrinted>
  <dcterms:created xsi:type="dcterms:W3CDTF">2020-07-08T16:15:00Z</dcterms:created>
  <dcterms:modified xsi:type="dcterms:W3CDTF">2020-07-15T13:52:00Z</dcterms:modified>
</cp:coreProperties>
</file>