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40" w:rsidRPr="00E72640" w:rsidRDefault="00E72640" w:rsidP="00E7264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That's the perfect way to frame it. You've correctly identified that the "single ever-increasing index" (or "infinite data retention") is a major architectural concern.</w:t>
      </w:r>
    </w:p>
    <w:p w:rsidR="00E72640" w:rsidRPr="00E72640" w:rsidRDefault="00E72640" w:rsidP="00E7264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Here are the candidate architectures to address "Data Volume &amp; Staleness," presented from the anti-pattern to the best practice.</w:t>
      </w:r>
    </w:p>
    <w:p w:rsidR="00E72640" w:rsidRPr="00E72640" w:rsidRDefault="00416E75" w:rsidP="00E726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gray" stroked="f"/>
        </w:pict>
      </w:r>
    </w:p>
    <w:p w:rsidR="00E72640" w:rsidRPr="00E72640" w:rsidRDefault="00E72640" w:rsidP="00E7264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## </w:t>
      </w:r>
      <w:r w:rsidRPr="00E72640">
        <w:rPr>
          <w:rFonts w:ascii="Segoe UI Symbol" w:eastAsia="Times New Roman" w:hAnsi="Segoe UI Symbol" w:cs="Segoe UI Symbol"/>
          <w:b/>
          <w:bCs/>
          <w:color w:val="1B1C1D"/>
          <w:sz w:val="27"/>
          <w:szCs w:val="27"/>
          <w:lang w:eastAsia="en-IN"/>
        </w:rPr>
        <w:t>🏛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️ Candidate Architecture 1: The Monolithic Index</w:t>
      </w:r>
    </w:p>
    <w:p w:rsidR="00E72640" w:rsidRPr="00E72640" w:rsidRDefault="00E72640" w:rsidP="00E726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is the anti-pattern we discussed, where all data is written into a single, unbounded index (e.g.,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c2c-listings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).</w:t>
      </w:r>
    </w:p>
    <w:p w:rsidR="00E72640" w:rsidRPr="00E72640" w:rsidRDefault="00E72640" w:rsidP="00E7264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How it Works: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All documents (new and old) are written to one index.</w:t>
      </w:r>
    </w:p>
    <w:p w:rsidR="00E72640" w:rsidRPr="00E72640" w:rsidRDefault="00E72640" w:rsidP="00E7264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Volume: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index grows indefinitely. All hardware must be "hot" and "fast" to handle new writes, even though 99% of the data may be old and cold. This leads to massive shard sizes, slow searches, and high heap memory usage.</w:t>
      </w:r>
    </w:p>
    <w:p w:rsidR="00E72640" w:rsidRPr="00E72640" w:rsidRDefault="00E72640" w:rsidP="00E7264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Staleness: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Staleness is not managed. A 5-year-old listing is treated the same as a 5-minute-old listing. To remove stale data, you must run a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delete_by_query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(e.g.,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DELETE WHERE created_at &lt; '2-years-ago'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). This is an extremely slow, resource-intensive operation that "tombstones" documents, which hurts performance until the segments are merged.</w:t>
      </w:r>
    </w:p>
    <w:p w:rsidR="00E72640" w:rsidRPr="00E72640" w:rsidRDefault="00E72640" w:rsidP="00E7264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Verdict: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(Bad)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This architecture is simple to start but scales very poorly and becomes an operational nightmare. It doesn't </w:t>
      </w:r>
      <w:r w:rsidRPr="00E726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solve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data volume or staleness; it </w:t>
      </w:r>
      <w:r w:rsidRPr="00E726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creates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problems because of them.</w:t>
      </w:r>
    </w:p>
    <w:p w:rsidR="00E72640" w:rsidRPr="00E72640" w:rsidRDefault="00416E75" w:rsidP="00E726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gray" stroked="f"/>
        </w:pict>
      </w:r>
    </w:p>
    <w:p w:rsidR="00E72640" w:rsidRPr="00E72640" w:rsidRDefault="00E72640" w:rsidP="00E7264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## </w:t>
      </w:r>
      <w:r w:rsidRPr="00E72640">
        <w:rPr>
          <w:rFonts w:ascii="Segoe UI Symbol" w:eastAsia="Times New Roman" w:hAnsi="Segoe UI Symbol" w:cs="Segoe UI Symbol"/>
          <w:b/>
          <w:bCs/>
          <w:color w:val="1B1C1D"/>
          <w:sz w:val="27"/>
          <w:szCs w:val="27"/>
          <w:lang w:eastAsia="en-IN"/>
        </w:rPr>
        <w:t>🏛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️ Candidate Architecture 2: Periodic Batch Deletion</w:t>
      </w:r>
    </w:p>
    <w:p w:rsidR="00E72640" w:rsidRPr="00E72640" w:rsidRDefault="00E72640" w:rsidP="00E7264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This is a slight improvement over the monolithic approach but is still a brute-force method.</w:t>
      </w:r>
    </w:p>
    <w:p w:rsidR="00E72640" w:rsidRPr="00E72640" w:rsidRDefault="00E72640" w:rsidP="00E7264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How it Works: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You still use a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monolithic index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However, you run a scheduled job (e.g., a nightly script) that runs a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delete_by_query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purge stale data (e.g., delete all listings marked "sold" or older than 3 years).</w:t>
      </w:r>
    </w:p>
    <w:p w:rsidR="00E72640" w:rsidRPr="00E72640" w:rsidRDefault="00E72640" w:rsidP="00E7264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Volume: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index size is </w:t>
      </w:r>
      <w:r w:rsidRPr="00E726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curbed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but still perpetually large. It grows all day and then shrinks (painfully) at night. You suffer from the performance problems of a large, hot index.</w:t>
      </w:r>
    </w:p>
    <w:p w:rsidR="00E72640" w:rsidRPr="00E72640" w:rsidRDefault="00E72640" w:rsidP="00E7264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Staleness: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Staleness is actively (but inefficiently) managed. The deletion process itself puts a heavy load on the cluster, often impacting search performance for active users.</w:t>
      </w:r>
    </w:p>
    <w:p w:rsidR="00E72640" w:rsidRPr="00E72640" w:rsidRDefault="00E72640" w:rsidP="00E7264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Verdict: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(Better, but not good)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 This is a common but "hacky" solution. You're constantly fighting against the index instead of working with it.</w:t>
      </w:r>
    </w:p>
    <w:p w:rsidR="00E72640" w:rsidRPr="00E72640" w:rsidRDefault="00416E75" w:rsidP="00E726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7" style="width:0;height:1.5pt" o:hralign="center" o:hrstd="t" o:hrnoshade="t" o:hr="t" fillcolor="gray" stroked="f"/>
        </w:pict>
      </w:r>
    </w:p>
    <w:p w:rsidR="00E72640" w:rsidRPr="00E72640" w:rsidRDefault="00E72640" w:rsidP="00E7264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## </w:t>
      </w:r>
      <w:r w:rsidRPr="00E72640">
        <w:rPr>
          <w:rFonts w:ascii="Segoe UI Symbol" w:eastAsia="Times New Roman" w:hAnsi="Segoe UI Symbol" w:cs="Segoe UI Symbol"/>
          <w:b/>
          <w:bCs/>
          <w:color w:val="1B1C1D"/>
          <w:sz w:val="27"/>
          <w:szCs w:val="27"/>
          <w:lang w:eastAsia="en-IN"/>
        </w:rPr>
        <w:t>🏛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️ Candidate Architecture 3: Time-Based Indices with ILM</w:t>
      </w:r>
    </w:p>
    <w:p w:rsidR="00E72640" w:rsidRPr="00E72640" w:rsidRDefault="00E72640" w:rsidP="00E726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is the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recommended, modern solution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 Elasticsearch. It designs the architecture </w:t>
      </w:r>
      <w:r w:rsidRPr="00E726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around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concepts of volume and staleness.</w:t>
      </w:r>
    </w:p>
    <w:p w:rsidR="00E72640" w:rsidRPr="00E72640" w:rsidRDefault="00E72640" w:rsidP="00E7264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How it Works: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You break your data into smaller, time-based indices (e.g.,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listings-2025-10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listings-2025-11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). 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Your application writes to an alias (e.g., </w:t>
      </w:r>
      <w:r w:rsidRPr="00E72640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  <w:lang w:eastAsia="en-IN"/>
        </w:rPr>
        <w:t>listings-write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) that always points to the </w:t>
      </w:r>
      <w:r w:rsidRPr="00E726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newest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index.</w:t>
      </w:r>
      <w:r w:rsidRPr="00E72640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  <w:vertAlign w:val="superscript"/>
          <w:lang w:eastAsia="en-IN"/>
        </w:rPr>
        <w:t>1</w:t>
      </w:r>
    </w:p>
    <w:p w:rsidR="00E72640" w:rsidRPr="00E72640" w:rsidRDefault="00E72640" w:rsidP="00E7264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Volume: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This is solved perfectly. The "hot" index (the one receiving writes) is always small, fast, and manageable. The total data volume is spread across many smaller, historical indices.</w:t>
      </w:r>
    </w:p>
    <w:p w:rsidR="00E72640" w:rsidRPr="00E72640" w:rsidRDefault="00E72640" w:rsidP="00E7264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Staleness: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This is solved via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Index Lifecycle Management (ILM)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.</w:t>
      </w:r>
      <w:r w:rsidRPr="00E72640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You create a policy that automatically manages an index as it becomes "stale":</w:t>
      </w:r>
    </w:p>
    <w:p w:rsidR="00E72640" w:rsidRPr="00E72640" w:rsidRDefault="00E72640" w:rsidP="00E7264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Hot Phase: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Index is new (e.g., 0-30 days). It's on your fastest hardware, optimized for writes and reads.</w:t>
      </w:r>
    </w:p>
    <w:p w:rsidR="00E72640" w:rsidRPr="00E72640" w:rsidRDefault="00E72640" w:rsidP="00E7264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Warm Phase: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Index is older (e.g., 30-180 days). ILM makes it read-only, force-merges it for faster searching, and moves it to cheaper, slower hardware.</w:t>
      </w:r>
    </w:p>
    <w:p w:rsidR="00E72640" w:rsidRPr="00E72640" w:rsidRDefault="00E72640" w:rsidP="00E7264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Cold/Frozen Phase: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Index is very old (e.g., 180+ days). It's moved to the cheapest, slowest storage. "Frozen" indices take up almost no heap memory but are slower to query.</w:t>
      </w:r>
    </w:p>
    <w:p w:rsidR="00E72640" w:rsidRPr="00E72640" w:rsidRDefault="00E72640" w:rsidP="00E7264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Delete Phase: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Index is archival (e.g., &gt; 2 years). ILM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deletes the entire index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 This is an instant, metadata-only operation and has zero performance impact, unlike deleting millions of documents.</w:t>
      </w:r>
    </w:p>
    <w:p w:rsidR="00E72640" w:rsidRPr="00E72640" w:rsidRDefault="00E72640" w:rsidP="00E7264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Verdict: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E726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(Excellent)</w:t>
      </w:r>
      <w:r w:rsidRPr="00E72640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 This is the idiomatic Elasticsearch approach. It directly solves both volume (by sharding by time) and staleness (by managing the index lifecycle).</w:t>
      </w:r>
    </w:p>
    <w:p w:rsidR="00E72640" w:rsidRPr="00E72640" w:rsidRDefault="00E72640" w:rsidP="00E7264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E726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Summary of Candidates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2831"/>
        <w:gridCol w:w="4050"/>
      </w:tblGrid>
      <w:tr w:rsidR="00E72640" w:rsidRPr="00E72640" w:rsidTr="00E7264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N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N"/>
              </w:rPr>
              <w:t>How it Handles Data Volume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N"/>
              </w:rPr>
              <w:t>How it Handles Data Staleness</w:t>
            </w:r>
          </w:p>
        </w:tc>
      </w:tr>
      <w:tr w:rsidR="00E72640" w:rsidRPr="00E72640" w:rsidTr="00E7264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N"/>
              </w:rPr>
              <w:t>Monolithic 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Poorly. Leads to a single, slow, unmanageable index.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Poorly. Deleting stale data is a performance-killing operation.</w:t>
            </w:r>
          </w:p>
        </w:tc>
      </w:tr>
      <w:tr w:rsidR="00E72640" w:rsidRPr="00E72640" w:rsidTr="00E7264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N"/>
              </w:rPr>
              <w:t>Periodic Batch Deletion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Poorly. The active index is still monolithic and slow.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 xml:space="preserve">Inefficiently. Purges data with heavy </w:t>
            </w:r>
            <w:r w:rsidRPr="00E72640">
              <w:rPr>
                <w:rFonts w:ascii="Courier New" w:eastAsia="Times New Roman" w:hAnsi="Courier New" w:cs="Courier New"/>
                <w:color w:val="444746"/>
                <w:sz w:val="20"/>
                <w:szCs w:val="20"/>
                <w:bdr w:val="none" w:sz="0" w:space="0" w:color="auto" w:frame="1"/>
                <w:lang w:eastAsia="en-IN"/>
              </w:rPr>
              <w:t>delete_by_query</w:t>
            </w: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 xml:space="preserve"> jobs.</w:t>
            </w:r>
          </w:p>
        </w:tc>
      </w:tr>
      <w:tr w:rsidR="00E72640" w:rsidRPr="00E72640" w:rsidTr="00E7264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N"/>
              </w:rPr>
              <w:t>Time-Based Indices (ILM)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Excellently. Keeps the active index small and fast.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72640" w:rsidRPr="00E72640" w:rsidRDefault="00E72640" w:rsidP="00E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E726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Excellently. Automates moving/deleting entire stale indices (an instant, free operation).</w:t>
            </w:r>
          </w:p>
        </w:tc>
      </w:tr>
    </w:tbl>
    <w:p w:rsidR="00941F48" w:rsidRDefault="00416E75" w:rsidP="00E72640"/>
    <w:p w:rsidR="00841E04" w:rsidRDefault="00841E04" w:rsidP="00E72640"/>
    <w:p w:rsidR="00841E04" w:rsidRDefault="00841E04" w:rsidP="00E72640"/>
    <w:p w:rsidR="00841E04" w:rsidRDefault="00841E04" w:rsidP="00E72640"/>
    <w:p w:rsidR="00841E04" w:rsidRDefault="00841E04" w:rsidP="00E72640">
      <w:r>
        <w:t>Language- Specific Stemming &amp; basic Ranking</w:t>
      </w:r>
    </w:p>
    <w:p w:rsidR="00416E75" w:rsidRDefault="00416E75" w:rsidP="00E72640"/>
    <w:p w:rsidR="00416E75" w:rsidRDefault="00416E75" w:rsidP="00E72640"/>
    <w:p w:rsidR="00416E75" w:rsidRDefault="00416E75" w:rsidP="00E72640"/>
    <w:p w:rsidR="00416E75" w:rsidRDefault="00416E75" w:rsidP="00E72640"/>
    <w:p w:rsidR="00416E75" w:rsidRDefault="00416E75" w:rsidP="00E72640">
      <w:r>
        <w:t>Section 4</w:t>
      </w:r>
    </w:p>
    <w:p w:rsidR="00416E75" w:rsidRDefault="00416E75" w:rsidP="00416E75">
      <w:pPr>
        <w:pStyle w:val="Heading2"/>
      </w:pPr>
      <w:r>
        <w:t>Design Principles from CDN Dashboard Report (Section 4)</w:t>
      </w:r>
    </w:p>
    <w:p w:rsidR="00416E75" w:rsidRDefault="00416E75" w:rsidP="00416E75">
      <w:pPr>
        <w:pStyle w:val="NormalWeb"/>
      </w:pPr>
      <w:r>
        <w:rPr>
          <w:rStyle w:val="citation-451"/>
        </w:rPr>
        <w:t xml:space="preserve">Section 4 of the CDN Dashboard report emphasizes several key design principles and patterns, particularly in </w:t>
      </w:r>
      <w:r>
        <w:rPr>
          <w:rStyle w:val="citation-451"/>
          <w:rFonts w:ascii="Courier New" w:hAnsi="Courier New" w:cs="Courier New"/>
          <w:sz w:val="20"/>
          <w:szCs w:val="20"/>
        </w:rPr>
        <w:t>4.1 Design Overview</w:t>
      </w:r>
      <w:r>
        <w:rPr>
          <w:rStyle w:val="citation-451"/>
        </w:rPr>
        <w:t xml:space="preserve"> </w:t>
      </w:r>
      <w:r>
        <w:rPr>
          <w:rStyle w:val="citation-450"/>
        </w:rPr>
        <w:t xml:space="preserve">and </w:t>
      </w:r>
      <w:r>
        <w:rPr>
          <w:rStyle w:val="citation-450"/>
          <w:rFonts w:ascii="Courier New" w:hAnsi="Courier New" w:cs="Courier New"/>
          <w:sz w:val="20"/>
          <w:szCs w:val="20"/>
        </w:rPr>
        <w:t>4.3 Key Module Design Structure</w:t>
      </w:r>
      <w:r>
        <w:t>. Here are the most relevant ones for your C2C Marketplace: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Layered Architecture Style: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49"/>
          <w:rFonts w:eastAsiaTheme="majorEastAsia"/>
          <w:b/>
          <w:bCs/>
        </w:rPr>
        <w:t>Concept:</w:t>
      </w:r>
      <w:r>
        <w:rPr>
          <w:rStyle w:val="citation-449"/>
          <w:rFonts w:eastAsiaTheme="majorEastAsia"/>
        </w:rPr>
        <w:t xml:space="preserve"> The system is organized into distinct hierarchical layers (e.g., Presentation, Control &amp; Coordination, Domain Logic, Infrastructure) with dependencies flowing in one direction (higher layers depend on lower layers)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48"/>
          <w:b/>
          <w:bCs/>
        </w:rPr>
        <w:t>Benefit:</w:t>
      </w:r>
      <w:r>
        <w:rPr>
          <w:rStyle w:val="citation-448"/>
        </w:rPr>
        <w:t xml:space="preserve"> Clearly separates concerns, improves modifiability (changes in one layer have limited impact on others), allows for parallel development, and enhances reusability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47"/>
          <w:b/>
          <w:bCs/>
        </w:rPr>
        <w:t>Your Application:</w:t>
      </w:r>
      <w:r>
        <w:rPr>
          <w:rStyle w:val="citation-447"/>
        </w:rPr>
        <w:t xml:space="preserve"> You can adopt a similar 4-layer structure (Presentation, Control, Logic, Infrastructure) as shown in your Module View (Figure: Module View for C2C MarketPlace)</w:t>
      </w:r>
      <w:r>
        <w:t>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Single Responsibility Principle (SRP):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46"/>
          <w:b/>
          <w:bCs/>
        </w:rPr>
        <w:t>Concept:</w:t>
      </w:r>
      <w:r>
        <w:rPr>
          <w:rStyle w:val="citation-446"/>
        </w:rPr>
        <w:t xml:space="preserve"> Each module or component should have responsibility over a single part of the functionality, and that responsibility should be entirely encapsulated by the component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Benefit:</w:t>
      </w:r>
      <w:r>
        <w:t xml:space="preserve"> Makes modules easier to understand, maintain, and test. Reduces coupling between components. </w:t>
      </w:r>
      <w:r>
        <w:rPr>
          <w:rStyle w:val="citation-445"/>
        </w:rPr>
        <w:t xml:space="preserve">The CDN report explicitly mentions separating collection flow stages (Aggregator, Executor, Merger) based on SRP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Your Application:</w:t>
      </w:r>
      <w:r>
        <w:t xml:space="preserve"> Apply this when defining your microservices (e.g., Listing Service handles listings, Search Orchestrator handles search flow, Moderation Service handles moderation). Ensure each service has a well-defined, focused responsibility.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Dependency Inversion Principle (DIP):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Concept:</w:t>
      </w:r>
      <w:r>
        <w:t xml:space="preserve"> High-level modules should not depend on low-level modules. Both should depend on abstractions (e.g., interfaces). </w:t>
      </w:r>
      <w:r>
        <w:rPr>
          <w:rStyle w:val="citation-444"/>
        </w:rPr>
        <w:t>Abstractions should not depend on details; details should depend on abstractions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Benefit:</w:t>
      </w:r>
      <w:r>
        <w:t xml:space="preserve"> Decouples components, making the system more flexible and easier to modify or extend. </w:t>
      </w:r>
      <w:r>
        <w:rPr>
          <w:rStyle w:val="citation-443"/>
        </w:rPr>
        <w:t>For instance, the CDN report uses DIP to inject vendor-specific adapters or detection policies via interfaces, isolating the core logic from external changes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Your Application:</w:t>
      </w:r>
      <w:r>
        <w:t xml:space="preserve"> Use interfaces for interacting with external systems (LLM, Notification Provider), different database types, or potentially different implementations of core logic (like recommendation strategies).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Open/Closed Principle (OCP):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42"/>
          <w:b/>
          <w:bCs/>
        </w:rPr>
        <w:t>Concept:</w:t>
      </w:r>
      <w:r>
        <w:rPr>
          <w:rStyle w:val="citation-442"/>
        </w:rPr>
        <w:t xml:space="preserve"> Software entities (classes, modules, functions, etc.) should be open for extension but closed for modification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Benefit:</w:t>
      </w:r>
      <w:r>
        <w:t xml:space="preserve"> Allows adding new functionality (e.g., supporting a new CDN vendor, adding a new detection rule) without changing existing, tested code, reducing risk and improving maintainability. </w:t>
      </w:r>
      <w:r>
        <w:rPr>
          <w:rStyle w:val="citation-441"/>
        </w:rPr>
        <w:t xml:space="preserve">The CDN report applies this via patterns like Strategy and Factory Method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40"/>
          <w:b/>
          <w:bCs/>
        </w:rPr>
        <w:lastRenderedPageBreak/>
        <w:t>Your Application:</w:t>
      </w:r>
      <w:r>
        <w:rPr>
          <w:rStyle w:val="citation-440"/>
        </w:rPr>
        <w:t xml:space="preserve"> Design services like Recommendation or Moderation using strategy patterns (</w:t>
      </w:r>
      <w:r>
        <w:rPr>
          <w:rStyle w:val="citation-440"/>
          <w:rFonts w:ascii="Courier New" w:hAnsi="Courier New" w:cs="Courier New"/>
          <w:sz w:val="20"/>
          <w:szCs w:val="20"/>
        </w:rPr>
        <w:t>CA-37</w:t>
      </w:r>
      <w:r>
        <w:rPr>
          <w:rStyle w:val="citation-440"/>
        </w:rPr>
        <w:t xml:space="preserve">) </w:t>
      </w:r>
      <w:r>
        <w:t>or factories so new algorithms/rules can be added by implementing new strategy classes/configurations rather than modifying the core service logic.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Adapter Pattern: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Concept:</w:t>
      </w:r>
      <w:r>
        <w:t xml:space="preserve"> Converts the interface of a class into another interface clients expect. </w:t>
      </w:r>
      <w:r>
        <w:rPr>
          <w:rStyle w:val="citation-439"/>
        </w:rPr>
        <w:t>Adapter lets classes work together that couldn't otherwise because of incompatible interfaces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38"/>
          <w:b/>
          <w:bCs/>
        </w:rPr>
        <w:t>Benefit:</w:t>
      </w:r>
      <w:r>
        <w:rPr>
          <w:rStyle w:val="citation-438"/>
        </w:rPr>
        <w:t xml:space="preserve"> Used extensively in the CDN report to abstract differences between external CDN vendor APIs (</w:t>
      </w:r>
      <w:r>
        <w:rPr>
          <w:rStyle w:val="citation-438"/>
          <w:rFonts w:ascii="Courier New" w:hAnsi="Courier New" w:cs="Courier New"/>
          <w:sz w:val="20"/>
          <w:szCs w:val="20"/>
        </w:rPr>
        <w:t>CA-13</w:t>
      </w:r>
      <w:r>
        <w:rPr>
          <w:rStyle w:val="citation-438"/>
        </w:rPr>
        <w:t xml:space="preserve">) </w:t>
      </w:r>
      <w:r>
        <w:rPr>
          <w:rStyle w:val="citation-437"/>
        </w:rPr>
        <w:t>, allowing the core logic (MetricExecutor) to interact with them uniformly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Your Application:</w:t>
      </w:r>
      <w:r>
        <w:t xml:space="preserve"> Useful for interacting with potentially varied external systems (different notification providers, LLMs) or abstracting different database implementations if needed.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Strategy Pattern: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Concept:</w:t>
      </w:r>
      <w:r>
        <w:t xml:space="preserve"> Defines a family of algorithms, encapsulates each one, and makes them interchangeable. </w:t>
      </w:r>
      <w:r>
        <w:rPr>
          <w:rStyle w:val="citation-436"/>
        </w:rPr>
        <w:t>Strategy lets the algorithm vary independently from clients that use it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35"/>
          <w:b/>
          <w:bCs/>
        </w:rPr>
        <w:t>Benefit:</w:t>
      </w:r>
      <w:r>
        <w:rPr>
          <w:rStyle w:val="citation-435"/>
        </w:rPr>
        <w:t xml:space="preserve"> Allows decoupling of specific logic (like metric calculation or detection rules) from the component that uses it (the Analyzer in the CDN report) </w:t>
      </w:r>
      <w:r>
        <w:t>. Makes it easy to add or change algorithms/rules (</w:t>
      </w:r>
      <w:r>
        <w:rPr>
          <w:rStyle w:val="HTMLCode"/>
        </w:rPr>
        <w:t>CA-37</w:t>
      </w:r>
      <w:r>
        <w:t xml:space="preserve">, </w:t>
      </w:r>
      <w:r>
        <w:rPr>
          <w:rStyle w:val="HTMLCode"/>
        </w:rPr>
        <w:t>CA-41</w:t>
      </w:r>
      <w:r>
        <w:t>).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Your Application:</w:t>
      </w:r>
      <w:r>
        <w:t xml:space="preserve"> Ideal for Recommendation algorithms (</w:t>
      </w:r>
      <w:r>
        <w:rPr>
          <w:rStyle w:val="HTMLCode"/>
        </w:rPr>
        <w:t>QA_06</w:t>
      </w:r>
      <w:r>
        <w:t>), potentially Moderation rules, or Ranking logic.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Factory Method Pattern: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Concept:</w:t>
      </w:r>
      <w:r>
        <w:t xml:space="preserve"> Defines an interface for creating an object but lets subclasses decide which class to instantiate. </w:t>
      </w:r>
      <w:r>
        <w:rPr>
          <w:rStyle w:val="citation-434"/>
        </w:rPr>
        <w:t xml:space="preserve">Factory Method lets a class defer instantiation to subclasses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33"/>
          <w:b/>
          <w:bCs/>
        </w:rPr>
        <w:t>Benefit:</w:t>
      </w:r>
      <w:r>
        <w:rPr>
          <w:rStyle w:val="citation-433"/>
        </w:rPr>
        <w:t xml:space="preserve"> Used in the CDN report to decouple the creation of specific Analyzer or Adapter instances from the component that uses them (Dispatcher/Executor), adhering to OCP (</w:t>
      </w:r>
      <w:r>
        <w:rPr>
          <w:rStyle w:val="citation-433"/>
          <w:rFonts w:ascii="Courier New" w:hAnsi="Courier New" w:cs="Courier New"/>
          <w:sz w:val="20"/>
          <w:szCs w:val="20"/>
        </w:rPr>
        <w:t>CA-37</w:t>
      </w:r>
      <w:r>
        <w:rPr>
          <w:rStyle w:val="citation-433"/>
        </w:rPr>
        <w:t xml:space="preserve">, </w:t>
      </w:r>
      <w:r>
        <w:rPr>
          <w:rStyle w:val="citation-433"/>
          <w:rFonts w:ascii="Courier New" w:hAnsi="Courier New" w:cs="Courier New"/>
          <w:sz w:val="20"/>
          <w:szCs w:val="20"/>
        </w:rPr>
        <w:t>CA-14</w:t>
      </w:r>
      <w:r>
        <w:rPr>
          <w:rStyle w:val="citation-433"/>
        </w:rPr>
        <w:t xml:space="preserve">)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Your Application:</w:t>
      </w:r>
      <w:r>
        <w:t xml:space="preserve"> Could be useful if you have multiple implementations for certain interfaces (e.g., different types of Recommendation Strategies, different Moderation engines) that need to be created based on configuration.</w:t>
      </w:r>
    </w:p>
    <w:p w:rsidR="00416E75" w:rsidRDefault="00416E75" w:rsidP="00416E75">
      <w:pPr>
        <w:pStyle w:val="NormalWeb"/>
        <w:numPr>
          <w:ilvl w:val="0"/>
          <w:numId w:val="4"/>
        </w:numPr>
      </w:pPr>
      <w:r>
        <w:rPr>
          <w:b/>
          <w:bCs/>
        </w:rPr>
        <w:t>Template Method Pattern: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rStyle w:val="citation-432"/>
          <w:b/>
          <w:bCs/>
        </w:rPr>
        <w:t>Concept:</w:t>
      </w:r>
      <w:r>
        <w:rPr>
          <w:rStyle w:val="citation-432"/>
        </w:rPr>
        <w:t xml:space="preserve"> Defines the skeleton of an algorithm in an operation, deferring some steps to subclasses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Benefit:</w:t>
      </w:r>
      <w:r>
        <w:t xml:space="preserve"> Ensures a consistent workflow structure while allowing specific steps to be customized. </w:t>
      </w:r>
      <w:r>
        <w:rPr>
          <w:rStyle w:val="citation-431"/>
        </w:rPr>
        <w:t>Used in the CDN report for the common Analyzer flow (</w:t>
      </w:r>
      <w:r>
        <w:rPr>
          <w:rStyle w:val="citation-431"/>
          <w:rFonts w:ascii="Courier New" w:hAnsi="Courier New" w:cs="Courier New"/>
          <w:sz w:val="20"/>
          <w:szCs w:val="20"/>
        </w:rPr>
        <w:t>CA-19</w:t>
      </w:r>
      <w:r>
        <w:rPr>
          <w:rStyle w:val="citation-431"/>
        </w:rPr>
        <w:t xml:space="preserve">) </w:t>
      </w:r>
      <w:r>
        <w:t>.</w:t>
      </w:r>
    </w:p>
    <w:p w:rsidR="00416E75" w:rsidRDefault="00416E75" w:rsidP="00416E75">
      <w:pPr>
        <w:pStyle w:val="NormalWeb"/>
        <w:numPr>
          <w:ilvl w:val="1"/>
          <w:numId w:val="4"/>
        </w:numPr>
      </w:pPr>
      <w:r>
        <w:rPr>
          <w:b/>
          <w:bCs/>
        </w:rPr>
        <w:t>Your Application:</w:t>
      </w:r>
      <w:r>
        <w:t xml:space="preserve"> Could be applicable if you have multiple components that follow a similar high-level process but differ in specific implementation details (e.g., different types of background processing jobs).</w:t>
      </w:r>
    </w:p>
    <w:p w:rsidR="00416E75" w:rsidRPr="00E72640" w:rsidRDefault="00416E75" w:rsidP="00E72640">
      <w:bookmarkStart w:id="0" w:name="_GoBack"/>
      <w:bookmarkEnd w:id="0"/>
    </w:p>
    <w:sectPr w:rsidR="00416E75" w:rsidRPr="00E7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5FF9"/>
    <w:multiLevelType w:val="multilevel"/>
    <w:tmpl w:val="30A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1E90"/>
    <w:multiLevelType w:val="multilevel"/>
    <w:tmpl w:val="785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12C71"/>
    <w:multiLevelType w:val="multilevel"/>
    <w:tmpl w:val="681C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84567"/>
    <w:multiLevelType w:val="multilevel"/>
    <w:tmpl w:val="919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40"/>
    <w:rsid w:val="00123056"/>
    <w:rsid w:val="00416E75"/>
    <w:rsid w:val="00841E04"/>
    <w:rsid w:val="00CF3833"/>
    <w:rsid w:val="00E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4058"/>
  <w15:chartTrackingRefBased/>
  <w15:docId w15:val="{C478F578-04B9-4C4E-A8E1-8F539B60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6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2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640"/>
    <w:rPr>
      <w:rFonts w:ascii="Courier New" w:eastAsia="Times New Roman" w:hAnsi="Courier New" w:cs="Courier New"/>
      <w:sz w:val="20"/>
      <w:szCs w:val="20"/>
    </w:rPr>
  </w:style>
  <w:style w:type="character" w:customStyle="1" w:styleId="citation-7">
    <w:name w:val="citation-7"/>
    <w:basedOn w:val="DefaultParagraphFont"/>
    <w:rsid w:val="00E72640"/>
  </w:style>
  <w:style w:type="character" w:customStyle="1" w:styleId="citation-6">
    <w:name w:val="citation-6"/>
    <w:basedOn w:val="DefaultParagraphFont"/>
    <w:rsid w:val="00E72640"/>
  </w:style>
  <w:style w:type="character" w:styleId="Strong">
    <w:name w:val="Strong"/>
    <w:basedOn w:val="DefaultParagraphFont"/>
    <w:uiPriority w:val="22"/>
    <w:qFormat/>
    <w:rsid w:val="00E726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itation-451">
    <w:name w:val="citation-451"/>
    <w:basedOn w:val="DefaultParagraphFont"/>
    <w:rsid w:val="00416E75"/>
  </w:style>
  <w:style w:type="character" w:customStyle="1" w:styleId="citation-450">
    <w:name w:val="citation-450"/>
    <w:basedOn w:val="DefaultParagraphFont"/>
    <w:rsid w:val="00416E75"/>
  </w:style>
  <w:style w:type="character" w:customStyle="1" w:styleId="citation-449">
    <w:name w:val="citation-449"/>
    <w:basedOn w:val="DefaultParagraphFont"/>
    <w:rsid w:val="00416E75"/>
  </w:style>
  <w:style w:type="character" w:customStyle="1" w:styleId="citation-448">
    <w:name w:val="citation-448"/>
    <w:basedOn w:val="DefaultParagraphFont"/>
    <w:rsid w:val="00416E75"/>
  </w:style>
  <w:style w:type="character" w:customStyle="1" w:styleId="citation-447">
    <w:name w:val="citation-447"/>
    <w:basedOn w:val="DefaultParagraphFont"/>
    <w:rsid w:val="00416E75"/>
  </w:style>
  <w:style w:type="character" w:customStyle="1" w:styleId="citation-446">
    <w:name w:val="citation-446"/>
    <w:basedOn w:val="DefaultParagraphFont"/>
    <w:rsid w:val="00416E75"/>
  </w:style>
  <w:style w:type="character" w:customStyle="1" w:styleId="citation-445">
    <w:name w:val="citation-445"/>
    <w:basedOn w:val="DefaultParagraphFont"/>
    <w:rsid w:val="00416E75"/>
  </w:style>
  <w:style w:type="character" w:customStyle="1" w:styleId="citation-444">
    <w:name w:val="citation-444"/>
    <w:basedOn w:val="DefaultParagraphFont"/>
    <w:rsid w:val="00416E75"/>
  </w:style>
  <w:style w:type="character" w:customStyle="1" w:styleId="citation-443">
    <w:name w:val="citation-443"/>
    <w:basedOn w:val="DefaultParagraphFont"/>
    <w:rsid w:val="00416E75"/>
  </w:style>
  <w:style w:type="character" w:customStyle="1" w:styleId="citation-442">
    <w:name w:val="citation-442"/>
    <w:basedOn w:val="DefaultParagraphFont"/>
    <w:rsid w:val="00416E75"/>
  </w:style>
  <w:style w:type="character" w:customStyle="1" w:styleId="citation-441">
    <w:name w:val="citation-441"/>
    <w:basedOn w:val="DefaultParagraphFont"/>
    <w:rsid w:val="00416E75"/>
  </w:style>
  <w:style w:type="character" w:customStyle="1" w:styleId="citation-440">
    <w:name w:val="citation-440"/>
    <w:basedOn w:val="DefaultParagraphFont"/>
    <w:rsid w:val="00416E75"/>
  </w:style>
  <w:style w:type="character" w:customStyle="1" w:styleId="citation-439">
    <w:name w:val="citation-439"/>
    <w:basedOn w:val="DefaultParagraphFont"/>
    <w:rsid w:val="00416E75"/>
  </w:style>
  <w:style w:type="character" w:customStyle="1" w:styleId="citation-438">
    <w:name w:val="citation-438"/>
    <w:basedOn w:val="DefaultParagraphFont"/>
    <w:rsid w:val="00416E75"/>
  </w:style>
  <w:style w:type="character" w:customStyle="1" w:styleId="citation-437">
    <w:name w:val="citation-437"/>
    <w:basedOn w:val="DefaultParagraphFont"/>
    <w:rsid w:val="00416E75"/>
  </w:style>
  <w:style w:type="character" w:customStyle="1" w:styleId="citation-436">
    <w:name w:val="citation-436"/>
    <w:basedOn w:val="DefaultParagraphFont"/>
    <w:rsid w:val="00416E75"/>
  </w:style>
  <w:style w:type="character" w:customStyle="1" w:styleId="citation-435">
    <w:name w:val="citation-435"/>
    <w:basedOn w:val="DefaultParagraphFont"/>
    <w:rsid w:val="00416E75"/>
  </w:style>
  <w:style w:type="character" w:customStyle="1" w:styleId="citation-434">
    <w:name w:val="citation-434"/>
    <w:basedOn w:val="DefaultParagraphFont"/>
    <w:rsid w:val="00416E75"/>
  </w:style>
  <w:style w:type="character" w:customStyle="1" w:styleId="citation-433">
    <w:name w:val="citation-433"/>
    <w:basedOn w:val="DefaultParagraphFont"/>
    <w:rsid w:val="00416E75"/>
  </w:style>
  <w:style w:type="character" w:customStyle="1" w:styleId="citation-432">
    <w:name w:val="citation-432"/>
    <w:basedOn w:val="DefaultParagraphFont"/>
    <w:rsid w:val="00416E75"/>
  </w:style>
  <w:style w:type="character" w:customStyle="1" w:styleId="citation-431">
    <w:name w:val="citation-431"/>
    <w:basedOn w:val="DefaultParagraphFont"/>
    <w:rsid w:val="0041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2025-10-28T18:07:00Z</dcterms:created>
  <dcterms:modified xsi:type="dcterms:W3CDTF">2025-10-29T05:49:00Z</dcterms:modified>
</cp:coreProperties>
</file>