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0"/>
          <w:szCs w:val="40"/>
        </w:rPr>
        <w:t xml:space="preserve">AgroNex-Pi: Design and Implementation of an Autonomous Smart Agricultural Robot with Edge-AI Plant Disease Detection, GPS Navigation, and Cloud Telemetry</w:t>
      </w:r>
    </w:p>
    <w:p>
      <w:pPr>
        <w:spacing w:after="40"/>
        <w:jc w:val="center"/>
      </w:pPr>
      <w:r>
        <w:rPr>
          <w:rFonts w:ascii="Times New Roman" w:cs="Times New Roman" w:eastAsia="Times New Roman" w:hAnsi="Times New Roman"/>
          <w:sz w:val="22"/>
          <w:szCs w:val="22"/>
        </w:rPr>
        <w:t xml:space="preserve">Nikhil [Surname], [Co-Author 1], [Co-Author 2], [Co-Author 3]</w:t>
      </w:r>
    </w:p>
    <w:p>
      <w:pPr>
        <w:spacing w:after="0"/>
        <w:jc w:val="center"/>
      </w:pPr>
      <w:r>
        <w:rPr>
          <w:rFonts w:ascii="Times New Roman" w:cs="Times New Roman" w:eastAsia="Times New Roman" w:hAnsi="Times New Roman"/>
          <w:i/>
          <w:iCs/>
          <w:sz w:val="18"/>
          <w:szCs w:val="18"/>
        </w:rPr>
        <w:t xml:space="preserve">Corresponding Author: Nikhil [Surname] (e-mail: [author@institute.edu])</w:t>
      </w:r>
    </w:p>
    <w:p>
      <w:pPr>
        <w:spacing w:after="0"/>
        <w:jc w:val="center"/>
      </w:pPr>
      <w:r>
        <w:rPr>
          <w:rFonts w:ascii="Times New Roman" w:cs="Times New Roman" w:eastAsia="Times New Roman" w:hAnsi="Times New Roman"/>
          <w:i/>
          <w:iCs/>
          <w:sz w:val="18"/>
          <w:szCs w:val="18"/>
        </w:rPr>
        <w:t xml:space="preserve">Department of [Electronics / Computer Engineering]</w:t>
      </w:r>
    </w:p>
    <w:p>
      <w:pPr>
        <w:spacing w:after="160"/>
        <w:jc w:val="center"/>
      </w:pPr>
      <w:r>
        <w:rPr>
          <w:rFonts w:ascii="Times New Roman" w:cs="Times New Roman" w:eastAsia="Times New Roman" w:hAnsi="Times New Roman"/>
          <w:i/>
          <w:iCs/>
          <w:sz w:val="18"/>
          <w:szCs w:val="18"/>
        </w:rPr>
        <w:t xml:space="preserve">[Institute Name], [City, State, Country]</w:t>
      </w:r>
    </w:p>
    <w:p>
      <w:pPr>
        <w:sectPr>
          <w:pgSz w:w="12240" w:h="15840" w:orient="portrait"/>
          <w:pgMar w:top="1080" w:right="1080" w:bottom="1080" w:left="1080" w:header="708" w:footer="708" w:gutter="0"/>
          <w:pgNumType/>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Small-scale farms and home gardens lack the labor and expertise to water, mow, and inspect crops on a regular schedule, while plant diseases continue to destroy a significant share of global yield. This paper presents AgroNex-Pi, a low-cost autonomous rover built on the Raspberry Pi 4 that combines five subsystems on one chassis: hysteresis-controlled soil-moisture irrigation, scheduled grass trimming, GPS and compass waypoint navigation, edge-AI plant disease detection using a TensorFlow Lite MobileNetV2 classifier, and live cloud telemetry through a serverless AWS stack. The disease pipeline uses a switchable dual-model design (a five-class custom Tulsi model and an eight-class PlantVillage model) and suppresses false alarms through an image-quality gate, a green-pixel check, a 70% confidence threshold, and 3×3 segment majority voting. A multi-threaded Python supervisor built around a finite state machine (FSM) coordinates all tasks, and hardware interlocks prevent the pump, cutter, and drive motors from drawing current at the same time. Experimental results show [INSERT RESULTS: classification accuracy, irrigation response, navigation error, inference latency], indicating that the platform is suitable for small farms, gardens, and nurseries.</w:t>
      </w:r>
    </w:p>
    <w:p>
      <w:pPr>
        <w:spacing w:after="10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Agricultural robot; edge AI; TensorFlow Lite; MobileNetV2; plant disease detection; Raspberry Pi; IoT; GPS navigation; smart irrigation; finite state machine; AWS.</w:t>
      </w:r>
    </w:p>
    <w:p>
      <w:pPr>
        <w:pStyle w:val="Heading1"/>
        <w:keepNext/>
        <w:spacing w:after="60" w:before="140"/>
        <w:jc w:val="center"/>
      </w:pPr>
      <w:r>
        <w:rPr>
          <w:rFonts w:ascii="Times New Roman" w:cs="Times New Roman" w:eastAsia="Times New Roman" w:hAnsi="Times New Roman"/>
          <w:smallCaps w:val="false"/>
          <w:sz w:val="20"/>
          <w:szCs w:val="20"/>
        </w:rPr>
        <w:t xml:space="preserve">I. INTRODUCTION</w:t>
      </w:r>
    </w:p>
    <w:p>
      <w:pPr>
        <w:spacing w:after="60" w:before="0"/>
        <w:ind w:firstLine="200"/>
        <w:jc w:val="both"/>
      </w:pPr>
      <w:r>
        <w:rPr>
          <w:rFonts w:ascii="Times New Roman" w:cs="Times New Roman" w:eastAsia="Times New Roman" w:hAnsi="Times New Roman"/>
          <w:sz w:val="20"/>
          <w:szCs w:val="20"/>
        </w:rPr>
        <w:t xml:space="preserve">Agriculture still underpins the economies of many developing nations, yet it faces labor shortages, water scarcity, and fast-spreading plant disease. The Food and Agriculture Organization (FAO) estimates that plant pathogens cause crop losses of roughly 10–40% of global production [1]. Early detection is critical, but it normally requires an agronomist to walk the field regularly, which small-scale farmers cannot afford.</w:t>
      </w:r>
    </w:p>
    <w:p>
      <w:pPr>
        <w:spacing w:after="60" w:before="0"/>
        <w:ind w:firstLine="200"/>
        <w:jc w:val="both"/>
      </w:pPr>
      <w:r>
        <w:rPr>
          <w:rFonts w:ascii="Times New Roman" w:cs="Times New Roman" w:eastAsia="Times New Roman" w:hAnsi="Times New Roman"/>
          <w:sz w:val="20"/>
          <w:szCs w:val="20"/>
        </w:rPr>
        <w:t xml:space="preserve">Two developments make an affordable alternative possible. First, lightweight networks such as MobileNetV2 [2], together with the TensorFlow Lite runtime [7], allow neural-network inference on single-board computers like the Raspberry Pi 4 [8] within a watt-level power budget. Second, serverless cloud platforms allow remote monitoring without maintaining a dedicated server.</w:t>
      </w:r>
    </w:p>
    <w:p>
      <w:pPr>
        <w:spacing w:after="60" w:before="0"/>
        <w:ind w:firstLine="200"/>
        <w:jc w:val="both"/>
      </w:pPr>
      <w:r>
        <w:rPr>
          <w:rFonts w:ascii="Times New Roman" w:cs="Times New Roman" w:eastAsia="Times New Roman" w:hAnsi="Times New Roman"/>
          <w:sz w:val="20"/>
          <w:szCs w:val="20"/>
        </w:rPr>
        <w:t xml:space="preserve">This work presents AgroNex-Pi, an autonomous rover that integrates soil sensing, automated irrigation, grass trimming, GPS-guided navigation, and AI-based disease detection in one embedded platform. Tulsi (Holy Basil, </w:t>
      </w:r>
      <w:r>
        <w:rPr>
          <w:rFonts w:ascii="Times New Roman" w:cs="Times New Roman" w:eastAsia="Times New Roman" w:hAnsi="Times New Roman"/>
          <w:i/>
          <w:iCs/>
          <w:sz w:val="20"/>
          <w:szCs w:val="20"/>
        </w:rPr>
        <w:t xml:space="preserve">Ocimum tenuiflorum</w:t>
      </w:r>
      <w:r>
        <w:rPr>
          <w:rFonts w:ascii="Times New Roman" w:cs="Times New Roman" w:eastAsia="Times New Roman" w:hAnsi="Times New Roman"/>
          <w:sz w:val="20"/>
          <w:szCs w:val="20"/>
        </w:rPr>
        <w:t xml:space="preserve">), a plant of cultural and medicinal importance in South Asia, is the primary disease-detection target, and a second model covers broader PlantVillage crops [4].</w:t>
      </w:r>
    </w:p>
    <w:p>
      <w:pPr>
        <w:pStyle w:val="Heading2"/>
        <w:keepNext/>
        <w:spacing w:after="40" w:before="80"/>
      </w:pPr>
      <w:r>
        <w:rPr>
          <w:rFonts w:ascii="Times New Roman" w:cs="Times New Roman" w:eastAsia="Times New Roman" w:hAnsi="Times New Roman"/>
          <w:i/>
          <w:iCs/>
          <w:sz w:val="20"/>
          <w:szCs w:val="20"/>
        </w:rPr>
        <w:t xml:space="preserve">A. Contributions</w:t>
      </w:r>
    </w:p>
    <w:p>
      <w:pPr>
        <w:keepNext/>
        <w:spacing w:after="60" w:before="0"/>
        <w:jc w:val="both"/>
      </w:pPr>
      <w:r>
        <w:rPr>
          <w:rFonts w:ascii="Times New Roman" w:cs="Times New Roman" w:eastAsia="Times New Roman" w:hAnsi="Times New Roman"/>
          <w:sz w:val="20"/>
          <w:szCs w:val="20"/>
        </w:rPr>
        <w:t xml:space="preserve">The principal contributions of this work are:</w:t>
      </w:r>
    </w:p>
    <w:p>
      <w:pPr>
        <w:spacing w:after="30" w:before="0"/>
        <w:jc w:val="both"/>
      </w:pPr>
      <w:r>
        <w:rPr>
          <w:rFonts w:ascii="Times New Roman" w:cs="Times New Roman" w:eastAsia="Times New Roman" w:hAnsi="Times New Roman"/>
          <w:sz w:val="20"/>
          <w:szCs w:val="20"/>
        </w:rPr>
        <w:t xml:space="preserve">1) A fully integrated autonomous agricultural rover combining five subsystems on a single Raspberry Pi 4.</w:t>
      </w:r>
    </w:p>
    <w:p>
      <w:pPr>
        <w:spacing w:after="30" w:before="0"/>
        <w:jc w:val="both"/>
      </w:pPr>
      <w:r>
        <w:rPr>
          <w:rFonts w:ascii="Times New Roman" w:cs="Times New Roman" w:eastAsia="Times New Roman" w:hAnsi="Times New Roman"/>
          <w:sz w:val="20"/>
          <w:szCs w:val="20"/>
        </w:rPr>
        <w:t xml:space="preserve">2) A switchable dual-model TFLite architecture supporting a local plant (Tulsi) and broad crops (Tomato, Potato, Bell Pepper).</w:t>
      </w:r>
    </w:p>
    <w:p>
      <w:pPr>
        <w:spacing w:after="30" w:before="0"/>
        <w:jc w:val="both"/>
      </w:pPr>
      <w:r>
        <w:rPr>
          <w:rFonts w:ascii="Times New Roman" w:cs="Times New Roman" w:eastAsia="Times New Roman" w:hAnsi="Times New Roman"/>
          <w:sz w:val="20"/>
          <w:szCs w:val="20"/>
        </w:rPr>
        <w:t xml:space="preserve">3) A false-positive suppression chain: quality gate, green-pixel check, confidence gate, and 3×3 majority voting that requires more than 50% of segments to be diseased.</w:t>
      </w:r>
    </w:p>
    <w:p>
      <w:pPr>
        <w:spacing w:after="30" w:before="0"/>
        <w:jc w:val="both"/>
      </w:pPr>
      <w:r>
        <w:rPr>
          <w:rFonts w:ascii="Times New Roman" w:cs="Times New Roman" w:eastAsia="Times New Roman" w:hAnsi="Times New Roman"/>
          <w:sz w:val="20"/>
          <w:szCs w:val="20"/>
        </w:rPr>
        <w:t xml:space="preserve">4) A hardware interlock scheme that prevents simultaneous operation of the pump, cutter, and drive motors on the shared 12 V bus.</w:t>
      </w:r>
    </w:p>
    <w:p>
      <w:pPr>
        <w:spacing w:after="30" w:before="0"/>
        <w:jc w:val="both"/>
      </w:pPr>
      <w:r>
        <w:rPr>
          <w:rFonts w:ascii="Times New Roman" w:cs="Times New Roman" w:eastAsia="Times New Roman" w:hAnsi="Times New Roman"/>
          <w:sz w:val="20"/>
          <w:szCs w:val="20"/>
        </w:rPr>
        <w:t xml:space="preserve">5) A serverless AWS telemetry and command channel (API Gateway, Lambda, S3) for remote monitoring and control from any browser.</w:t>
      </w:r>
    </w:p>
    <w:p>
      <w:pPr>
        <w:pStyle w:val="Heading1"/>
        <w:keepNext/>
        <w:spacing w:after="60" w:before="140"/>
        <w:jc w:val="center"/>
      </w:pPr>
      <w:r>
        <w:rPr>
          <w:rFonts w:ascii="Times New Roman" w:cs="Times New Roman" w:eastAsia="Times New Roman" w:hAnsi="Times New Roman"/>
          <w:smallCaps w:val="false"/>
          <w:sz w:val="20"/>
          <w:szCs w:val="20"/>
        </w:rPr>
        <w:t xml:space="preserve">II. RELATED WORK</w:t>
      </w:r>
    </w:p>
    <w:p>
      <w:pPr>
        <w:spacing w:after="60" w:before="0"/>
        <w:ind w:firstLine="200"/>
        <w:jc w:val="both"/>
      </w:pPr>
      <w:r>
        <w:rPr>
          <w:rFonts w:ascii="Times New Roman" w:cs="Times New Roman" w:eastAsia="Times New Roman" w:hAnsi="Times New Roman"/>
          <w:sz w:val="20"/>
          <w:szCs w:val="20"/>
        </w:rPr>
        <w:t xml:space="preserve">Bac et al. [3] demonstrated robotic harvesting in greenhouses using visual servoing, but required structured environments with known plant geometry. Mohanty et al. [4] showed that deep CNNs trained on PlantVillage exceed 99% accuracy under laboratory conditions, although real-field accuracy is lower because of background clutter and lighting variation. Smartphone diagnosis apps such as Plantix and PlantSnap rely on cloud inference and therefore need connectivity for every prediction, whereas on-device inference removes that dependence. MobileNetV2 [2] uses inverted residuals and depthwise separable convolutions to reach accuracy competitive with much heavier networks at a fraction of the cost.</w:t>
      </w:r>
    </w:p>
    <w:p>
      <w:pPr>
        <w:spacing w:after="60" w:before="0"/>
        <w:ind w:firstLine="200"/>
        <w:jc w:val="both"/>
      </w:pPr>
      <w:r>
        <w:rPr>
          <w:rFonts w:ascii="Times New Roman" w:cs="Times New Roman" w:eastAsia="Times New Roman" w:hAnsi="Times New Roman"/>
          <w:sz w:val="20"/>
          <w:szCs w:val="20"/>
        </w:rPr>
        <w:t xml:space="preserve">IoT irrigation systems have been reported to save 30–40% of water compared with timer-based schedules [5], and GPS-guided agricultural robots have shown promise for field navigation [6]. These efforts are typically studied separately. Table I summarizes the gap that AgroNex-Pi addresses.</w:t>
      </w:r>
    </w:p>
    <w:p>
      <w:pPr>
        <w:keepNext/>
        <w:spacing w:after="0" w:before="8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z w:val="16"/>
          <w:szCs w:val="16"/>
        </w:rPr>
        <w:t xml:space="preserve">COMPARISON WITH RELATED WORK</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900"/>
        <w:gridCol w:w="1250"/>
        <w:gridCol w:w="1450"/>
        <w:gridCol w:w="1260"/>
      </w:tblGrid>
      <w:tr>
        <w:trPr>
          <w:cantSplit/>
          <w:tblHeader/>
        </w:trPr>
        <w:tc>
          <w:tcPr>
            <w:tcW w:type="dxa" w:w="90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Study</w:t>
            </w:r>
          </w:p>
        </w:tc>
        <w:tc>
          <w:tcPr>
            <w:tcW w:type="dxa" w:w="125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Focus</w:t>
            </w:r>
          </w:p>
        </w:tc>
        <w:tc>
          <w:tcPr>
            <w:tcW w:type="dxa" w:w="145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Limitation</w:t>
            </w:r>
          </w:p>
        </w:tc>
        <w:tc>
          <w:tcPr>
            <w:tcW w:type="dxa" w:w="126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AgroNex-Pi</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Bac [3]</w:t>
            </w:r>
          </w:p>
        </w:tc>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Harvesting robot</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Needs structured environment</w:t>
            </w:r>
          </w:p>
        </w:tc>
        <w:tc>
          <w:tcPr>
            <w:tcW w:type="dxa" w:w="12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Open garden / farm use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Mohanty [4]</w:t>
            </w:r>
          </w:p>
        </w:tc>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Leaf-disease CNN</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Lab-condition accuracy; no robot</w:t>
            </w:r>
          </w:p>
        </w:tc>
        <w:tc>
          <w:tcPr>
            <w:tcW w:type="dxa" w:w="12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On-device, field-oriented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Khanna [5]</w:t>
            </w:r>
          </w:p>
        </w:tc>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IoT irrigation</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Irrigation only</w:t>
            </w:r>
          </w:p>
        </w:tc>
        <w:tc>
          <w:tcPr>
            <w:tcW w:type="dxa" w:w="12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Adds mowing, AI, navigation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Emmi [6]</w:t>
            </w:r>
          </w:p>
        </w:tc>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GPS agri-robots</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No integrated disease AI</w:t>
            </w:r>
          </w:p>
        </w:tc>
        <w:tc>
          <w:tcPr>
            <w:tcW w:type="dxa" w:w="12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AI + GPS on one board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Plantix-type apps</w:t>
            </w:r>
          </w:p>
        </w:tc>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Cloud diagnosis</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Needs internet per prediction</w:t>
            </w:r>
          </w:p>
        </w:tc>
        <w:tc>
          <w:tcPr>
            <w:tcW w:type="dxa" w:w="12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Offline edge inference</w:t>
            </w:r>
          </w:p>
        </w:tc>
      </w:tr>
    </w:tbl>
    <w:p>
      <w:pPr>
        <w:spacing w:after="80"/>
      </w:pPr>
    </w:p>
    <w:p>
      <w:pPr>
        <w:pStyle w:val="Heading1"/>
        <w:keepNext/>
        <w:spacing w:after="60" w:before="140"/>
        <w:jc w:val="center"/>
      </w:pPr>
      <w:r>
        <w:rPr>
          <w:rFonts w:ascii="Times New Roman" w:cs="Times New Roman" w:eastAsia="Times New Roman" w:hAnsi="Times New Roman"/>
          <w:smallCaps w:val="false"/>
          <w:sz w:val="20"/>
          <w:szCs w:val="20"/>
        </w:rPr>
        <w:t xml:space="preserve">III. SYSTEM DESIGN AND ARCHITECTURE</w:t>
      </w:r>
    </w:p>
    <w:p>
      <w:pPr>
        <w:pStyle w:val="Heading2"/>
        <w:keepNext/>
        <w:spacing w:after="40" w:before="80"/>
      </w:pPr>
      <w:r>
        <w:rPr>
          <w:rFonts w:ascii="Times New Roman" w:cs="Times New Roman" w:eastAsia="Times New Roman" w:hAnsi="Times New Roman"/>
          <w:i/>
          <w:iCs/>
          <w:sz w:val="20"/>
          <w:szCs w:val="20"/>
        </w:rPr>
        <w:t xml:space="preserve">A. Hardware Platform</w:t>
      </w:r>
    </w:p>
    <w:p>
      <w:pPr>
        <w:spacing w:after="60" w:before="0"/>
        <w:ind w:firstLine="200"/>
        <w:jc w:val="both"/>
      </w:pPr>
      <w:r>
        <w:rPr>
          <w:rFonts w:ascii="Times New Roman" w:cs="Times New Roman" w:eastAsia="Times New Roman" w:hAnsi="Times New Roman"/>
          <w:sz w:val="20"/>
          <w:szCs w:val="20"/>
        </w:rPr>
        <w:t xml:space="preserve">The rover is built around a Raspberry Pi 4 Model B (4 GB, quad-core Cortex-A72 at 1.5 GHz). Analog sensors are digitized by a 16-bit ADS1115 I2C ADC, with a 10-bit MCP3008 SPI ADC as an optional fallback. Two BTS7960 43 A H-bridges drive four 12 V geared motors (left and right pairs in parallel) using 1 kHz software PWM. A 12 V 7 Ah battery powers the system, and an LM2596/XL4016 buck converter supplies 5 V to the Pi. Table II lists the main components.</w:t>
      </w:r>
    </w:p>
    <w:p>
      <w:pPr>
        <w:keepNext/>
        <w:spacing w:after="0" w:before="8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z w:val="16"/>
          <w:szCs w:val="16"/>
        </w:rPr>
        <w:t xml:space="preserve">HARDWARE COMPONENTS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360"/>
      </w:tblGrid>
      <w:tr>
        <w:trPr>
          <w:cantSplit/>
          <w:tblHeader/>
        </w:trPr>
        <w:tc>
          <w:tcPr>
            <w:tcW w:type="dxa" w:w="150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Component</w:t>
            </w:r>
          </w:p>
        </w:tc>
        <w:tc>
          <w:tcPr>
            <w:tcW w:type="dxa" w:w="200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Model / Specification</w:t>
            </w:r>
          </w:p>
        </w:tc>
        <w:tc>
          <w:tcPr>
            <w:tcW w:type="dxa" w:w="136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Purpose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SBC</w:t>
            </w:r>
          </w:p>
        </w:tc>
        <w:tc>
          <w:tcPr>
            <w:tcW w:type="dxa" w:w="2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Raspberry Pi 4B (4 GB)</w:t>
            </w:r>
          </w:p>
        </w:tc>
        <w:tc>
          <w:tcPr>
            <w:tcW w:type="dxa" w:w="13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Central processor</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ADC</w:t>
            </w:r>
          </w:p>
        </w:tc>
        <w:tc>
          <w:tcPr>
            <w:tcW w:type="dxa" w:w="2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ADS1115 (I2C); MCP3008 (SPI, opt.)</w:t>
            </w:r>
          </w:p>
        </w:tc>
        <w:tc>
          <w:tcPr>
            <w:tcW w:type="dxa" w:w="13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Analog sensing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Soil moisture</w:t>
            </w:r>
          </w:p>
        </w:tc>
        <w:tc>
          <w:tcPr>
            <w:tcW w:type="dxa" w:w="2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Capacitive v1.2 (3.3 V)</w:t>
            </w:r>
          </w:p>
        </w:tc>
        <w:tc>
          <w:tcPr>
            <w:tcW w:type="dxa" w:w="13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Moisture sensing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Water level</w:t>
            </w:r>
          </w:p>
        </w:tc>
        <w:tc>
          <w:tcPr>
            <w:tcW w:type="dxa" w:w="2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HW-038 analog</w:t>
            </w:r>
          </w:p>
        </w:tc>
        <w:tc>
          <w:tcPr>
            <w:tcW w:type="dxa" w:w="13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Reservoir level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Temp / humidity</w:t>
            </w:r>
          </w:p>
        </w:tc>
        <w:tc>
          <w:tcPr>
            <w:tcW w:type="dxa" w:w="2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DHT11 / DHT22</w:t>
            </w:r>
          </w:p>
        </w:tc>
        <w:tc>
          <w:tcPr>
            <w:tcW w:type="dxa" w:w="13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Ambient conditions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GPS</w:t>
            </w:r>
          </w:p>
        </w:tc>
        <w:tc>
          <w:tcPr>
            <w:tcW w:type="dxa" w:w="2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NEO-7M, UART 9600 baud</w:t>
            </w:r>
          </w:p>
        </w:tc>
        <w:tc>
          <w:tcPr>
            <w:tcW w:type="dxa" w:w="13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Positioning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Compass</w:t>
            </w:r>
          </w:p>
        </w:tc>
        <w:tc>
          <w:tcPr>
            <w:tcW w:type="dxa" w:w="2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HMC5883L, I2C</w:t>
            </w:r>
          </w:p>
        </w:tc>
        <w:tc>
          <w:tcPr>
            <w:tcW w:type="dxa" w:w="13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Heading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Camera</w:t>
            </w:r>
          </w:p>
        </w:tc>
        <w:tc>
          <w:tcPr>
            <w:tcW w:type="dxa" w:w="2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Pi Camera v2 / USB webcam</w:t>
            </w:r>
          </w:p>
        </w:tc>
        <w:tc>
          <w:tcPr>
            <w:tcW w:type="dxa" w:w="13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Leaf imaging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Motor driver</w:t>
            </w:r>
          </w:p>
        </w:tc>
        <w:tc>
          <w:tcPr>
            <w:tcW w:type="dxa" w:w="2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BTS7960 43 A ×2</w:t>
            </w:r>
          </w:p>
        </w:tc>
        <w:tc>
          <w:tcPr>
            <w:tcW w:type="dxa" w:w="13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Drive motors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Relay</w:t>
            </w:r>
          </w:p>
        </w:tc>
        <w:tc>
          <w:tcPr>
            <w:tcW w:type="dxa" w:w="2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2-ch 5 V, active LOW</w:t>
            </w:r>
          </w:p>
        </w:tc>
        <w:tc>
          <w:tcPr>
            <w:tcW w:type="dxa" w:w="13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Pump + cutter</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Actuators</w:t>
            </w:r>
          </w:p>
        </w:tc>
        <w:tc>
          <w:tcPr>
            <w:tcW w:type="dxa" w:w="2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Submersible pump; 12 V cutter motor</w:t>
            </w:r>
          </w:p>
        </w:tc>
        <w:tc>
          <w:tcPr>
            <w:tcW w:type="dxa" w:w="13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Irrigation, mowing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Power</w:t>
            </w:r>
          </w:p>
        </w:tc>
        <w:tc>
          <w:tcPr>
            <w:tcW w:type="dxa" w:w="2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12 V 7 Ah SLA / 3S Li-ion</w:t>
            </w:r>
          </w:p>
        </w:tc>
        <w:tc>
          <w:tcPr>
            <w:tcW w:type="dxa" w:w="13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Supply</w:t>
            </w:r>
          </w:p>
        </w:tc>
      </w:tr>
    </w:tbl>
    <w:p>
      <w:pPr>
        <w:spacing w:after="80"/>
      </w:pPr>
    </w:p>
    <w:p>
      <w:pPr>
        <w:keepNext/>
        <w:spacing w:after="0" w:before="6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cantSplit/>
          <w:trHeight w:val="2500" w:hRule="exact"/>
        </w:trPr>
        <w:tc>
          <w:tcPr>
            <w:tcW w:type="dxa" w:w="4860"/>
            <w:tcBorders>
              <w:top w:val="dashed" w:color="808080" w:sz="6"/>
              <w:left w:val="dashed" w:color="808080" w:sz="6"/>
              <w:bottom w:val="dashed" w:color="808080" w:sz="6"/>
              <w:right w:val="dashed" w:color="808080" w:sz="6"/>
            </w:tcBorders>
            <w:shd w:fill="F2F2F2" w:val="clear"/>
            <w:vAlign w:val="center"/>
          </w:tcPr>
          <w:p>
            <w:pPr>
              <w:jc w:val="center"/>
            </w:pPr>
            <w:r>
              <w:rPr>
                <w:rFonts w:ascii="Times New Roman" w:cs="Times New Roman" w:eastAsia="Times New Roman" w:hAnsi="Times New Roman"/>
                <w:b/>
                <w:bCs/>
                <w:color w:val="666666"/>
                <w:sz w:val="16"/>
                <w:szCs w:val="16"/>
              </w:rPr>
              <w:t xml:space="preserve">[ INSERT IMAGE HERE ]</w:t>
            </w:r>
          </w:p>
          <w:p>
            <w:pPr>
              <w:jc w:val="center"/>
            </w:pPr>
            <w:r>
              <w:rPr>
                <w:rFonts w:ascii="Times New Roman" w:cs="Times New Roman" w:eastAsia="Times New Roman" w:hAnsi="Times New Roman"/>
                <w:color w:val="666666"/>
                <w:sz w:val="16"/>
                <w:szCs w:val="16"/>
              </w:rPr>
              <w:t xml:space="preserve">Fig. 1 — AgroNex-Pi circuit / wiring diagram</w:t>
            </w:r>
          </w:p>
        </w:tc>
      </w:tr>
    </w:tbl>
    <w:p>
      <w:pPr>
        <w:spacing w:after="120" w:before="40"/>
        <w:jc w:val="center"/>
      </w:pPr>
      <w:r>
        <w:rPr>
          <w:rFonts w:ascii="Times New Roman" w:cs="Times New Roman" w:eastAsia="Times New Roman" w:hAnsi="Times New Roman"/>
          <w:sz w:val="16"/>
          <w:szCs w:val="16"/>
        </w:rPr>
        <w:t xml:space="preserve">Fig. 1. AgroNex-Pi hardware block and wiring diagram showing Raspberry Pi 4, sensors, relays, and motor drivers.</w:t>
      </w:r>
    </w:p>
    <w:p>
      <w:pPr>
        <w:pStyle w:val="Heading2"/>
        <w:keepNext/>
        <w:spacing w:after="40" w:before="80"/>
      </w:pPr>
      <w:r>
        <w:rPr>
          <w:rFonts w:ascii="Times New Roman" w:cs="Times New Roman" w:eastAsia="Times New Roman" w:hAnsi="Times New Roman"/>
          <w:i/>
          <w:iCs/>
          <w:sz w:val="20"/>
          <w:szCs w:val="20"/>
        </w:rPr>
        <w:t xml:space="preserve">B. GPIO Assignment and Wiring</w:t>
      </w:r>
    </w:p>
    <w:p>
      <w:pPr>
        <w:spacing w:after="60" w:before="0"/>
        <w:ind w:firstLine="200"/>
        <w:jc w:val="both"/>
      </w:pPr>
      <w:r>
        <w:rPr>
          <w:rFonts w:ascii="Times New Roman" w:cs="Times New Roman" w:eastAsia="Times New Roman" w:hAnsi="Times New Roman"/>
          <w:sz w:val="20"/>
          <w:szCs w:val="20"/>
        </w:rPr>
        <w:t xml:space="preserve">All pins use BCM numbering. The I2C bus (GPIO 2/3) carries the ADS1115 (0x48) and HMC5883L (0x1E); the GPS connects to /dev/serial0 (GPIO 15 RX). Table III gives the remaining assignments. All grounds (Pi, BTS7960 boards, and battery negative) share a common star-ground point; floating grounds cause erratic motor behavior and can damage GPIO pins.</w:t>
      </w:r>
    </w:p>
    <w:p>
      <w:pPr>
        <w:keepNext/>
        <w:spacing w:after="0" w:before="8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z w:val="16"/>
          <w:szCs w:val="16"/>
        </w:rPr>
        <w:t xml:space="preserve">GPIO PIN ASSIGNMENT (BCM)</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960"/>
      </w:tblGrid>
      <w:tr>
        <w:trPr>
          <w:cantSplit/>
          <w:tblHeader/>
        </w:trPr>
        <w:tc>
          <w:tcPr>
            <w:tcW w:type="dxa" w:w="90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GPIO</w:t>
            </w:r>
          </w:p>
        </w:tc>
        <w:tc>
          <w:tcPr>
            <w:tcW w:type="dxa" w:w="100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Direction</w:t>
            </w:r>
          </w:p>
        </w:tc>
        <w:tc>
          <w:tcPr>
            <w:tcW w:type="dxa" w:w="296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Function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Input</w:t>
            </w:r>
          </w:p>
        </w:tc>
        <w:tc>
          <w:tcPr>
            <w:tcW w:type="dxa" w:w="29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DHT data (10 kΩ pull-up to 3.3 V)</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17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Output</w:t>
            </w:r>
          </w:p>
        </w:tc>
        <w:tc>
          <w:tcPr>
            <w:tcW w:type="dxa" w:w="29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Relay CH1 – pump (active LOW)</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27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Output</w:t>
            </w:r>
          </w:p>
        </w:tc>
        <w:tc>
          <w:tcPr>
            <w:tcW w:type="dxa" w:w="29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Relay CH2 – cutter (active LOW)</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22 / 23</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Output</w:t>
            </w:r>
          </w:p>
        </w:tc>
        <w:tc>
          <w:tcPr>
            <w:tcW w:type="dxa" w:w="29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Buzzer / status LED (220 Ω)</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5 / 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PWM</w:t>
            </w:r>
          </w:p>
        </w:tc>
        <w:tc>
          <w:tcPr>
            <w:tcW w:type="dxa" w:w="29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Left BTS7960 RPWM / LPWM</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13 / 19</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PWM</w:t>
            </w:r>
          </w:p>
        </w:tc>
        <w:tc>
          <w:tcPr>
            <w:tcW w:type="dxa" w:w="29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Right BTS7960 RPWM / LPWM</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14 / 15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UART</w:t>
            </w:r>
          </w:p>
        </w:tc>
        <w:tc>
          <w:tcPr>
            <w:tcW w:type="dxa" w:w="29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GPS TX (opt.) / RX</w:t>
            </w:r>
          </w:p>
        </w:tc>
      </w:tr>
    </w:tbl>
    <w:p>
      <w:pPr>
        <w:spacing w:after="80"/>
      </w:pPr>
    </w:p>
    <w:p>
      <w:pPr>
        <w:pStyle w:val="Heading2"/>
        <w:keepNext/>
        <w:spacing w:after="40" w:before="80"/>
      </w:pPr>
      <w:r>
        <w:rPr>
          <w:rFonts w:ascii="Times New Roman" w:cs="Times New Roman" w:eastAsia="Times New Roman" w:hAnsi="Times New Roman"/>
          <w:i/>
          <w:iCs/>
          <w:sz w:val="20"/>
          <w:szCs w:val="20"/>
        </w:rPr>
        <w:t xml:space="preserve">C. Software Architecture and Finite State Machine</w:t>
      </w:r>
    </w:p>
    <w:p>
      <w:pPr>
        <w:spacing w:after="60" w:before="0"/>
        <w:ind w:firstLine="200"/>
        <w:jc w:val="both"/>
      </w:pPr>
      <w:r>
        <w:rPr>
          <w:rFonts w:ascii="Times New Roman" w:cs="Times New Roman" w:eastAsia="Times New Roman" w:hAnsi="Times New Roman"/>
          <w:sz w:val="20"/>
          <w:szCs w:val="20"/>
        </w:rPr>
        <w:t xml:space="preserve">The software is layered across nine Python modules. Only </w:t>
      </w:r>
      <w:r>
        <w:rPr>
          <w:rFonts w:ascii="Times New Roman" w:cs="Times New Roman" w:eastAsia="Times New Roman" w:hAnsi="Times New Roman"/>
          <w:i/>
          <w:iCs/>
          <w:sz w:val="20"/>
          <w:szCs w:val="20"/>
        </w:rPr>
        <w:t xml:space="preserve">hardware.py</w:t>
      </w:r>
      <w:r>
        <w:rPr>
          <w:rFonts w:ascii="Times New Roman" w:cs="Times New Roman" w:eastAsia="Times New Roman" w:hAnsi="Times New Roman"/>
          <w:sz w:val="20"/>
          <w:szCs w:val="20"/>
        </w:rPr>
        <w:t xml:space="preserve"> (the hardware abstraction layer) touches GPIO, SPI, I2C, or the camera; controllers (</w:t>
      </w:r>
      <w:r>
        <w:rPr>
          <w:rFonts w:ascii="Times New Roman" w:cs="Times New Roman" w:eastAsia="Times New Roman" w:hAnsi="Times New Roman"/>
          <w:i/>
          <w:iCs/>
          <w:sz w:val="20"/>
          <w:szCs w:val="20"/>
        </w:rPr>
        <w:t xml:space="preserve">irrigation.py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cutter.py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navigation.py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disease_detect.py</w:t>
      </w:r>
      <w:r>
        <w:rPr>
          <w:rFonts w:ascii="Times New Roman" w:cs="Times New Roman" w:eastAsia="Times New Roman" w:hAnsi="Times New Roman"/>
          <w:sz w:val="20"/>
          <w:szCs w:val="20"/>
        </w:rPr>
        <w:t xml:space="preserve">) receive hardware objects by dependency injection. Other modules provide persistence (</w:t>
      </w:r>
      <w:r>
        <w:rPr>
          <w:rFonts w:ascii="Times New Roman" w:cs="Times New Roman" w:eastAsia="Times New Roman" w:hAnsi="Times New Roman"/>
          <w:i/>
          <w:iCs/>
          <w:sz w:val="20"/>
          <w:szCs w:val="20"/>
        </w:rPr>
        <w:t xml:space="preserve">database.py</w:t>
      </w:r>
      <w:r>
        <w:rPr>
          <w:rFonts w:ascii="Times New Roman" w:cs="Times New Roman" w:eastAsia="Times New Roman" w:hAnsi="Times New Roman"/>
          <w:sz w:val="20"/>
          <w:szCs w:val="20"/>
        </w:rPr>
        <w:t xml:space="preserve">, SQLite), the REST API (</w:t>
      </w:r>
      <w:r>
        <w:rPr>
          <w:rFonts w:ascii="Times New Roman" w:cs="Times New Roman" w:eastAsia="Times New Roman" w:hAnsi="Times New Roman"/>
          <w:i/>
          <w:iCs/>
          <w:sz w:val="20"/>
          <w:szCs w:val="20"/>
        </w:rPr>
        <w:t xml:space="preserve">app.py</w:t>
      </w:r>
      <w:r>
        <w:rPr>
          <w:rFonts w:ascii="Times New Roman" w:cs="Times New Roman" w:eastAsia="Times New Roman" w:hAnsi="Times New Roman"/>
          <w:sz w:val="20"/>
          <w:szCs w:val="20"/>
        </w:rPr>
        <w:t xml:space="preserve">, Flask), cloud relay (</w:t>
      </w:r>
      <w:r>
        <w:rPr>
          <w:rFonts w:ascii="Times New Roman" w:cs="Times New Roman" w:eastAsia="Times New Roman" w:hAnsi="Times New Roman"/>
          <w:i/>
          <w:iCs/>
          <w:sz w:val="20"/>
          <w:szCs w:val="20"/>
        </w:rPr>
        <w:t xml:space="preserve">aws_relay.py</w:t>
      </w:r>
      <w:r>
        <w:rPr>
          <w:rFonts w:ascii="Times New Roman" w:cs="Times New Roman" w:eastAsia="Times New Roman" w:hAnsi="Times New Roman"/>
          <w:sz w:val="20"/>
          <w:szCs w:val="20"/>
        </w:rPr>
        <w:t xml:space="preserve">), the disease knowledge base (</w:t>
      </w:r>
      <w:r>
        <w:rPr>
          <w:rFonts w:ascii="Times New Roman" w:cs="Times New Roman" w:eastAsia="Times New Roman" w:hAnsi="Times New Roman"/>
          <w:i/>
          <w:iCs/>
          <w:sz w:val="20"/>
          <w:szCs w:val="20"/>
        </w:rPr>
        <w:t xml:space="preserve">disease_db.py</w:t>
      </w:r>
      <w:r>
        <w:rPr>
          <w:rFonts w:ascii="Times New Roman" w:cs="Times New Roman" w:eastAsia="Times New Roman" w:hAnsi="Times New Roman"/>
          <w:sz w:val="20"/>
          <w:szCs w:val="20"/>
        </w:rPr>
        <w:t xml:space="preserve">), and centralized constants (</w:t>
      </w:r>
      <w:r>
        <w:rPr>
          <w:rFonts w:ascii="Times New Roman" w:cs="Times New Roman" w:eastAsia="Times New Roman" w:hAnsi="Times New Roman"/>
          <w:i/>
          <w:iCs/>
          <w:sz w:val="20"/>
          <w:szCs w:val="20"/>
        </w:rPr>
        <w:t xml:space="preserve">config.py</w:t>
      </w:r>
      <w:r>
        <w:rPr>
          <w:rFonts w:ascii="Times New Roman" w:cs="Times New Roman" w:eastAsia="Times New Roman" w:hAnsi="Times New Roman"/>
          <w:sz w:val="20"/>
          <w:szCs w:val="20"/>
        </w:rPr>
        <w:t xml:space="preserve">).</w:t>
      </w:r>
    </w:p>
    <w:p>
      <w:pPr>
        <w:spacing w:after="60" w:before="0"/>
        <w:ind w:firstLine="200"/>
        <w:jc w:val="both"/>
      </w:pPr>
      <w:r>
        <w:rPr>
          <w:rFonts w:ascii="Times New Roman" w:cs="Times New Roman" w:eastAsia="Times New Roman" w:hAnsi="Times New Roman"/>
          <w:sz w:val="20"/>
          <w:szCs w:val="20"/>
        </w:rPr>
        <w:t xml:space="preserve">The supervisor (</w:t>
      </w:r>
      <w:r>
        <w:rPr>
          <w:rFonts w:ascii="Times New Roman" w:cs="Times New Roman" w:eastAsia="Times New Roman" w:hAnsi="Times New Roman"/>
          <w:i/>
          <w:iCs/>
          <w:sz w:val="20"/>
          <w:szCs w:val="20"/>
        </w:rPr>
        <w:t xml:space="preserve">main.py</w:t>
      </w:r>
      <w:r>
        <w:rPr>
          <w:rFonts w:ascii="Times New Roman" w:cs="Times New Roman" w:eastAsia="Times New Roman" w:hAnsi="Times New Roman"/>
          <w:sz w:val="20"/>
          <w:szCs w:val="20"/>
        </w:rPr>
        <w:t xml:space="preserve">) implements an FSM with states BOOT, SELF_TEST, IDLE, IRRIGATING, CUTTING, NAVIGATING, SCANNING, and SAFE_STATE. A failed self-test sends the system to SAFE_STATE, where all actuators are de-energized and only monitoring remains active. Four threads run concurrently: a 3-second control loop, the disease scanner, the Flask server (port 5000), and a watchdog that logs a WATCHDOG_TIMEOUT alert if the control-loop heartbeat is stale for more than 30 s. SIGTERM and SIGINT call an emergency stop that de-energizes all relays and motors before the threads are joined.</w:t>
      </w:r>
    </w:p>
    <w:p>
      <w:pPr>
        <w:keepNext/>
        <w:spacing w:after="0" w:before="6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cantSplit/>
          <w:trHeight w:val="2500" w:hRule="exact"/>
        </w:trPr>
        <w:tc>
          <w:tcPr>
            <w:tcW w:type="dxa" w:w="4860"/>
            <w:tcBorders>
              <w:top w:val="dashed" w:color="808080" w:sz="6"/>
              <w:left w:val="dashed" w:color="808080" w:sz="6"/>
              <w:bottom w:val="dashed" w:color="808080" w:sz="6"/>
              <w:right w:val="dashed" w:color="808080" w:sz="6"/>
            </w:tcBorders>
            <w:shd w:fill="F2F2F2" w:val="clear"/>
            <w:vAlign w:val="center"/>
          </w:tcPr>
          <w:p>
            <w:pPr>
              <w:jc w:val="center"/>
            </w:pPr>
            <w:r>
              <w:rPr>
                <w:rFonts w:ascii="Times New Roman" w:cs="Times New Roman" w:eastAsia="Times New Roman" w:hAnsi="Times New Roman"/>
                <w:b/>
                <w:bCs/>
                <w:color w:val="666666"/>
                <w:sz w:val="16"/>
                <w:szCs w:val="16"/>
              </w:rPr>
              <w:t xml:space="preserve">[ INSERT IMAGE HERE ]</w:t>
            </w:r>
          </w:p>
          <w:p>
            <w:pPr>
              <w:jc w:val="center"/>
            </w:pPr>
            <w:r>
              <w:rPr>
                <w:rFonts w:ascii="Times New Roman" w:cs="Times New Roman" w:eastAsia="Times New Roman" w:hAnsi="Times New Roman"/>
                <w:color w:val="666666"/>
                <w:sz w:val="16"/>
                <w:szCs w:val="16"/>
              </w:rPr>
              <w:t xml:space="preserve">Fig. 2 — Software architecture &amp; FSM state diagram</w:t>
            </w:r>
          </w:p>
        </w:tc>
      </w:tr>
    </w:tbl>
    <w:p>
      <w:pPr>
        <w:spacing w:after="120" w:before="40"/>
        <w:jc w:val="center"/>
      </w:pPr>
      <w:r>
        <w:rPr>
          <w:rFonts w:ascii="Times New Roman" w:cs="Times New Roman" w:eastAsia="Times New Roman" w:hAnsi="Times New Roman"/>
          <w:sz w:val="16"/>
          <w:szCs w:val="16"/>
        </w:rPr>
        <w:t xml:space="preserve">Fig. 2. Multi-threaded software architecture and FSM state diagram.</w:t>
      </w:r>
    </w:p>
    <w:p>
      <w:pPr>
        <w:pStyle w:val="Heading1"/>
        <w:keepNext/>
        <w:spacing w:after="60" w:before="140"/>
        <w:jc w:val="center"/>
      </w:pPr>
      <w:r>
        <w:rPr>
          <w:rFonts w:ascii="Times New Roman" w:cs="Times New Roman" w:eastAsia="Times New Roman" w:hAnsi="Times New Roman"/>
          <w:smallCaps w:val="false"/>
          <w:sz w:val="20"/>
          <w:szCs w:val="20"/>
        </w:rPr>
        <w:t xml:space="preserve">IV. SUBSYSTEM IMPLEMENTATION</w:t>
      </w:r>
    </w:p>
    <w:p>
      <w:pPr>
        <w:pStyle w:val="Heading2"/>
        <w:keepNext/>
        <w:spacing w:after="40" w:before="80"/>
      </w:pPr>
      <w:r>
        <w:rPr>
          <w:rFonts w:ascii="Times New Roman" w:cs="Times New Roman" w:eastAsia="Times New Roman" w:hAnsi="Times New Roman"/>
          <w:i/>
          <w:iCs/>
          <w:sz w:val="20"/>
          <w:szCs w:val="20"/>
        </w:rPr>
        <w:t xml:space="preserve">A. Soil Moisture Sensing and Automated Irrigation</w:t>
      </w:r>
    </w:p>
    <w:p>
      <w:pPr>
        <w:spacing w:after="60" w:before="0"/>
        <w:ind w:firstLine="200"/>
        <w:jc w:val="both"/>
      </w:pPr>
      <w:r>
        <w:rPr>
          <w:rFonts w:ascii="Times New Roman" w:cs="Times New Roman" w:eastAsia="Times New Roman" w:hAnsi="Times New Roman"/>
          <w:sz w:val="20"/>
          <w:szCs w:val="20"/>
        </w:rPr>
        <w:t xml:space="preserve">A capacitive soil sensor on ADS1115 channel A0 is linearized by two-point calibration, with ADS_SOIL_DRY = 21000 (0%, dry air) and ADS_SOIL_WET = 9500 (100%, submerged):</w:t>
      </w:r>
    </w:p>
    <w:p>
      <w:pPr>
        <w:tabs>
          <w:tab w:val="center" w:pos="2430"/>
          <w:tab w:val="right" w:pos="4860"/>
        </w:tabs>
        <w:spacing w:after="60" w:before="40"/>
      </w:pPr>
      <w:r>
        <w:rPr>
          <w:rFonts w:ascii="Times New Roman" w:cs="Times New Roman" w:eastAsia="Times New Roman" w:hAnsi="Times New Roman"/>
          <w:i/>
          <w:iCs/>
          <w:sz w:val="20"/>
          <w:szCs w:val="20"/>
        </w:rPr>
        <w:t xml:space="preserve">	M = 100 × (ADS_DRY − raw) / (ADS_DRY − ADS_WET)</w:t>
      </w:r>
      <w:r>
        <w:rPr>
          <w:rFonts w:ascii="Times New Roman" w:cs="Times New Roman" w:eastAsia="Times New Roman" w:hAnsi="Times New Roman"/>
          <w:sz w:val="20"/>
          <w:szCs w:val="20"/>
        </w:rPr>
        <w:t xml:space="preserve">	(1)</w:t>
      </w:r>
    </w:p>
    <w:p>
      <w:pPr>
        <w:spacing w:after="60" w:before="0"/>
        <w:ind w:firstLine="200"/>
        <w:jc w:val="both"/>
      </w:pPr>
      <w:r>
        <w:rPr>
          <w:rFonts w:ascii="Times New Roman" w:cs="Times New Roman" w:eastAsia="Times New Roman" w:hAnsi="Times New Roman"/>
          <w:sz w:val="20"/>
          <w:szCs w:val="20"/>
        </w:rPr>
        <w:t xml:space="preserve">Implausible readings are rejected and the cycle is skipped. A hysteresis band governs the pump: it starts when M &lt; 35%, and stops when M ≥ 65% or after the 60 s safety timeout. A 120 s cooldown protects relay contacts and the pump, and the pump is blocked when the reservoir level falls below 20%. The chassis is stopped before the pump is energized, and every cycle (start/end time, duration, start/end moisture, trigger) is logged to SQLite.</w:t>
      </w:r>
    </w:p>
    <w:p>
      <w:pPr>
        <w:pStyle w:val="Heading2"/>
        <w:keepNext/>
        <w:spacing w:after="40" w:before="80"/>
      </w:pPr>
      <w:r>
        <w:rPr>
          <w:rFonts w:ascii="Times New Roman" w:cs="Times New Roman" w:eastAsia="Times New Roman" w:hAnsi="Times New Roman"/>
          <w:i/>
          <w:iCs/>
          <w:sz w:val="20"/>
          <w:szCs w:val="20"/>
        </w:rPr>
        <w:t xml:space="preserve">B. Grass Trimming</w:t>
      </w:r>
    </w:p>
    <w:p>
      <w:pPr>
        <w:spacing w:after="60" w:before="0"/>
        <w:ind w:firstLine="200"/>
        <w:jc w:val="both"/>
      </w:pPr>
      <w:r>
        <w:rPr>
          <w:rFonts w:ascii="Times New Roman" w:cs="Times New Roman" w:eastAsia="Times New Roman" w:hAnsi="Times New Roman"/>
          <w:sz w:val="20"/>
          <w:szCs w:val="20"/>
        </w:rPr>
        <w:t xml:space="preserve">The cutter runs for 30 s every 3600 s. It refuses to start if disabled in configuration or if the pump is active, motors are hard-stopped before the relay is energized to avoid voltage sag on the shared 12 V bus, and the stop command is re-applied on every control-loop tick while cutting. An emergency stop de-energizes the relay immediately.</w:t>
      </w:r>
    </w:p>
    <w:p>
      <w:pPr>
        <w:pStyle w:val="Heading2"/>
        <w:keepNext/>
        <w:spacing w:after="40" w:before="80"/>
      </w:pPr>
      <w:r>
        <w:rPr>
          <w:rFonts w:ascii="Times New Roman" w:cs="Times New Roman" w:eastAsia="Times New Roman" w:hAnsi="Times New Roman"/>
          <w:i/>
          <w:iCs/>
          <w:sz w:val="20"/>
          <w:szCs w:val="20"/>
        </w:rPr>
        <w:t xml:space="preserve">C. GPS Waypoint Navigation</w:t>
      </w:r>
    </w:p>
    <w:p>
      <w:pPr>
        <w:spacing w:after="60" w:before="0"/>
        <w:ind w:firstLine="200"/>
        <w:jc w:val="both"/>
      </w:pPr>
      <w:r>
        <w:rPr>
          <w:rFonts w:ascii="Times New Roman" w:cs="Times New Roman" w:eastAsia="Times New Roman" w:hAnsi="Times New Roman"/>
          <w:sz w:val="20"/>
          <w:szCs w:val="20"/>
        </w:rPr>
        <w:t xml:space="preserve">Navigation uses a NEO-7M GPS (parsing $GPRMC) and an HMC5883L magnetometer with optional declination correction. For the current position (φ₁, λ₁) and target (φ₂, λ₂), the Haversine formula gives distance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and the initial bearing θ:</w:t>
      </w:r>
    </w:p>
    <w:p>
      <w:pPr>
        <w:tabs>
          <w:tab w:val="center" w:pos="2430"/>
          <w:tab w:val="right" w:pos="4860"/>
        </w:tabs>
        <w:spacing w:after="60" w:before="40"/>
      </w:pPr>
      <w:r>
        <w:rPr>
          <w:rFonts w:ascii="Times New Roman" w:cs="Times New Roman" w:eastAsia="Times New Roman" w:hAnsi="Times New Roman"/>
          <w:i/>
          <w:iCs/>
          <w:sz w:val="20"/>
          <w:szCs w:val="20"/>
        </w:rPr>
        <w:t xml:space="preserve">	a = sin²(Δφ/2) + cos φ₁ cos φ₂ sin²(Δλ/2);  d = 2R·asin(√a)</w:t>
      </w:r>
      <w:r>
        <w:rPr>
          <w:rFonts w:ascii="Times New Roman" w:cs="Times New Roman" w:eastAsia="Times New Roman" w:hAnsi="Times New Roman"/>
          <w:sz w:val="20"/>
          <w:szCs w:val="20"/>
        </w:rPr>
        <w:t xml:space="preserve">	(2)</w:t>
      </w:r>
    </w:p>
    <w:p>
      <w:pPr>
        <w:tabs>
          <w:tab w:val="center" w:pos="2430"/>
          <w:tab w:val="right" w:pos="4860"/>
        </w:tabs>
        <w:spacing w:after="60" w:before="40"/>
      </w:pPr>
      <w:r>
        <w:rPr>
          <w:rFonts w:ascii="Times New Roman" w:cs="Times New Roman" w:eastAsia="Times New Roman" w:hAnsi="Times New Roman"/>
          <w:i/>
          <w:iCs/>
          <w:sz w:val="20"/>
          <w:szCs w:val="20"/>
        </w:rPr>
        <w:t xml:space="preserve">	θ = atan2(sin Δλ cos φ₂, cos φ₁ sin φ₂ − sin φ₁ cos φ₂ cos Δλ)</w:t>
      </w:r>
      <w:r>
        <w:rPr>
          <w:rFonts w:ascii="Times New Roman" w:cs="Times New Roman" w:eastAsia="Times New Roman" w:hAnsi="Times New Roman"/>
          <w:sz w:val="20"/>
          <w:szCs w:val="20"/>
        </w:rPr>
        <w:t xml:space="preserve">	(3)</w:t>
      </w:r>
    </w:p>
    <w:p>
      <w:pPr>
        <w:spacing w:after="60" w:before="0"/>
        <w:ind w:firstLine="200"/>
        <w:jc w:val="both"/>
      </w:pPr>
      <w:r>
        <w:rPr>
          <w:rFonts w:ascii="Times New Roman" w:cs="Times New Roman" w:eastAsia="Times New Roman" w:hAnsi="Times New Roman"/>
          <w:sz w:val="20"/>
          <w:szCs w:val="20"/>
        </w:rPr>
        <w:t xml:space="preserve">The heading error is e = ((θ − ψ + 540) mod 360) − 180, where ψ is the compass heading. The rover moves in short bursts and re-samples sensors after each: it stops motors, rejects GPS fixes older than 5 s, declares the waypoint reached when d ≤ 2.5 m, pivots for 0.2 s if |e| &gt; 12°, and otherwise drives forward for 1.0 s.</w:t>
      </w:r>
    </w:p>
    <w:p>
      <w:pPr>
        <w:pStyle w:val="Heading2"/>
        <w:keepNext/>
        <w:spacing w:after="40" w:before="80"/>
      </w:pPr>
      <w:r>
        <w:rPr>
          <w:rFonts w:ascii="Times New Roman" w:cs="Times New Roman" w:eastAsia="Times New Roman" w:hAnsi="Times New Roman"/>
          <w:i/>
          <w:iCs/>
          <w:sz w:val="20"/>
          <w:szCs w:val="20"/>
        </w:rPr>
        <w:t xml:space="preserve">D. Plant Disease Detection</w:t>
      </w:r>
    </w:p>
    <w:p>
      <w:pPr>
        <w:spacing w:after="60" w:before="0"/>
        <w:ind w:firstLine="200"/>
        <w:jc w:val="both"/>
      </w:pPr>
      <w:r>
        <w:rPr>
          <w:rFonts w:ascii="Times New Roman" w:cs="Times New Roman" w:eastAsia="Times New Roman" w:hAnsi="Times New Roman"/>
          <w:sz w:val="20"/>
          <w:szCs w:val="20"/>
        </w:rPr>
        <w:t xml:space="preserve">Detection runs on demand (dashboard or API) or automatically when at least 15% of the frame is green in HSV space (H 35–90, S 40–255, V 40–255). The pipeline is:</w:t>
      </w:r>
    </w:p>
    <w:p>
      <w:pPr>
        <w:spacing w:after="30" w:before="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b/>
          <w:bCs/>
          <w:sz w:val="20"/>
          <w:szCs w:val="20"/>
        </w:rPr>
        <w:t xml:space="preserve">Quality gate:</w:t>
      </w:r>
      <w:r>
        <w:rPr>
          <w:rFonts w:ascii="Times New Roman" w:cs="Times New Roman" w:eastAsia="Times New Roman" w:hAnsi="Times New Roman"/>
          <w:sz w:val="20"/>
          <w:szCs w:val="20"/>
        </w:rPr>
        <w:t xml:space="preserve"> frames with Laplacian variance below 12.0 (blur) or mean luminance outside 15–250 are rejected with RETAKE_NEEDED, which is not a disease alert.</w:t>
      </w:r>
    </w:p>
    <w:p>
      <w:pPr>
        <w:spacing w:after="30" w:before="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b/>
          <w:bCs/>
          <w:sz w:val="20"/>
          <w:szCs w:val="20"/>
        </w:rPr>
        <w:t xml:space="preserve">Segmentation:</w:t>
      </w:r>
      <w:r>
        <w:rPr>
          <w:rFonts w:ascii="Times New Roman" w:cs="Times New Roman" w:eastAsia="Times New Roman" w:hAnsi="Times New Roman"/>
          <w:sz w:val="20"/>
          <w:szCs w:val="20"/>
        </w:rPr>
        <w:t xml:space="preserve"> the 224×224 frame (float32, normalized to [0,1]) is divided into a 3×3 grid and each segment is classified independently by the TFLite model.</w:t>
      </w:r>
    </w:p>
    <w:p>
      <w:pPr>
        <w:spacing w:after="30" w:before="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b/>
          <w:bCs/>
          <w:sz w:val="20"/>
          <w:szCs w:val="20"/>
        </w:rPr>
        <w:t xml:space="preserve">Voting and confidence:</w:t>
      </w:r>
      <w:r>
        <w:rPr>
          <w:rFonts w:ascii="Times New Roman" w:cs="Times New Roman" w:eastAsia="Times New Roman" w:hAnsi="Times New Roman"/>
          <w:sz w:val="20"/>
          <w:szCs w:val="20"/>
        </w:rPr>
        <w:t xml:space="preserve"> a disease alert is raised only if more than 4 of 9 segments are diseased, each with softmax confidence ≥ 70%; otherwise the status is HEALTHY or LOW_CONFIDENCE.</w:t>
      </w:r>
    </w:p>
    <w:p>
      <w:pPr>
        <w:spacing w:after="30" w:before="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b/>
          <w:bCs/>
          <w:sz w:val="20"/>
          <w:szCs w:val="20"/>
        </w:rPr>
        <w:t xml:space="preserve">Enrichment and alert:</w:t>
      </w:r>
      <w:r>
        <w:rPr>
          <w:rFonts w:ascii="Times New Roman" w:cs="Times New Roman" w:eastAsia="Times New Roman" w:hAnsi="Times New Roman"/>
          <w:sz w:val="20"/>
          <w:szCs w:val="20"/>
        </w:rPr>
        <w:t xml:space="preserve"> the label is matched in the knowledge base for common name, cause, symptoms, and treatment; the buzzer and LED are triggered; and the annotated JPEG and result are stored in SQLite and uploaded to the cloud.</w:t>
      </w:r>
    </w:p>
    <w:p>
      <w:pPr>
        <w:keepNext/>
        <w:spacing w:after="0" w:before="6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cantSplit/>
          <w:trHeight w:val="2100" w:hRule="exact"/>
        </w:trPr>
        <w:tc>
          <w:tcPr>
            <w:tcW w:type="dxa" w:w="4860"/>
            <w:tcBorders>
              <w:top w:val="dashed" w:color="808080" w:sz="6"/>
              <w:left w:val="dashed" w:color="808080" w:sz="6"/>
              <w:bottom w:val="dashed" w:color="808080" w:sz="6"/>
              <w:right w:val="dashed" w:color="808080" w:sz="6"/>
            </w:tcBorders>
            <w:shd w:fill="F2F2F2" w:val="clear"/>
            <w:vAlign w:val="center"/>
          </w:tcPr>
          <w:p>
            <w:pPr>
              <w:jc w:val="center"/>
            </w:pPr>
            <w:r>
              <w:rPr>
                <w:rFonts w:ascii="Times New Roman" w:cs="Times New Roman" w:eastAsia="Times New Roman" w:hAnsi="Times New Roman"/>
                <w:b/>
                <w:bCs/>
                <w:color w:val="666666"/>
                <w:sz w:val="16"/>
                <w:szCs w:val="16"/>
              </w:rPr>
              <w:t xml:space="preserve">[ INSERT IMAGE HERE ]</w:t>
            </w:r>
          </w:p>
          <w:p>
            <w:pPr>
              <w:jc w:val="center"/>
            </w:pPr>
            <w:r>
              <w:rPr>
                <w:rFonts w:ascii="Times New Roman" w:cs="Times New Roman" w:eastAsia="Times New Roman" w:hAnsi="Times New Roman"/>
                <w:color w:val="666666"/>
                <w:sz w:val="16"/>
                <w:szCs w:val="16"/>
              </w:rPr>
              <w:t xml:space="preserve">Fig. 3 — 3×3 segmentation majority voting</w:t>
            </w:r>
          </w:p>
        </w:tc>
      </w:tr>
    </w:tbl>
    <w:p>
      <w:pPr>
        <w:spacing w:after="120" w:before="40"/>
        <w:jc w:val="center"/>
      </w:pPr>
      <w:r>
        <w:rPr>
          <w:rFonts w:ascii="Times New Roman" w:cs="Times New Roman" w:eastAsia="Times New Roman" w:hAnsi="Times New Roman"/>
          <w:sz w:val="16"/>
          <w:szCs w:val="16"/>
        </w:rPr>
        <w:t xml:space="preserve">Fig. 3. Majority voting: disease is declared only when more than 50% of segments are classified as diseased.</w:t>
      </w:r>
    </w:p>
    <w:p>
      <w:pPr>
        <w:pStyle w:val="Heading2"/>
        <w:keepNext/>
        <w:spacing w:after="40" w:before="80"/>
      </w:pPr>
      <w:r>
        <w:rPr>
          <w:rFonts w:ascii="Times New Roman" w:cs="Times New Roman" w:eastAsia="Times New Roman" w:hAnsi="Times New Roman"/>
          <w:i/>
          <w:iCs/>
          <w:sz w:val="20"/>
          <w:szCs w:val="20"/>
        </w:rPr>
        <w:t xml:space="preserve">E. Dual-Model Architecture</w:t>
      </w:r>
    </w:p>
    <w:p>
      <w:pPr>
        <w:spacing w:after="60" w:before="0"/>
        <w:ind w:firstLine="200"/>
        <w:jc w:val="both"/>
      </w:pPr>
      <w:r>
        <w:rPr>
          <w:rFonts w:ascii="Times New Roman" w:cs="Times New Roman" w:eastAsia="Times New Roman" w:hAnsi="Times New Roman"/>
          <w:sz w:val="20"/>
          <w:szCs w:val="20"/>
        </w:rPr>
        <w:t xml:space="preserve">The environment variable AGRONEX_MODEL_PROFILE selects a model at startup: </w:t>
      </w:r>
      <w:r>
        <w:rPr>
          <w:rFonts w:ascii="Times New Roman" w:cs="Times New Roman" w:eastAsia="Times New Roman" w:hAnsi="Times New Roman"/>
          <w:i/>
          <w:iCs/>
          <w:sz w:val="20"/>
          <w:szCs w:val="20"/>
        </w:rPr>
        <w:t xml:space="preserve">custom</w:t>
      </w:r>
      <w:r>
        <w:rPr>
          <w:rFonts w:ascii="Times New Roman" w:cs="Times New Roman" w:eastAsia="Times New Roman" w:hAnsi="Times New Roman"/>
          <w:sz w:val="20"/>
          <w:szCs w:val="20"/>
        </w:rPr>
        <w:t xml:space="preserve"> (five Tulsi classes: Healthy, Infected, Infested, Wilting, and a background class) or </w:t>
      </w:r>
      <w:r>
        <w:rPr>
          <w:rFonts w:ascii="Times New Roman" w:cs="Times New Roman" w:eastAsia="Times New Roman" w:hAnsi="Times New Roman"/>
          <w:i/>
          <w:iCs/>
          <w:sz w:val="20"/>
          <w:szCs w:val="20"/>
        </w:rPr>
        <w:t xml:space="preserve">plantvillage</w:t>
      </w:r>
      <w:r>
        <w:rPr>
          <w:rFonts w:ascii="Times New Roman" w:cs="Times New Roman" w:eastAsia="Times New Roman" w:hAnsi="Times New Roman"/>
          <w:sz w:val="20"/>
          <w:szCs w:val="20"/>
        </w:rPr>
        <w:t xml:space="preserve"> (eight classes: Tomato early/late blight and healthy, Potato early/late blight and healthy, Bell Pepper bacterial spot and healthy). The TFLite runtime is loaded through a three-level fallback: </w:t>
      </w:r>
      <w:r>
        <w:rPr>
          <w:rFonts w:ascii="Times New Roman" w:cs="Times New Roman" w:eastAsia="Times New Roman" w:hAnsi="Times New Roman"/>
          <w:i/>
          <w:iCs/>
          <w:sz w:val="20"/>
          <w:szCs w:val="20"/>
        </w:rPr>
        <w:t xml:space="preserve">tflite_runtime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ai_edge_litert</w:t>
      </w:r>
      <w:r>
        <w:rPr>
          <w:rFonts w:ascii="Times New Roman" w:cs="Times New Roman" w:eastAsia="Times New Roman" w:hAnsi="Times New Roman"/>
          <w:sz w:val="20"/>
          <w:szCs w:val="20"/>
        </w:rPr>
        <w:t xml:space="preserve">, then full </w:t>
      </w:r>
      <w:r>
        <w:rPr>
          <w:rFonts w:ascii="Times New Roman" w:cs="Times New Roman" w:eastAsia="Times New Roman" w:hAnsi="Times New Roman"/>
          <w:i/>
          <w:iCs/>
          <w:sz w:val="20"/>
          <w:szCs w:val="20"/>
        </w:rPr>
        <w:t xml:space="preserve">tensorflow.lite</w:t>
      </w:r>
      <w:r>
        <w:rPr>
          <w:rFonts w:ascii="Times New Roman" w:cs="Times New Roman" w:eastAsia="Times New Roman" w:hAnsi="Times New Roman"/>
          <w:sz w:val="20"/>
          <w:szCs w:val="20"/>
        </w:rPr>
        <w:t xml:space="preserve">.</w:t>
      </w:r>
    </w:p>
    <w:p>
      <w:pPr>
        <w:pStyle w:val="Heading1"/>
        <w:keepNext/>
        <w:spacing w:after="60" w:before="140"/>
        <w:jc w:val="center"/>
      </w:pPr>
      <w:r>
        <w:rPr>
          <w:rFonts w:ascii="Times New Roman" w:cs="Times New Roman" w:eastAsia="Times New Roman" w:hAnsi="Times New Roman"/>
          <w:smallCaps w:val="false"/>
          <w:sz w:val="20"/>
          <w:szCs w:val="20"/>
        </w:rPr>
        <w:t xml:space="preserve">V. AI MODEL TRAINING METHODOLOGY</w:t>
      </w:r>
    </w:p>
    <w:p>
      <w:pPr>
        <w:pStyle w:val="Heading2"/>
        <w:keepNext/>
        <w:spacing w:after="40" w:before="80"/>
      </w:pPr>
      <w:r>
        <w:rPr>
          <w:rFonts w:ascii="Times New Roman" w:cs="Times New Roman" w:eastAsia="Times New Roman" w:hAnsi="Times New Roman"/>
          <w:i/>
          <w:iCs/>
          <w:sz w:val="20"/>
          <w:szCs w:val="20"/>
        </w:rPr>
        <w:t xml:space="preserve">A. Dataset Collection</w:t>
      </w:r>
    </w:p>
    <w:p>
      <w:pPr>
        <w:spacing w:after="60" w:before="0"/>
        <w:ind w:firstLine="200"/>
        <w:jc w:val="both"/>
      </w:pPr>
      <w:r>
        <w:rPr>
          <w:rFonts w:ascii="Times New Roman" w:cs="Times New Roman" w:eastAsia="Times New Roman" w:hAnsi="Times New Roman"/>
          <w:sz w:val="20"/>
          <w:szCs w:val="20"/>
        </w:rPr>
        <w:t xml:space="preserve">The Tulsi dataset was captured with the Raspberry Pi Camera v2 under natural outdoor lighting, with [INSERT NUMBER] images per class organized in class folders. The PlantVillage dataset [4] contains over 54,000 images across 38 plant–disease combinations; eight target classes were selected. The dataset was split [INSERT: e.g., 70/15/15] into training, validation, and test sets.</w:t>
      </w:r>
    </w:p>
    <w:p>
      <w:pPr>
        <w:pStyle w:val="Heading2"/>
        <w:keepNext/>
        <w:spacing w:after="40" w:before="80"/>
      </w:pPr>
      <w:r>
        <w:rPr>
          <w:rFonts w:ascii="Times New Roman" w:cs="Times New Roman" w:eastAsia="Times New Roman" w:hAnsi="Times New Roman"/>
          <w:i/>
          <w:iCs/>
          <w:sz w:val="20"/>
          <w:szCs w:val="20"/>
        </w:rPr>
        <w:t xml:space="preserve">B. Model Architecture and Training</w:t>
      </w:r>
    </w:p>
    <w:p>
      <w:pPr>
        <w:spacing w:after="60" w:before="0"/>
        <w:ind w:firstLine="200"/>
        <w:jc w:val="both"/>
      </w:pPr>
      <w:r>
        <w:rPr>
          <w:rFonts w:ascii="Times New Roman" w:cs="Times New Roman" w:eastAsia="Times New Roman" w:hAnsi="Times New Roman"/>
          <w:sz w:val="20"/>
          <w:szCs w:val="20"/>
        </w:rPr>
        <w:t xml:space="preserve">Transfer learning from ImageNet-pretrained MobileNetV2 (224×224×3, top removed) was used. The classification head is GlobalAveragePooling2D, Dropout(0.4), Dense(128, ReLU), Dropout(0.3), and Dense(N, Softmax). The base was frozen for initial training, then the last 50 layers were unfrozen and fine-tuned at a learning rate of 10⁻⁵. Augmentation comprised random flip, rotation (±15°), zoom (±20%), and brightness variation (±30%). Models are exported as float32 TFLite files together with a label file, and copied to the Pi for deployment.</w:t>
      </w:r>
    </w:p>
    <w:p>
      <w:pPr>
        <w:keepNext/>
        <w:spacing w:after="0" w:before="8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z w:val="16"/>
          <w:szCs w:val="16"/>
        </w:rPr>
        <w:t xml:space="preserve">MODEL TRAINING PARAMETERS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900"/>
        <w:gridCol w:w="1480"/>
        <w:gridCol w:w="1480"/>
      </w:tblGrid>
      <w:tr>
        <w:trPr>
          <w:cantSplit/>
          <w:tblHeader/>
        </w:trPr>
        <w:tc>
          <w:tcPr>
            <w:tcW w:type="dxa" w:w="190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Parameter</w:t>
            </w:r>
          </w:p>
        </w:tc>
        <w:tc>
          <w:tcPr>
            <w:tcW w:type="dxa" w:w="148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Custom Tulsi</w:t>
            </w:r>
          </w:p>
        </w:tc>
        <w:tc>
          <w:tcPr>
            <w:tcW w:type="dxa" w:w="148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PlantVillage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Base architecture</w:t>
            </w:r>
          </w:p>
        </w:tc>
        <w:tc>
          <w:tcPr>
            <w:tcW w:type="dxa" w:w="148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MobileNetV2</w:t>
            </w:r>
          </w:p>
        </w:tc>
        <w:tc>
          <w:tcPr>
            <w:tcW w:type="dxa" w:w="148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MobileNetV2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Input resolution</w:t>
            </w:r>
          </w:p>
        </w:tc>
        <w:tc>
          <w:tcPr>
            <w:tcW w:type="dxa" w:w="148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224×224×3</w:t>
            </w:r>
          </w:p>
        </w:tc>
        <w:tc>
          <w:tcPr>
            <w:tcW w:type="dxa" w:w="148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224×224×3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Classes</w:t>
            </w:r>
          </w:p>
        </w:tc>
        <w:tc>
          <w:tcPr>
            <w:tcW w:type="dxa" w:w="148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5</w:t>
            </w:r>
          </w:p>
        </w:tc>
        <w:tc>
          <w:tcPr>
            <w:tcW w:type="dxa" w:w="148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8</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Initial / fine-tune LR</w:t>
            </w:r>
          </w:p>
        </w:tc>
        <w:tc>
          <w:tcPr>
            <w:tcW w:type="dxa" w:w="148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1e-4 / 1e-5</w:t>
            </w:r>
          </w:p>
        </w:tc>
        <w:tc>
          <w:tcPr>
            <w:tcW w:type="dxa" w:w="148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1e-4 / 1e-5</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Initial epochs</w:t>
            </w:r>
          </w:p>
        </w:tc>
        <w:tc>
          <w:tcPr>
            <w:tcW w:type="dxa" w:w="148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15</w:t>
            </w:r>
          </w:p>
        </w:tc>
        <w:tc>
          <w:tcPr>
            <w:tcW w:type="dxa" w:w="148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20</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Fine-tune epochs</w:t>
            </w:r>
          </w:p>
        </w:tc>
        <w:tc>
          <w:tcPr>
            <w:tcW w:type="dxa" w:w="148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10</w:t>
            </w:r>
          </w:p>
        </w:tc>
        <w:tc>
          <w:tcPr>
            <w:tcW w:type="dxa" w:w="148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10</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Batch size / optimizer</w:t>
            </w:r>
          </w:p>
        </w:tc>
        <w:tc>
          <w:tcPr>
            <w:tcW w:type="dxa" w:w="148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32 / Adam</w:t>
            </w:r>
          </w:p>
        </w:tc>
        <w:tc>
          <w:tcPr>
            <w:tcW w:type="dxa" w:w="148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32 / Adam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Export</w:t>
            </w:r>
          </w:p>
        </w:tc>
        <w:tc>
          <w:tcPr>
            <w:tcW w:type="dxa" w:w="148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TFLite float32</w:t>
            </w:r>
          </w:p>
        </w:tc>
        <w:tc>
          <w:tcPr>
            <w:tcW w:type="dxa" w:w="148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TFLite float32</w:t>
            </w:r>
          </w:p>
        </w:tc>
      </w:tr>
    </w:tbl>
    <w:p>
      <w:pPr>
        <w:spacing w:after="80"/>
      </w:pPr>
    </w:p>
    <w:p>
      <w:pPr>
        <w:pStyle w:val="Heading1"/>
        <w:keepNext/>
        <w:spacing w:after="60" w:before="140"/>
        <w:jc w:val="center"/>
      </w:pPr>
      <w:r>
        <w:rPr>
          <w:rFonts w:ascii="Times New Roman" w:cs="Times New Roman" w:eastAsia="Times New Roman" w:hAnsi="Times New Roman"/>
          <w:smallCaps w:val="false"/>
          <w:sz w:val="20"/>
          <w:szCs w:val="20"/>
        </w:rPr>
        <w:t xml:space="preserve">VI. CLOUD ARCHITECTURE AND REMOTE MONITORING</w:t>
      </w:r>
    </w:p>
    <w:p>
      <w:pPr>
        <w:spacing w:after="60" w:before="0"/>
        <w:ind w:firstLine="200"/>
        <w:jc w:val="both"/>
      </w:pPr>
      <w:r>
        <w:rPr>
          <w:rFonts w:ascii="Times New Roman" w:cs="Times New Roman" w:eastAsia="Times New Roman" w:hAnsi="Times New Roman"/>
          <w:sz w:val="20"/>
          <w:szCs w:val="20"/>
        </w:rPr>
        <w:t xml:space="preserve">The Pi runs a relay thread that, every 5 s, POSTs telemetry JSON to an AWS API Gateway (ap-south-1) endpoint. A Python 3.11 Lambda function writes the payload to an S3 bucket as </w:t>
      </w:r>
      <w:r>
        <w:rPr>
          <w:rFonts w:ascii="Times New Roman" w:cs="Times New Roman" w:eastAsia="Times New Roman" w:hAnsi="Times New Roman"/>
          <w:i/>
          <w:iCs/>
          <w:sz w:val="20"/>
          <w:szCs w:val="20"/>
        </w:rPr>
        <w:t xml:space="preserve">state.json</w:t>
      </w:r>
      <w:r>
        <w:rPr>
          <w:rFonts w:ascii="Times New Roman" w:cs="Times New Roman" w:eastAsia="Times New Roman" w:hAnsi="Times New Roman"/>
          <w:sz w:val="20"/>
          <w:szCs w:val="20"/>
        </w:rPr>
        <w:t xml:space="preserve">. Disease-scan JPEGs (base64) are posted after each inference, and a camera snapshot is uploaded every 60 s. In the reverse direction the Pi polls a </w:t>
      </w:r>
      <w:r>
        <w:rPr>
          <w:rFonts w:ascii="Times New Roman" w:cs="Times New Roman" w:eastAsia="Times New Roman" w:hAnsi="Times New Roman"/>
          <w:i/>
          <w:iCs/>
          <w:sz w:val="20"/>
          <w:szCs w:val="20"/>
        </w:rPr>
        <w:t xml:space="preserve">/command</w:t>
      </w:r>
      <w:r>
        <w:rPr>
          <w:rFonts w:ascii="Times New Roman" w:cs="Times New Roman" w:eastAsia="Times New Roman" w:hAnsi="Times New Roman"/>
          <w:sz w:val="20"/>
          <w:szCs w:val="20"/>
        </w:rPr>
        <w:t xml:space="preserve"> endpoint every 5 s to receive remote commands (e.g., pump_on) stored by Lambda as </w:t>
      </w:r>
      <w:r>
        <w:rPr>
          <w:rFonts w:ascii="Times New Roman" w:cs="Times New Roman" w:eastAsia="Times New Roman" w:hAnsi="Times New Roman"/>
          <w:i/>
          <w:iCs/>
          <w:sz w:val="20"/>
          <w:szCs w:val="20"/>
        </w:rPr>
        <w:t xml:space="preserve">command.json</w:t>
      </w:r>
      <w:r>
        <w:rPr>
          <w:rFonts w:ascii="Times New Roman" w:cs="Times New Roman" w:eastAsia="Times New Roman" w:hAnsi="Times New Roman"/>
          <w:sz w:val="20"/>
          <w:szCs w:val="20"/>
        </w:rPr>
        <w:t xml:space="preserve">. The S3-hosted single-page dashboard fetches </w:t>
      </w:r>
      <w:r>
        <w:rPr>
          <w:rFonts w:ascii="Times New Roman" w:cs="Times New Roman" w:eastAsia="Times New Roman" w:hAnsi="Times New Roman"/>
          <w:i/>
          <w:iCs/>
          <w:sz w:val="20"/>
          <w:szCs w:val="20"/>
        </w:rPr>
        <w:t xml:space="preserve">state.json</w:t>
      </w:r>
      <w:r>
        <w:rPr>
          <w:rFonts w:ascii="Times New Roman" w:cs="Times New Roman" w:eastAsia="Times New Roman" w:hAnsi="Times New Roman"/>
          <w:sz w:val="20"/>
          <w:szCs w:val="20"/>
        </w:rPr>
        <w:t xml:space="preserve"> every 3 s and provides live tiles, a disease tab with confidence bar and treatment advice, a scan gallery, a Leaflet.js navigation map, a disease library, and manual controls. If internet access is lost, all functions remain available through the local Flask dashboard.</w:t>
      </w:r>
    </w:p>
    <w:p>
      <w:pPr>
        <w:keepNext/>
        <w:spacing w:after="0" w:before="6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cantSplit/>
          <w:trHeight w:val="2200" w:hRule="exact"/>
        </w:trPr>
        <w:tc>
          <w:tcPr>
            <w:tcW w:type="dxa" w:w="4860"/>
            <w:tcBorders>
              <w:top w:val="dashed" w:color="808080" w:sz="6"/>
              <w:left w:val="dashed" w:color="808080" w:sz="6"/>
              <w:bottom w:val="dashed" w:color="808080" w:sz="6"/>
              <w:right w:val="dashed" w:color="808080" w:sz="6"/>
            </w:tcBorders>
            <w:shd w:fill="F2F2F2" w:val="clear"/>
            <w:vAlign w:val="center"/>
          </w:tcPr>
          <w:p>
            <w:pPr>
              <w:jc w:val="center"/>
            </w:pPr>
            <w:r>
              <w:rPr>
                <w:rFonts w:ascii="Times New Roman" w:cs="Times New Roman" w:eastAsia="Times New Roman" w:hAnsi="Times New Roman"/>
                <w:b/>
                <w:bCs/>
                <w:color w:val="666666"/>
                <w:sz w:val="16"/>
                <w:szCs w:val="16"/>
              </w:rPr>
              <w:t xml:space="preserve">[ INSERT IMAGE HERE ]</w:t>
            </w:r>
          </w:p>
          <w:p>
            <w:pPr>
              <w:jc w:val="center"/>
            </w:pPr>
            <w:r>
              <w:rPr>
                <w:rFonts w:ascii="Times New Roman" w:cs="Times New Roman" w:eastAsia="Times New Roman" w:hAnsi="Times New Roman"/>
                <w:color w:val="666666"/>
                <w:sz w:val="16"/>
                <w:szCs w:val="16"/>
              </w:rPr>
              <w:t xml:space="preserve">Fig. 4 — AWS cloud architecture data flow</w:t>
            </w:r>
          </w:p>
        </w:tc>
      </w:tr>
    </w:tbl>
    <w:p>
      <w:pPr>
        <w:spacing w:after="120" w:before="40"/>
        <w:jc w:val="center"/>
      </w:pPr>
      <w:r>
        <w:rPr>
          <w:rFonts w:ascii="Times New Roman" w:cs="Times New Roman" w:eastAsia="Times New Roman" w:hAnsi="Times New Roman"/>
          <w:sz w:val="16"/>
          <w:szCs w:val="16"/>
        </w:rPr>
        <w:t xml:space="preserve">Fig. 4. AWS serverless architecture: Pi → API Gateway → Lambda → S3, with dashboard polling.</w:t>
      </w:r>
    </w:p>
    <w:p>
      <w:pPr>
        <w:pStyle w:val="Heading1"/>
        <w:keepNext/>
        <w:spacing w:after="60" w:before="140"/>
        <w:jc w:val="center"/>
      </w:pPr>
      <w:r>
        <w:rPr>
          <w:rFonts w:ascii="Times New Roman" w:cs="Times New Roman" w:eastAsia="Times New Roman" w:hAnsi="Times New Roman"/>
          <w:smallCaps w:val="false"/>
          <w:sz w:val="20"/>
          <w:szCs w:val="20"/>
        </w:rPr>
        <w:t xml:space="preserve">VII. SAFETY MECHANISMS</w:t>
      </w:r>
    </w:p>
    <w:p>
      <w:pPr>
        <w:spacing w:after="60" w:before="0"/>
        <w:ind w:firstLine="200"/>
        <w:jc w:val="both"/>
      </w:pPr>
      <w:r>
        <w:rPr>
          <w:rFonts w:ascii="Times New Roman" w:cs="Times New Roman" w:eastAsia="Times New Roman" w:hAnsi="Times New Roman"/>
          <w:sz w:val="20"/>
          <w:szCs w:val="20"/>
        </w:rPr>
        <w:t xml:space="preserve">Because several high-current loads share one battery, safety is implemented at the controller level (Table V). A human safety observer is still mandatory during operation because the rover has no obstacle detection.</w:t>
      </w:r>
    </w:p>
    <w:p>
      <w:pPr>
        <w:keepNext/>
        <w:spacing w:after="0" w:before="8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z w:val="16"/>
          <w:szCs w:val="16"/>
        </w:rPr>
        <w:t xml:space="preserve">SAFETY INTERLOCKS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700"/>
        <w:gridCol w:w="3160"/>
      </w:tblGrid>
      <w:tr>
        <w:trPr>
          <w:cantSplit/>
          <w:tblHeader/>
        </w:trPr>
        <w:tc>
          <w:tcPr>
            <w:tcW w:type="dxa" w:w="170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Interlock</w:t>
            </w:r>
          </w:p>
        </w:tc>
        <w:tc>
          <w:tcPr>
            <w:tcW w:type="dxa" w:w="316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Mechanism</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Dry-run prevention</w:t>
            </w:r>
          </w:p>
        </w:tc>
        <w:tc>
          <w:tcPr>
            <w:tcW w:type="dxa" w:w="31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Pump blocked if reservoir &lt; 20%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Pump limits</w:t>
            </w:r>
          </w:p>
        </w:tc>
        <w:tc>
          <w:tcPr>
            <w:tcW w:type="dxa" w:w="31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60 s max runtime; 120 s cooldown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Cutter–pump interlock</w:t>
            </w:r>
          </w:p>
        </w:tc>
        <w:tc>
          <w:tcPr>
            <w:tcW w:type="dxa" w:w="31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Cutter refuses to start if pump is ON, and vice versa</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Chassis stop</w:t>
            </w:r>
          </w:p>
        </w:tc>
        <w:tc>
          <w:tcPr>
            <w:tcW w:type="dxa" w:w="31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motors.stop() before pump or cutter starts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False-positive control</w:t>
            </w:r>
          </w:p>
        </w:tc>
        <w:tc>
          <w:tcPr>
            <w:tcW w:type="dxa" w:w="31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Quality gate, 70% confidence, &gt;50% segment vote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Signal handling</w:t>
            </w:r>
          </w:p>
        </w:tc>
        <w:tc>
          <w:tcPr>
            <w:tcW w:type="dxa" w:w="31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SIGTERM/SIGINT → emergency stop, clean exit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Watchdog</w:t>
            </w:r>
          </w:p>
        </w:tc>
        <w:tc>
          <w:tcPr>
            <w:tcW w:type="dxa" w:w="31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Control-loop heartbeat stale &gt; 30 s → alert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Simulation banner</w:t>
            </w:r>
          </w:p>
        </w:tc>
        <w:tc>
          <w:tcPr>
            <w:tcW w:type="dxa" w:w="31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Persistent warning when --simulate is used</w:t>
            </w:r>
          </w:p>
        </w:tc>
      </w:tr>
    </w:tbl>
    <w:p>
      <w:pPr>
        <w:spacing w:after="80"/>
      </w:pPr>
    </w:p>
    <w:p>
      <w:pPr>
        <w:pStyle w:val="Heading1"/>
        <w:keepNext/>
        <w:spacing w:after="60" w:before="140"/>
        <w:jc w:val="center"/>
      </w:pPr>
      <w:r>
        <w:rPr>
          <w:rFonts w:ascii="Times New Roman" w:cs="Times New Roman" w:eastAsia="Times New Roman" w:hAnsi="Times New Roman"/>
          <w:smallCaps w:val="false"/>
          <w:sz w:val="20"/>
          <w:szCs w:val="20"/>
        </w:rPr>
        <w:t xml:space="preserve">VIII. EXPERIMENTAL RESULTS AND EVALUATION</w:t>
      </w:r>
    </w:p>
    <w:p>
      <w:pPr>
        <w:spacing w:after="60" w:before="0"/>
        <w:ind w:firstLine="200"/>
        <w:jc w:val="both"/>
      </w:pPr>
      <w:r>
        <w:rPr>
          <w:rFonts w:ascii="Times New Roman" w:cs="Times New Roman" w:eastAsia="Times New Roman" w:hAnsi="Times New Roman"/>
          <w:sz w:val="20"/>
          <w:szCs w:val="20"/>
        </w:rPr>
        <w:t xml:space="preserve">All experiments were conducted on the physical rover under [INSERT CONDITIONS: indoor/outdoor, lighting, test location].</w:t>
      </w:r>
    </w:p>
    <w:p>
      <w:pPr>
        <w:pStyle w:val="Heading2"/>
        <w:keepNext/>
        <w:spacing w:after="40" w:before="80"/>
      </w:pPr>
      <w:r>
        <w:rPr>
          <w:rFonts w:ascii="Times New Roman" w:cs="Times New Roman" w:eastAsia="Times New Roman" w:hAnsi="Times New Roman"/>
          <w:i/>
          <w:iCs/>
          <w:sz w:val="20"/>
          <w:szCs w:val="20"/>
        </w:rPr>
        <w:t xml:space="preserve">A. Disease Detection Performance</w:t>
      </w:r>
    </w:p>
    <w:p>
      <w:pPr>
        <w:keepNext/>
        <w:spacing w:after="0" w:before="6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cantSplit/>
          <w:trHeight w:val="2300" w:hRule="exact"/>
        </w:trPr>
        <w:tc>
          <w:tcPr>
            <w:tcW w:type="dxa" w:w="4860"/>
            <w:tcBorders>
              <w:top w:val="dashed" w:color="808080" w:sz="6"/>
              <w:left w:val="dashed" w:color="808080" w:sz="6"/>
              <w:bottom w:val="dashed" w:color="808080" w:sz="6"/>
              <w:right w:val="dashed" w:color="808080" w:sz="6"/>
            </w:tcBorders>
            <w:shd w:fill="F2F2F2" w:val="clear"/>
            <w:vAlign w:val="center"/>
          </w:tcPr>
          <w:p>
            <w:pPr>
              <w:jc w:val="center"/>
            </w:pPr>
            <w:r>
              <w:rPr>
                <w:rFonts w:ascii="Times New Roman" w:cs="Times New Roman" w:eastAsia="Times New Roman" w:hAnsi="Times New Roman"/>
                <w:b/>
                <w:bCs/>
                <w:color w:val="666666"/>
                <w:sz w:val="16"/>
                <w:szCs w:val="16"/>
              </w:rPr>
              <w:t xml:space="preserve">[ INSERT IMAGE HERE ]</w:t>
            </w:r>
          </w:p>
          <w:p>
            <w:pPr>
              <w:jc w:val="center"/>
            </w:pPr>
            <w:r>
              <w:rPr>
                <w:rFonts w:ascii="Times New Roman" w:cs="Times New Roman" w:eastAsia="Times New Roman" w:hAnsi="Times New Roman"/>
                <w:color w:val="666666"/>
                <w:sz w:val="16"/>
                <w:szCs w:val="16"/>
              </w:rPr>
              <w:t xml:space="preserve">Fig. 5 — Confusion matrix (Tulsi test set)</w:t>
            </w:r>
          </w:p>
        </w:tc>
      </w:tr>
    </w:tbl>
    <w:p>
      <w:pPr>
        <w:spacing w:after="120" w:before="40"/>
        <w:jc w:val="center"/>
      </w:pPr>
      <w:r>
        <w:rPr>
          <w:rFonts w:ascii="Times New Roman" w:cs="Times New Roman" w:eastAsia="Times New Roman" w:hAnsi="Times New Roman"/>
          <w:sz w:val="16"/>
          <w:szCs w:val="16"/>
        </w:rPr>
        <w:t xml:space="preserve">Fig. 5. Confusion matrix for Tulsi disease classification on the test set.</w:t>
      </w:r>
    </w:p>
    <w:p>
      <w:pPr>
        <w:keepNext/>
        <w:spacing w:after="0" w:before="80"/>
        <w:jc w:val="center"/>
      </w:pPr>
      <w:r>
        <w:rPr>
          <w:rFonts w:ascii="Times New Roman" w:cs="Times New Roman" w:eastAsia="Times New Roman" w:hAnsi="Times New Roman"/>
          <w:sz w:val="16"/>
          <w:szCs w:val="16"/>
        </w:rPr>
        <w:t xml:space="preserve">TABLE VI</w:t>
      </w:r>
    </w:p>
    <w:p>
      <w:pPr>
        <w:keepNext/>
        <w:spacing w:after="60"/>
        <w:jc w:val="center"/>
      </w:pPr>
      <w:r>
        <w:rPr>
          <w:rFonts w:ascii="Times New Roman" w:cs="Times New Roman" w:eastAsia="Times New Roman" w:hAnsi="Times New Roman"/>
          <w:sz w:val="16"/>
          <w:szCs w:val="16"/>
        </w:rPr>
        <w:t xml:space="preserve">CLASSIFICATION METRICS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700"/>
        <w:gridCol w:w="790"/>
        <w:gridCol w:w="790"/>
        <w:gridCol w:w="790"/>
        <w:gridCol w:w="790"/>
      </w:tblGrid>
      <w:tr>
        <w:trPr>
          <w:cantSplit/>
          <w:tblHeader/>
        </w:trPr>
        <w:tc>
          <w:tcPr>
            <w:tcW w:type="dxa" w:w="170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Class</w:t>
            </w:r>
          </w:p>
        </w:tc>
        <w:tc>
          <w:tcPr>
            <w:tcW w:type="dxa" w:w="79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Precision</w:t>
            </w:r>
          </w:p>
        </w:tc>
        <w:tc>
          <w:tcPr>
            <w:tcW w:type="dxa" w:w="79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Recall</w:t>
            </w:r>
          </w:p>
        </w:tc>
        <w:tc>
          <w:tcPr>
            <w:tcW w:type="dxa" w:w="79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F1</w:t>
            </w:r>
          </w:p>
        </w:tc>
        <w:tc>
          <w:tcPr>
            <w:tcW w:type="dxa" w:w="79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Support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Tulsi___Healthy</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Tulsi___Infected</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Tulsi___Infested</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Tulsi___Wilting</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Background</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Weighted avg.</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[X.XX]</w:t>
            </w:r>
          </w:p>
        </w:tc>
        <w:tc>
          <w:tcPr>
            <w:tcW w:type="dxa" w:w="79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[N]</w:t>
            </w:r>
          </w:p>
        </w:tc>
      </w:tr>
    </w:tbl>
    <w:p>
      <w:pPr>
        <w:spacing w:after="80"/>
      </w:pPr>
    </w:p>
    <w:p>
      <w:pPr>
        <w:pStyle w:val="Heading2"/>
        <w:keepNext/>
        <w:spacing w:after="40" w:before="80"/>
      </w:pPr>
      <w:r>
        <w:rPr>
          <w:rFonts w:ascii="Times New Roman" w:cs="Times New Roman" w:eastAsia="Times New Roman" w:hAnsi="Times New Roman"/>
          <w:i/>
          <w:iCs/>
          <w:sz w:val="20"/>
          <w:szCs w:val="20"/>
        </w:rPr>
        <w:t xml:space="preserve">B. Irrigation Response</w:t>
      </w:r>
    </w:p>
    <w:p>
      <w:pPr>
        <w:keepNext/>
        <w:spacing w:after="0" w:before="6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cantSplit/>
          <w:trHeight w:val="2100" w:hRule="exact"/>
        </w:trPr>
        <w:tc>
          <w:tcPr>
            <w:tcW w:type="dxa" w:w="4860"/>
            <w:tcBorders>
              <w:top w:val="dashed" w:color="808080" w:sz="6"/>
              <w:left w:val="dashed" w:color="808080" w:sz="6"/>
              <w:bottom w:val="dashed" w:color="808080" w:sz="6"/>
              <w:right w:val="dashed" w:color="808080" w:sz="6"/>
            </w:tcBorders>
            <w:shd w:fill="F2F2F2" w:val="clear"/>
            <w:vAlign w:val="center"/>
          </w:tcPr>
          <w:p>
            <w:pPr>
              <w:jc w:val="center"/>
            </w:pPr>
            <w:r>
              <w:rPr>
                <w:rFonts w:ascii="Times New Roman" w:cs="Times New Roman" w:eastAsia="Times New Roman" w:hAnsi="Times New Roman"/>
                <w:b/>
                <w:bCs/>
                <w:color w:val="666666"/>
                <w:sz w:val="16"/>
                <w:szCs w:val="16"/>
              </w:rPr>
              <w:t xml:space="preserve">[ INSERT IMAGE HERE ]</w:t>
            </w:r>
          </w:p>
          <w:p>
            <w:pPr>
              <w:jc w:val="center"/>
            </w:pPr>
            <w:r>
              <w:rPr>
                <w:rFonts w:ascii="Times New Roman" w:cs="Times New Roman" w:eastAsia="Times New Roman" w:hAnsi="Times New Roman"/>
                <w:color w:val="666666"/>
                <w:sz w:val="16"/>
                <w:szCs w:val="16"/>
              </w:rPr>
              <w:t xml:space="preserve">Fig. 6 — Soil moisture vs. time</w:t>
            </w:r>
          </w:p>
        </w:tc>
      </w:tr>
    </w:tbl>
    <w:p>
      <w:pPr>
        <w:spacing w:after="120" w:before="40"/>
        <w:jc w:val="center"/>
      </w:pPr>
      <w:r>
        <w:rPr>
          <w:rFonts w:ascii="Times New Roman" w:cs="Times New Roman" w:eastAsia="Times New Roman" w:hAnsi="Times New Roman"/>
          <w:sz w:val="16"/>
          <w:szCs w:val="16"/>
        </w:rPr>
        <w:t xml:space="preserve">Fig. 6. Soil moisture over time showing pump-on at 35% and pump-off at 65%.</w:t>
      </w:r>
    </w:p>
    <w:p>
      <w:pPr>
        <w:spacing w:after="60" w:before="0"/>
        <w:ind w:firstLine="200"/>
        <w:jc w:val="both"/>
      </w:pPr>
      <w:r>
        <w:rPr>
          <w:rFonts w:ascii="Times New Roman" w:cs="Times New Roman" w:eastAsia="Times New Roman" w:hAnsi="Times New Roman"/>
          <w:sz w:val="20"/>
          <w:szCs w:val="20"/>
        </w:rPr>
        <w:t xml:space="preserve">The hysteresis controller kept soil moisture between 35% and 65% over [N] irrigation cycles. Mean cycle duration was [X] ± [Y] s, and [N] pump timeouts occurred during normal operation.</w:t>
      </w:r>
    </w:p>
    <w:p>
      <w:pPr>
        <w:pStyle w:val="Heading2"/>
        <w:keepNext/>
        <w:spacing w:after="40" w:before="80"/>
      </w:pPr>
      <w:r>
        <w:rPr>
          <w:rFonts w:ascii="Times New Roman" w:cs="Times New Roman" w:eastAsia="Times New Roman" w:hAnsi="Times New Roman"/>
          <w:i/>
          <w:iCs/>
          <w:sz w:val="20"/>
          <w:szCs w:val="20"/>
        </w:rPr>
        <w:t xml:space="preserve">C. Navigation Accuracy</w:t>
      </w:r>
    </w:p>
    <w:p>
      <w:pPr>
        <w:keepNext/>
        <w:spacing w:after="0" w:before="6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cantSplit/>
          <w:trHeight w:val="2200" w:hRule="exact"/>
        </w:trPr>
        <w:tc>
          <w:tcPr>
            <w:tcW w:type="dxa" w:w="4860"/>
            <w:tcBorders>
              <w:top w:val="dashed" w:color="808080" w:sz="6"/>
              <w:left w:val="dashed" w:color="808080" w:sz="6"/>
              <w:bottom w:val="dashed" w:color="808080" w:sz="6"/>
              <w:right w:val="dashed" w:color="808080" w:sz="6"/>
            </w:tcBorders>
            <w:shd w:fill="F2F2F2" w:val="clear"/>
            <w:vAlign w:val="center"/>
          </w:tcPr>
          <w:p>
            <w:pPr>
              <w:jc w:val="center"/>
            </w:pPr>
            <w:r>
              <w:rPr>
                <w:rFonts w:ascii="Times New Roman" w:cs="Times New Roman" w:eastAsia="Times New Roman" w:hAnsi="Times New Roman"/>
                <w:b/>
                <w:bCs/>
                <w:color w:val="666666"/>
                <w:sz w:val="16"/>
                <w:szCs w:val="16"/>
              </w:rPr>
              <w:t xml:space="preserve">[ INSERT IMAGE HERE ]</w:t>
            </w:r>
          </w:p>
          <w:p>
            <w:pPr>
              <w:jc w:val="center"/>
            </w:pPr>
            <w:r>
              <w:rPr>
                <w:rFonts w:ascii="Times New Roman" w:cs="Times New Roman" w:eastAsia="Times New Roman" w:hAnsi="Times New Roman"/>
                <w:color w:val="666666"/>
                <w:sz w:val="16"/>
                <w:szCs w:val="16"/>
              </w:rPr>
              <w:t xml:space="preserve">Fig. 7 — Planned vs. actual GPS route</w:t>
            </w:r>
          </w:p>
        </w:tc>
      </w:tr>
    </w:tbl>
    <w:p>
      <w:pPr>
        <w:spacing w:after="120" w:before="40"/>
        <w:jc w:val="center"/>
      </w:pPr>
      <w:r>
        <w:rPr>
          <w:rFonts w:ascii="Times New Roman" w:cs="Times New Roman" w:eastAsia="Times New Roman" w:hAnsi="Times New Roman"/>
          <w:sz w:val="16"/>
          <w:szCs w:val="16"/>
        </w:rPr>
        <w:t xml:space="preserve">Fig. 7. Planned route (blue) versus actual GPS track (red) for a [N]-waypoint mission.</w:t>
      </w:r>
    </w:p>
    <w:p>
      <w:pPr>
        <w:keepNext/>
        <w:spacing w:after="0" w:before="80"/>
        <w:jc w:val="center"/>
      </w:pPr>
      <w:r>
        <w:rPr>
          <w:rFonts w:ascii="Times New Roman" w:cs="Times New Roman" w:eastAsia="Times New Roman" w:hAnsi="Times New Roman"/>
          <w:sz w:val="16"/>
          <w:szCs w:val="16"/>
        </w:rPr>
        <w:t xml:space="preserve">TABLE VII</w:t>
      </w:r>
    </w:p>
    <w:p>
      <w:pPr>
        <w:keepNext/>
        <w:spacing w:after="60"/>
        <w:jc w:val="center"/>
      </w:pPr>
      <w:r>
        <w:rPr>
          <w:rFonts w:ascii="Times New Roman" w:cs="Times New Roman" w:eastAsia="Times New Roman" w:hAnsi="Times New Roman"/>
          <w:sz w:val="16"/>
          <w:szCs w:val="16"/>
        </w:rPr>
        <w:t xml:space="preserve">NAVIGATION PERFORMANCE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3000"/>
        <w:gridCol w:w="1860"/>
      </w:tblGrid>
      <w:tr>
        <w:trPr>
          <w:cantSplit/>
          <w:tblHeader/>
        </w:trPr>
        <w:tc>
          <w:tcPr>
            <w:tcW w:type="dxa" w:w="300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Metric</w:t>
            </w:r>
          </w:p>
        </w:tc>
        <w:tc>
          <w:tcPr>
            <w:tcW w:type="dxa" w:w="186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Value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Waypoints tested</w:t>
            </w:r>
          </w:p>
        </w:tc>
        <w:tc>
          <w:tcPr>
            <w:tcW w:type="dxa" w:w="18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Mean arrival error</w:t>
            </w:r>
          </w:p>
        </w:tc>
        <w:tc>
          <w:tcPr>
            <w:tcW w:type="dxa" w:w="18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 m</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Mean heading error</w:t>
            </w:r>
          </w:p>
        </w:tc>
        <w:tc>
          <w:tcPr>
            <w:tcW w:type="dxa" w:w="18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[X.X]°</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Mean time per waypoint</w:t>
            </w:r>
          </w:p>
        </w:tc>
        <w:tc>
          <w:tcPr>
            <w:tcW w:type="dxa" w:w="18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 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GPS fix availability</w:t>
            </w:r>
          </w:p>
        </w:tc>
        <w:tc>
          <w:tcPr>
            <w:tcW w:type="dxa" w:w="18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 uptime</w:t>
            </w:r>
          </w:p>
        </w:tc>
      </w:tr>
    </w:tbl>
    <w:p>
      <w:pPr>
        <w:spacing w:after="80"/>
      </w:pPr>
    </w:p>
    <w:p>
      <w:pPr>
        <w:pStyle w:val="Heading2"/>
        <w:keepNext/>
        <w:spacing w:after="40" w:before="80"/>
      </w:pPr>
      <w:r>
        <w:rPr>
          <w:rFonts w:ascii="Times New Roman" w:cs="Times New Roman" w:eastAsia="Times New Roman" w:hAnsi="Times New Roman"/>
          <w:i/>
          <w:iCs/>
          <w:sz w:val="20"/>
          <w:szCs w:val="20"/>
        </w:rPr>
        <w:t xml:space="preserve">D. Raspberry Pi 4 Resource Usage</w:t>
      </w:r>
    </w:p>
    <w:p>
      <w:pPr>
        <w:keepNext/>
        <w:spacing w:after="0" w:before="80"/>
        <w:jc w:val="center"/>
      </w:pPr>
      <w:r>
        <w:rPr>
          <w:rFonts w:ascii="Times New Roman" w:cs="Times New Roman" w:eastAsia="Times New Roman" w:hAnsi="Times New Roman"/>
          <w:sz w:val="16"/>
          <w:szCs w:val="16"/>
        </w:rPr>
        <w:t xml:space="preserve">TABLE VIII</w:t>
      </w:r>
    </w:p>
    <w:p>
      <w:pPr>
        <w:keepNext/>
        <w:spacing w:after="60"/>
        <w:jc w:val="center"/>
      </w:pPr>
      <w:r>
        <w:rPr>
          <w:rFonts w:ascii="Times New Roman" w:cs="Times New Roman" w:eastAsia="Times New Roman" w:hAnsi="Times New Roman"/>
          <w:sz w:val="16"/>
          <w:szCs w:val="16"/>
        </w:rPr>
        <w:t xml:space="preserve">RASPBERRY PI 4 RESOURCE USAGE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tblGrid>
      <w:tr>
        <w:trPr>
          <w:cantSplit/>
          <w:tblHeader/>
        </w:trPr>
        <w:tc>
          <w:tcPr>
            <w:tcW w:type="dxa" w:w="186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Metric</w:t>
            </w:r>
          </w:p>
        </w:tc>
        <w:tc>
          <w:tcPr>
            <w:tcW w:type="dxa" w:w="150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Idle</w:t>
            </w:r>
          </w:p>
        </w:tc>
        <w:tc>
          <w:tcPr>
            <w:tcW w:type="dxa" w:w="1500"/>
            <w:tcBorders>
              <w:top w:val="single" w:color="000000" w:sz="4"/>
              <w:left w:val="single" w:color="000000" w:sz="4"/>
              <w:bottom w:val="single" w:color="000000" w:sz="4"/>
              <w:right w:val="single" w:color="000000" w:sz="4"/>
            </w:tcBorders>
            <w:shd w:fill="D9D9D9" w:val="clear"/>
            <w:tcMar>
              <w:top w:type="dxa" w:w="20"/>
              <w:left w:type="dxa" w:w="50"/>
              <w:bottom w:type="dxa" w:w="20"/>
              <w:right w:type="dxa" w:w="50"/>
            </w:tcMar>
          </w:tcPr>
          <w:p>
            <w:pPr>
              <w:jc w:val="left"/>
            </w:pPr>
            <w:r>
              <w:rPr>
                <w:rFonts w:ascii="Times New Roman" w:cs="Times New Roman" w:eastAsia="Times New Roman" w:hAnsi="Times New Roman"/>
                <w:b/>
                <w:bCs/>
                <w:sz w:val="15"/>
                <w:szCs w:val="15"/>
              </w:rPr>
              <w:t xml:space="preserve">During inference</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CPU usage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RAM usage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 MB</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 MB</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Inference latency</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 ms/frame</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Power consumption</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 W</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 W</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CPU temperature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 °C</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tcPr>
          <w:p>
            <w:pPr>
              <w:jc w:val="left"/>
            </w:pPr>
            <w:r>
              <w:rPr>
                <w:rFonts w:ascii="Times New Roman" w:cs="Times New Roman" w:eastAsia="Times New Roman" w:hAnsi="Times New Roman"/>
                <w:b w:val="false"/>
                <w:bCs w:val="false"/>
                <w:sz w:val="15"/>
                <w:szCs w:val="15"/>
              </w:rPr>
              <w:t xml:space="preserve">[X] °C</w:t>
            </w:r>
          </w:p>
        </w:tc>
      </w:tr>
    </w:tbl>
    <w:p>
      <w:pPr>
        <w:spacing w:after="80"/>
      </w:pPr>
    </w:p>
    <w:p>
      <w:pPr>
        <w:pStyle w:val="Heading2"/>
        <w:keepNext/>
        <w:spacing w:after="40" w:before="80"/>
      </w:pPr>
      <w:r>
        <w:rPr>
          <w:rFonts w:ascii="Times New Roman" w:cs="Times New Roman" w:eastAsia="Times New Roman" w:hAnsi="Times New Roman"/>
          <w:i/>
          <w:iCs/>
          <w:sz w:val="20"/>
          <w:szCs w:val="20"/>
        </w:rPr>
        <w:t xml:space="preserve">E. System Photographs</w:t>
      </w:r>
    </w:p>
    <w:p>
      <w:pPr>
        <w:keepNext/>
        <w:spacing w:after="0" w:before="6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cantSplit/>
          <w:trHeight w:val="2400" w:hRule="exact"/>
        </w:trPr>
        <w:tc>
          <w:tcPr>
            <w:tcW w:type="dxa" w:w="4860"/>
            <w:tcBorders>
              <w:top w:val="dashed" w:color="808080" w:sz="6"/>
              <w:left w:val="dashed" w:color="808080" w:sz="6"/>
              <w:bottom w:val="dashed" w:color="808080" w:sz="6"/>
              <w:right w:val="dashed" w:color="808080" w:sz="6"/>
            </w:tcBorders>
            <w:shd w:fill="F2F2F2" w:val="clear"/>
            <w:vAlign w:val="center"/>
          </w:tcPr>
          <w:p>
            <w:pPr>
              <w:jc w:val="center"/>
            </w:pPr>
            <w:r>
              <w:rPr>
                <w:rFonts w:ascii="Times New Roman" w:cs="Times New Roman" w:eastAsia="Times New Roman" w:hAnsi="Times New Roman"/>
                <w:b/>
                <w:bCs/>
                <w:color w:val="666666"/>
                <w:sz w:val="16"/>
                <w:szCs w:val="16"/>
              </w:rPr>
              <w:t xml:space="preserve">[ INSERT IMAGE HERE ]</w:t>
            </w:r>
          </w:p>
          <w:p>
            <w:pPr>
              <w:jc w:val="center"/>
            </w:pPr>
            <w:r>
              <w:rPr>
                <w:rFonts w:ascii="Times New Roman" w:cs="Times New Roman" w:eastAsia="Times New Roman" w:hAnsi="Times New Roman"/>
                <w:color w:val="666666"/>
                <w:sz w:val="16"/>
                <w:szCs w:val="16"/>
              </w:rPr>
              <w:t xml:space="preserve">Fig. 8 — Rover hardware assembly photo</w:t>
            </w:r>
          </w:p>
        </w:tc>
      </w:tr>
    </w:tbl>
    <w:p>
      <w:pPr>
        <w:spacing w:after="120" w:before="40"/>
        <w:jc w:val="center"/>
      </w:pPr>
      <w:r>
        <w:rPr>
          <w:rFonts w:ascii="Times New Roman" w:cs="Times New Roman" w:eastAsia="Times New Roman" w:hAnsi="Times New Roman"/>
          <w:sz w:val="16"/>
          <w:szCs w:val="16"/>
        </w:rPr>
        <w:t xml:space="preserve">Fig. 8. AgroNex-Pi rover showing chassis, sensors, motor drivers, and Raspberry Pi 4.</w:t>
      </w:r>
    </w:p>
    <w:p>
      <w:pPr>
        <w:keepNext/>
        <w:spacing w:after="0" w:before="60"/>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rPr>
          <w:cantSplit/>
          <w:trHeight w:val="2400" w:hRule="exact"/>
        </w:trPr>
        <w:tc>
          <w:tcPr>
            <w:tcW w:type="dxa" w:w="4860"/>
            <w:tcBorders>
              <w:top w:val="dashed" w:color="808080" w:sz="6"/>
              <w:left w:val="dashed" w:color="808080" w:sz="6"/>
              <w:bottom w:val="dashed" w:color="808080" w:sz="6"/>
              <w:right w:val="dashed" w:color="808080" w:sz="6"/>
            </w:tcBorders>
            <w:shd w:fill="F2F2F2" w:val="clear"/>
            <w:vAlign w:val="center"/>
          </w:tcPr>
          <w:p>
            <w:pPr>
              <w:jc w:val="center"/>
            </w:pPr>
            <w:r>
              <w:rPr>
                <w:rFonts w:ascii="Times New Roman" w:cs="Times New Roman" w:eastAsia="Times New Roman" w:hAnsi="Times New Roman"/>
                <w:b/>
                <w:bCs/>
                <w:color w:val="666666"/>
                <w:sz w:val="16"/>
                <w:szCs w:val="16"/>
              </w:rPr>
              <w:t xml:space="preserve">[ INSERT IMAGE HERE ]</w:t>
            </w:r>
          </w:p>
          <w:p>
            <w:pPr>
              <w:jc w:val="center"/>
            </w:pPr>
            <w:r>
              <w:rPr>
                <w:rFonts w:ascii="Times New Roman" w:cs="Times New Roman" w:eastAsia="Times New Roman" w:hAnsi="Times New Roman"/>
                <w:color w:val="666666"/>
                <w:sz w:val="16"/>
                <w:szCs w:val="16"/>
              </w:rPr>
              <w:t xml:space="preserve">Fig. 9 — Web dashboard screenshot</w:t>
            </w:r>
          </w:p>
        </w:tc>
      </w:tr>
    </w:tbl>
    <w:p>
      <w:pPr>
        <w:spacing w:after="120" w:before="40"/>
        <w:jc w:val="center"/>
      </w:pPr>
      <w:r>
        <w:rPr>
          <w:rFonts w:ascii="Times New Roman" w:cs="Times New Roman" w:eastAsia="Times New Roman" w:hAnsi="Times New Roman"/>
          <w:sz w:val="16"/>
          <w:szCs w:val="16"/>
        </w:rPr>
        <w:t xml:space="preserve">Fig. 9. AWS-hosted dashboard displaying live telemetry and disease scan results.</w:t>
      </w:r>
    </w:p>
    <w:p>
      <w:pPr>
        <w:pStyle w:val="Heading1"/>
        <w:keepNext/>
        <w:spacing w:after="60" w:before="140"/>
        <w:jc w:val="center"/>
      </w:pPr>
      <w:r>
        <w:rPr>
          <w:rFonts w:ascii="Times New Roman" w:cs="Times New Roman" w:eastAsia="Times New Roman" w:hAnsi="Times New Roman"/>
          <w:smallCaps w:val="false"/>
          <w:sz w:val="20"/>
          <w:szCs w:val="20"/>
        </w:rPr>
        <w:t xml:space="preserve">IX. DISCUSSION AND LIMITATIONS</w:t>
      </w:r>
    </w:p>
    <w:p>
      <w:pPr>
        <w:spacing w:after="60" w:before="0"/>
        <w:ind w:firstLine="200"/>
        <w:jc w:val="both"/>
      </w:pPr>
      <w:r>
        <w:rPr>
          <w:rFonts w:ascii="Times New Roman" w:cs="Times New Roman" w:eastAsia="Times New Roman" w:hAnsi="Times New Roman"/>
          <w:sz w:val="20"/>
          <w:szCs w:val="20"/>
        </w:rPr>
        <w:t xml:space="preserve">The results indicate that MobileNetV2 transfer learning on locally collected Tulsi images reaches [INSERT: accuracy X%] on the held-out set, with an inference latency of [INSERT: X ms] per frame, which is adequate for near-real-time monitoring on the Raspberry Pi 4. The majority-voting scheme is intended to reduce false alarms from background pixels and partially framed leaves, and the quality gate rejected [INSERT: X%] of frames in outdoor lighting. Hysteresis control kept moisture within the target band with a mean steady-state error of [INSERT: ±X%], and navigation arrived within [INSERT: X.X m] of waypoints, consistent with the ±2–5 m accuracy of the NEO-7M.</w:t>
      </w:r>
    </w:p>
    <w:p>
      <w:pPr>
        <w:spacing w:after="60" w:before="0"/>
        <w:ind w:firstLine="200"/>
        <w:jc w:val="both"/>
      </w:pPr>
      <w:r>
        <w:rPr>
          <w:rFonts w:ascii="Times New Roman" w:cs="Times New Roman" w:eastAsia="Times New Roman" w:hAnsi="Times New Roman"/>
          <w:sz w:val="20"/>
          <w:szCs w:val="20"/>
        </w:rPr>
        <w:t xml:space="preserve">Known limitations are: (i) no obstacle detection; (ii) GPS-only navigation with no wheel encoders, so operation is not possible indoors or under dense canopy; (iii) the classifier recognizes only trained plants and will misclassify novel diseases; (iv) only one plant is analyzed per scan; and (v) cloud features require internet access.</w:t>
      </w:r>
    </w:p>
    <w:p>
      <w:pPr>
        <w:pStyle w:val="Heading1"/>
        <w:keepNext/>
        <w:spacing w:after="60" w:before="140"/>
        <w:jc w:val="center"/>
      </w:pPr>
      <w:r>
        <w:rPr>
          <w:rFonts w:ascii="Times New Roman" w:cs="Times New Roman" w:eastAsia="Times New Roman" w:hAnsi="Times New Roman"/>
          <w:smallCaps w:val="false"/>
          <w:sz w:val="20"/>
          <w:szCs w:val="20"/>
        </w:rPr>
        <w:t xml:space="preserve">X. CONCLUSION AND FUTURE WORK</w:t>
      </w:r>
    </w:p>
    <w:p>
      <w:pPr>
        <w:spacing w:after="60" w:before="0"/>
        <w:ind w:firstLine="200"/>
        <w:jc w:val="both"/>
      </w:pPr>
      <w:r>
        <w:rPr>
          <w:rFonts w:ascii="Times New Roman" w:cs="Times New Roman" w:eastAsia="Times New Roman" w:hAnsi="Times New Roman"/>
          <w:sz w:val="20"/>
          <w:szCs w:val="20"/>
        </w:rPr>
        <w:t xml:space="preserve">This paper presented AgroNex-Pi, a low-cost autonomous agricultural robot that integrates irrigation, grass trimming, GPS navigation, edge-AI disease detection, and cloud telemetry on a Raspberry Pi 4. The system achieved [INSERT KEY RESULTS] in real-world testing, and its dual-model design lets a user adapt to different crops by swapping the model and label files without code changes. Future work includes ultrasonic obstacle avoidance, wheel odometry, battery-voltage monitoring, rain-sensor inhibition of irrigation, INT8 quantization for Edge TPU deployment, YOLO-based disease localization, GPS-mapped multi-plant tracking, and over-the-air updates.</w:t>
      </w:r>
    </w:p>
    <w:p>
      <w:pPr>
        <w:pStyle w:val="Heading1"/>
        <w:keepNext/>
        <w:spacing w:after="60" w:before="140"/>
        <w:jc w:val="center"/>
      </w:pPr>
      <w:r>
        <w:rPr>
          <w:rFonts w:ascii="Times New Roman" w:cs="Times New Roman" w:eastAsia="Times New Roman" w:hAnsi="Times New Roman"/>
          <w:smallCaps w:val="false"/>
          <w:sz w:val="20"/>
          <w:szCs w:val="20"/>
        </w:rPr>
        <w:t xml:space="preserve">ACKNOWLEDGMENT</w:t>
      </w:r>
    </w:p>
    <w:p>
      <w:pPr>
        <w:spacing w:after="60" w:before="0"/>
        <w:ind w:firstLine="200"/>
        <w:jc w:val="both"/>
      </w:pPr>
      <w:r>
        <w:rPr>
          <w:rFonts w:ascii="Times New Roman" w:cs="Times New Roman" w:eastAsia="Times New Roman" w:hAnsi="Times New Roman"/>
          <w:sz w:val="20"/>
          <w:szCs w:val="20"/>
        </w:rPr>
        <w:t xml:space="preserve">The authors thank [Guide/Mentor Name] for guidance and support, [Institute Name] for laboratory facilities, and the open-source communities behind TensorFlow, the Raspberry Pi Foundation, and the PlantVillage dataset.</w:t>
      </w:r>
    </w:p>
    <w:p>
      <w:pPr>
        <w:pStyle w:val="Heading1"/>
        <w:keepNext/>
        <w:spacing w:after="60" w:before="140"/>
        <w:jc w:val="center"/>
      </w:pPr>
      <w:r>
        <w:rPr>
          <w:rFonts w:ascii="Times New Roman" w:cs="Times New Roman" w:eastAsia="Times New Roman" w:hAnsi="Times New Roman"/>
          <w:smallCaps w:val="false"/>
          <w:sz w:val="20"/>
          <w:szCs w:val="20"/>
        </w:rPr>
        <w:t xml:space="preserve">REFERENCES</w:t>
      </w:r>
    </w:p>
    <w:p>
      <w:pPr>
        <w:tabs>
          <w:tab w:val="left" w:pos="360"/>
        </w:tabs>
        <w:spacing w:after="3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Food and Agriculture Organization (FAO), “The State of Food and Agriculture 2021,” FAO, Rome, 2021.</w:t>
      </w:r>
    </w:p>
    <w:p>
      <w:pPr>
        <w:tabs>
          <w:tab w:val="left" w:pos="360"/>
        </w:tabs>
        <w:spacing w:after="3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M. Sandler, A. Howard, M. Zhu, A. Zhmoginov, and L.-C. Chen, “MobileNetV2: Inverted residuals and linear bottlenecks,” in </w:t>
      </w:r>
      <w:r>
        <w:rPr>
          <w:rFonts w:ascii="Times New Roman" w:cs="Times New Roman" w:eastAsia="Times New Roman" w:hAnsi="Times New Roman"/>
          <w:i/>
          <w:iCs/>
          <w:sz w:val="16"/>
          <w:szCs w:val="16"/>
        </w:rPr>
        <w:t xml:space="preserve">Proc. IEEE CVPR</w:t>
      </w:r>
      <w:r>
        <w:rPr>
          <w:rFonts w:ascii="Times New Roman" w:cs="Times New Roman" w:eastAsia="Times New Roman" w:hAnsi="Times New Roman"/>
          <w:sz w:val="16"/>
          <w:szCs w:val="16"/>
        </w:rPr>
        <w:t xml:space="preserve">, 2018, pp. 4510–4520.</w:t>
      </w:r>
    </w:p>
    <w:p>
      <w:pPr>
        <w:tabs>
          <w:tab w:val="left" w:pos="360"/>
        </w:tabs>
        <w:spacing w:after="3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C. W. Bac, E. J. van Henten, J. Hemming, and Y. Edan, “Harvesting robots for high-value crops,” </w:t>
      </w:r>
      <w:r>
        <w:rPr>
          <w:rFonts w:ascii="Times New Roman" w:cs="Times New Roman" w:eastAsia="Times New Roman" w:hAnsi="Times New Roman"/>
          <w:i/>
          <w:iCs/>
          <w:sz w:val="16"/>
          <w:szCs w:val="16"/>
        </w:rPr>
        <w:t xml:space="preserve">J. Field Robot.</w:t>
      </w:r>
      <w:r>
        <w:rPr>
          <w:rFonts w:ascii="Times New Roman" w:cs="Times New Roman" w:eastAsia="Times New Roman" w:hAnsi="Times New Roman"/>
          <w:sz w:val="16"/>
          <w:szCs w:val="16"/>
        </w:rPr>
        <w:t xml:space="preserve">, vol. 31, no. 6, pp. 888–911, 2014.</w:t>
      </w:r>
    </w:p>
    <w:p>
      <w:pPr>
        <w:tabs>
          <w:tab w:val="left" w:pos="360"/>
        </w:tabs>
        <w:spacing w:after="3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S. P. Mohanty, D. P. Hughes, and M. Salathé, “Using deep learning for image-based plant disease detection,” </w:t>
      </w:r>
      <w:r>
        <w:rPr>
          <w:rFonts w:ascii="Times New Roman" w:cs="Times New Roman" w:eastAsia="Times New Roman" w:hAnsi="Times New Roman"/>
          <w:i/>
          <w:iCs/>
          <w:sz w:val="16"/>
          <w:szCs w:val="16"/>
        </w:rPr>
        <w:t xml:space="preserve">Front. Plant Sci.</w:t>
      </w:r>
      <w:r>
        <w:rPr>
          <w:rFonts w:ascii="Times New Roman" w:cs="Times New Roman" w:eastAsia="Times New Roman" w:hAnsi="Times New Roman"/>
          <w:sz w:val="16"/>
          <w:szCs w:val="16"/>
        </w:rPr>
        <w:t xml:space="preserve">, vol. 7, p. 1419, 2016.</w:t>
      </w:r>
    </w:p>
    <w:p>
      <w:pPr>
        <w:tabs>
          <w:tab w:val="left" w:pos="360"/>
        </w:tabs>
        <w:spacing w:after="3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A. Khanna and S. Kaur, “Evolution of IoT and its significant impact in the field of precision agriculture,” </w:t>
      </w:r>
      <w:r>
        <w:rPr>
          <w:rFonts w:ascii="Times New Roman" w:cs="Times New Roman" w:eastAsia="Times New Roman" w:hAnsi="Times New Roman"/>
          <w:i/>
          <w:iCs/>
          <w:sz w:val="16"/>
          <w:szCs w:val="16"/>
        </w:rPr>
        <w:t xml:space="preserve">Comput. Electron. Agric.</w:t>
      </w:r>
      <w:r>
        <w:rPr>
          <w:rFonts w:ascii="Times New Roman" w:cs="Times New Roman" w:eastAsia="Times New Roman" w:hAnsi="Times New Roman"/>
          <w:sz w:val="16"/>
          <w:szCs w:val="16"/>
        </w:rPr>
        <w:t xml:space="preserve">, vol. 157, pp. 218–231, 2019.</w:t>
      </w:r>
    </w:p>
    <w:p>
      <w:pPr>
        <w:tabs>
          <w:tab w:val="left" w:pos="360"/>
        </w:tabs>
        <w:spacing w:after="3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L. Emmi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“New trends in robotics for agriculture,” </w:t>
      </w:r>
      <w:r>
        <w:rPr>
          <w:rFonts w:ascii="Times New Roman" w:cs="Times New Roman" w:eastAsia="Times New Roman" w:hAnsi="Times New Roman"/>
          <w:i/>
          <w:iCs/>
          <w:sz w:val="16"/>
          <w:szCs w:val="16"/>
        </w:rPr>
        <w:t xml:space="preserve">Sci. World J.</w:t>
      </w:r>
      <w:r>
        <w:rPr>
          <w:rFonts w:ascii="Times New Roman" w:cs="Times New Roman" w:eastAsia="Times New Roman" w:hAnsi="Times New Roman"/>
          <w:sz w:val="16"/>
          <w:szCs w:val="16"/>
        </w:rPr>
        <w:t xml:space="preserve">, vol. 2014, Art. no. 404059, 2014.</w:t>
      </w:r>
    </w:p>
    <w:p>
      <w:pPr>
        <w:tabs>
          <w:tab w:val="left" w:pos="360"/>
        </w:tabs>
        <w:spacing w:after="3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TensorFlow Lite, “TensorFlow Lite guide,” Google, 2023. [Online]. Available: https://www.tensorflow.org/lite</w:t>
      </w:r>
    </w:p>
    <w:p>
      <w:pPr>
        <w:tabs>
          <w:tab w:val="left" w:pos="360"/>
        </w:tabs>
        <w:spacing w:after="3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Raspberry Pi Foundation, “Raspberry Pi 4 Model B datasheet,” 2019. [Online]. Available: https://www.raspberrypi.com</w:t>
      </w:r>
    </w:p>
    <w:p>
      <w:pPr>
        <w:tabs>
          <w:tab w:val="left" w:pos="360"/>
        </w:tabs>
        <w:spacing w:after="3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Texas Instruments, “ADS1115: Ultra-small, low-power, 16-bit ADC,” SBAS444D, 2009.</w:t>
      </w:r>
    </w:p>
    <w:p>
      <w:pPr>
        <w:tabs>
          <w:tab w:val="left" w:pos="360"/>
        </w:tabs>
        <w:spacing w:after="3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Honeywell, “HMC5883L 3-axis digital compass IC,” Datasheet, 2013.</w:t>
      </w:r>
    </w:p>
    <w:sectPr>
      <w:type w:val="continuous"/>
      <w:pgSz w:w="12240" w:h="15840"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2026-10-04T15:09:10.572Z</dcterms:created>
  <dcterms:modified xsi:type="dcterms:W3CDTF">2026-10-04T15:09:10.578Z</dcterms:modified>
</cp:coreProperties>
</file>

<file path=docProps/custom.xml><?xml version="1.0" encoding="utf-8"?>
<Properties xmlns="http://schemas.openxmlformats.org/officeDocument/2006/custom-properties" xmlns:vt="http://schemas.openxmlformats.org/officeDocument/2006/docPropsVTypes"/>
</file>